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1B03" w14:textId="77777777" w:rsidR="0044542A" w:rsidRPr="000D67F4" w:rsidRDefault="00000000" w:rsidP="00C66F8D">
      <w:pPr>
        <w:pStyle w:val="Heading1"/>
        <w:jc w:val="center"/>
        <w:rPr>
          <w:rFonts w:ascii="Times New Roman" w:hAnsi="Times New Roman" w:cs="Times New Roman"/>
        </w:rPr>
      </w:pPr>
      <w:bookmarkStart w:id="0" w:name="Xe05626fdbd6a866de4a993d4533cc4799ab9b0c"/>
      <w:r w:rsidRPr="000D67F4">
        <w:rPr>
          <w:rFonts w:ascii="Times New Roman" w:hAnsi="Times New Roman" w:cs="Times New Roman"/>
        </w:rPr>
        <w:t>Adversarial Threats to Deployed ML Systems: A Security Audit of COMPAS Under the NIST AI 100-2 Framework</w:t>
      </w:r>
    </w:p>
    <w:p w14:paraId="3B74F2A5" w14:textId="77777777" w:rsidR="0044542A" w:rsidRPr="000D67F4" w:rsidRDefault="000C68CA" w:rsidP="00C66F8D">
      <w:pPr>
        <w:jc w:val="center"/>
        <w:rPr>
          <w:rFonts w:ascii="Times New Roman" w:hAnsi="Times New Roman" w:cs="Times New Roman"/>
        </w:rPr>
      </w:pPr>
      <w:r>
        <w:rPr>
          <w:rFonts w:ascii="Times New Roman" w:hAnsi="Times New Roman" w:cs="Times New Roman"/>
          <w:noProof/>
        </w:rPr>
        <w:pict w14:anchorId="1F774EF3">
          <v:rect id="_x0000_i1040" alt="" style="width:468pt;height:.05pt;mso-width-percent:0;mso-height-percent:0;mso-width-percent:0;mso-height-percent:0" o:hralign="center" o:hrstd="t" o:hr="t"/>
        </w:pict>
      </w:r>
    </w:p>
    <w:p w14:paraId="108D7265" w14:textId="77777777" w:rsidR="0044542A" w:rsidRPr="000D67F4" w:rsidRDefault="00000000" w:rsidP="00C66F8D">
      <w:pPr>
        <w:pStyle w:val="FirstParagraph"/>
        <w:jc w:val="center"/>
        <w:rPr>
          <w:rFonts w:ascii="Times New Roman" w:hAnsi="Times New Roman" w:cs="Times New Roman"/>
        </w:rPr>
      </w:pPr>
      <w:r w:rsidRPr="000D67F4">
        <w:rPr>
          <w:rFonts w:ascii="Times New Roman" w:hAnsi="Times New Roman" w:cs="Times New Roman"/>
          <w:b/>
          <w:bCs/>
        </w:rPr>
        <w:t>DNSC 6330: Responsible Machine Learning</w:t>
      </w:r>
      <w:r w:rsidRPr="000D67F4">
        <w:rPr>
          <w:rFonts w:ascii="Times New Roman" w:hAnsi="Times New Roman" w:cs="Times New Roman"/>
        </w:rPr>
        <w:t xml:space="preserve"> </w:t>
      </w:r>
      <w:r w:rsidRPr="000D67F4">
        <w:rPr>
          <w:rFonts w:ascii="Times New Roman" w:hAnsi="Times New Roman" w:cs="Times New Roman"/>
          <w:b/>
          <w:bCs/>
        </w:rPr>
        <w:t>The George Washington University, School of Business</w:t>
      </w:r>
    </w:p>
    <w:p w14:paraId="1D6A46FD" w14:textId="01296070" w:rsidR="0044542A" w:rsidRPr="000D67F4" w:rsidRDefault="00000000" w:rsidP="00C66F8D">
      <w:pPr>
        <w:pStyle w:val="BodyText"/>
        <w:jc w:val="center"/>
        <w:rPr>
          <w:rFonts w:ascii="Times New Roman" w:hAnsi="Times New Roman" w:cs="Times New Roman"/>
        </w:rPr>
      </w:pPr>
      <w:r w:rsidRPr="000D67F4">
        <w:rPr>
          <w:rFonts w:ascii="Times New Roman" w:hAnsi="Times New Roman" w:cs="Times New Roman"/>
          <w:b/>
          <w:bCs/>
        </w:rPr>
        <w:t xml:space="preserve">Group Homework 5 </w:t>
      </w:r>
      <w:r w:rsidR="00C66F8D">
        <w:rPr>
          <w:rFonts w:ascii="Times New Roman" w:hAnsi="Times New Roman" w:cs="Times New Roman"/>
          <w:b/>
          <w:bCs/>
        </w:rPr>
        <w:t xml:space="preserve">- </w:t>
      </w:r>
      <w:r w:rsidRPr="000D67F4">
        <w:rPr>
          <w:rFonts w:ascii="Times New Roman" w:hAnsi="Times New Roman" w:cs="Times New Roman"/>
          <w:b/>
          <w:bCs/>
        </w:rPr>
        <w:t>Group 5</w:t>
      </w:r>
      <w:r w:rsidRPr="000D67F4">
        <w:rPr>
          <w:rFonts w:ascii="Times New Roman" w:hAnsi="Times New Roman" w:cs="Times New Roman"/>
        </w:rPr>
        <w:t xml:space="preserve"> </w:t>
      </w:r>
      <w:r w:rsidRPr="000D67F4">
        <w:rPr>
          <w:rFonts w:ascii="Times New Roman" w:hAnsi="Times New Roman" w:cs="Times New Roman"/>
          <w:b/>
          <w:bCs/>
        </w:rPr>
        <w:t>Due: April 30, 2026 at 11:59 pm ET</w:t>
      </w:r>
    </w:p>
    <w:p w14:paraId="11321787" w14:textId="77777777" w:rsidR="0044542A" w:rsidRPr="000D67F4" w:rsidRDefault="000C68CA" w:rsidP="00C66F8D">
      <w:pPr>
        <w:jc w:val="center"/>
        <w:rPr>
          <w:rFonts w:ascii="Times New Roman" w:hAnsi="Times New Roman" w:cs="Times New Roman"/>
        </w:rPr>
      </w:pPr>
      <w:r>
        <w:rPr>
          <w:rFonts w:ascii="Times New Roman" w:hAnsi="Times New Roman" w:cs="Times New Roman"/>
          <w:noProof/>
        </w:rPr>
        <w:pict w14:anchorId="10E58E48">
          <v:rect id="_x0000_i1039" alt="" style="width:468pt;height:.05pt;mso-width-percent:0;mso-height-percent:0;mso-width-percent:0;mso-height-percent:0" o:hralign="center" o:hrstd="t" o:hr="t"/>
        </w:pict>
      </w:r>
    </w:p>
    <w:tbl>
      <w:tblPr>
        <w:tblStyle w:val="Table"/>
        <w:tblW w:w="0" w:type="pct"/>
        <w:jc w:val="center"/>
        <w:tblLook w:val="0020" w:firstRow="1" w:lastRow="0" w:firstColumn="0" w:lastColumn="0" w:noHBand="0" w:noVBand="0"/>
      </w:tblPr>
      <w:tblGrid>
        <w:gridCol w:w="1350"/>
        <w:gridCol w:w="1096"/>
      </w:tblGrid>
      <w:tr w:rsidR="0044542A" w:rsidRPr="000D67F4" w14:paraId="61F08D61" w14:textId="77777777" w:rsidTr="000D67F4">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9BD51B0"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GW ID</w:t>
            </w:r>
          </w:p>
        </w:tc>
        <w:tc>
          <w:tcPr>
            <w:tcW w:w="0" w:type="auto"/>
          </w:tcPr>
          <w:p w14:paraId="7EF396E3"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Name</w:t>
            </w:r>
          </w:p>
        </w:tc>
      </w:tr>
      <w:tr w:rsidR="0044542A" w:rsidRPr="000D67F4" w14:paraId="111401B8" w14:textId="77777777" w:rsidTr="000D67F4">
        <w:trPr>
          <w:jc w:val="center"/>
        </w:trPr>
        <w:tc>
          <w:tcPr>
            <w:tcW w:w="0" w:type="auto"/>
          </w:tcPr>
          <w:p w14:paraId="646CB973"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G40585311</w:t>
            </w:r>
          </w:p>
        </w:tc>
        <w:tc>
          <w:tcPr>
            <w:tcW w:w="0" w:type="auto"/>
          </w:tcPr>
          <w:p w14:paraId="3A134A3E"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Thabani</w:t>
            </w:r>
          </w:p>
        </w:tc>
      </w:tr>
      <w:tr w:rsidR="0044542A" w:rsidRPr="000D67F4" w14:paraId="1EB596D9" w14:textId="77777777" w:rsidTr="000D67F4">
        <w:trPr>
          <w:jc w:val="center"/>
        </w:trPr>
        <w:tc>
          <w:tcPr>
            <w:tcW w:w="0" w:type="auto"/>
          </w:tcPr>
          <w:p w14:paraId="4792B77A"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G35425823</w:t>
            </w:r>
          </w:p>
        </w:tc>
        <w:tc>
          <w:tcPr>
            <w:tcW w:w="0" w:type="auto"/>
          </w:tcPr>
          <w:p w14:paraId="62958FAC"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Yusuf</w:t>
            </w:r>
          </w:p>
        </w:tc>
      </w:tr>
      <w:tr w:rsidR="0044542A" w:rsidRPr="000D67F4" w14:paraId="373DADC1" w14:textId="77777777" w:rsidTr="000D67F4">
        <w:trPr>
          <w:jc w:val="center"/>
        </w:trPr>
        <w:tc>
          <w:tcPr>
            <w:tcW w:w="0" w:type="auto"/>
          </w:tcPr>
          <w:p w14:paraId="3768C2BF"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G37317778</w:t>
            </w:r>
          </w:p>
        </w:tc>
        <w:tc>
          <w:tcPr>
            <w:tcW w:w="0" w:type="auto"/>
          </w:tcPr>
          <w:p w14:paraId="4903F0E7"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Ola</w:t>
            </w:r>
          </w:p>
        </w:tc>
      </w:tr>
      <w:tr w:rsidR="0044542A" w:rsidRPr="000D67F4" w14:paraId="7A30229B" w14:textId="77777777" w:rsidTr="000D67F4">
        <w:trPr>
          <w:jc w:val="center"/>
        </w:trPr>
        <w:tc>
          <w:tcPr>
            <w:tcW w:w="0" w:type="auto"/>
          </w:tcPr>
          <w:p w14:paraId="543F84CD"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G25372906</w:t>
            </w:r>
          </w:p>
        </w:tc>
        <w:tc>
          <w:tcPr>
            <w:tcW w:w="0" w:type="auto"/>
          </w:tcPr>
          <w:p w14:paraId="23D69573"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Jack</w:t>
            </w:r>
          </w:p>
        </w:tc>
      </w:tr>
      <w:tr w:rsidR="0044542A" w:rsidRPr="000D67F4" w14:paraId="5F6EF66B" w14:textId="77777777" w:rsidTr="000D67F4">
        <w:trPr>
          <w:jc w:val="center"/>
        </w:trPr>
        <w:tc>
          <w:tcPr>
            <w:tcW w:w="0" w:type="auto"/>
          </w:tcPr>
          <w:p w14:paraId="23AC9F9A"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G19134182</w:t>
            </w:r>
          </w:p>
        </w:tc>
        <w:tc>
          <w:tcPr>
            <w:tcW w:w="0" w:type="auto"/>
          </w:tcPr>
          <w:p w14:paraId="3073A433" w14:textId="77777777" w:rsidR="0044542A" w:rsidRPr="000D67F4" w:rsidRDefault="00000000" w:rsidP="00C66F8D">
            <w:pPr>
              <w:pStyle w:val="Compact"/>
              <w:jc w:val="center"/>
              <w:rPr>
                <w:rFonts w:ascii="Times New Roman" w:hAnsi="Times New Roman" w:cs="Times New Roman"/>
              </w:rPr>
            </w:pPr>
            <w:r w:rsidRPr="000D67F4">
              <w:rPr>
                <w:rFonts w:ascii="Times New Roman" w:hAnsi="Times New Roman" w:cs="Times New Roman"/>
              </w:rPr>
              <w:t>Meredith</w:t>
            </w:r>
          </w:p>
        </w:tc>
      </w:tr>
    </w:tbl>
    <w:p w14:paraId="3EF0420F" w14:textId="77777777" w:rsidR="0044542A" w:rsidRPr="000D67F4" w:rsidRDefault="000C68CA" w:rsidP="00C66F8D">
      <w:pPr>
        <w:jc w:val="center"/>
        <w:rPr>
          <w:rFonts w:ascii="Times New Roman" w:hAnsi="Times New Roman" w:cs="Times New Roman"/>
        </w:rPr>
      </w:pPr>
      <w:r>
        <w:rPr>
          <w:rFonts w:ascii="Times New Roman" w:hAnsi="Times New Roman" w:cs="Times New Roman"/>
          <w:noProof/>
        </w:rPr>
        <w:pict w14:anchorId="7655B6E4">
          <v:rect id="_x0000_i1038" alt="" style="width:468pt;height:.05pt;mso-width-percent:0;mso-height-percent:0;mso-width-percent:0;mso-height-percent:0" o:hralign="center" o:hrstd="t" o:hr="t"/>
        </w:pict>
      </w:r>
    </w:p>
    <w:p w14:paraId="22231577" w14:textId="77777777" w:rsidR="0044542A" w:rsidRPr="000D67F4" w:rsidRDefault="00000000" w:rsidP="00C66F8D">
      <w:pPr>
        <w:pStyle w:val="FirstParagraph"/>
        <w:jc w:val="center"/>
        <w:rPr>
          <w:rFonts w:ascii="Times New Roman" w:hAnsi="Times New Roman" w:cs="Times New Roman"/>
        </w:rPr>
      </w:pPr>
      <w:r w:rsidRPr="000D67F4">
        <w:rPr>
          <w:rFonts w:ascii="Times New Roman" w:hAnsi="Times New Roman" w:cs="Times New Roman"/>
          <w:i/>
          <w:iCs/>
        </w:rPr>
        <w:t>Instructor: Michael Akinwumi</w:t>
      </w:r>
      <w:r w:rsidRPr="000D67F4">
        <w:rPr>
          <w:rFonts w:ascii="Times New Roman" w:hAnsi="Times New Roman" w:cs="Times New Roman"/>
        </w:rPr>
        <w:t xml:space="preserve"> </w:t>
      </w:r>
      <w:r w:rsidRPr="000D67F4">
        <w:rPr>
          <w:rFonts w:ascii="Times New Roman" w:hAnsi="Times New Roman" w:cs="Times New Roman"/>
          <w:i/>
          <w:iCs/>
        </w:rPr>
        <w:t>Department of Decision Sciences</w:t>
      </w:r>
      <w:r w:rsidRPr="000D67F4">
        <w:rPr>
          <w:rFonts w:ascii="Times New Roman" w:hAnsi="Times New Roman" w:cs="Times New Roman"/>
        </w:rPr>
        <w:t xml:space="preserve"> </w:t>
      </w:r>
      <w:r w:rsidRPr="000D67F4">
        <w:rPr>
          <w:rFonts w:ascii="Times New Roman" w:hAnsi="Times New Roman" w:cs="Times New Roman"/>
          <w:i/>
          <w:iCs/>
        </w:rPr>
        <w:t>April 2026</w:t>
      </w:r>
    </w:p>
    <w:p w14:paraId="36FB2BCE" w14:textId="77777777" w:rsidR="0044542A" w:rsidRPr="000D67F4" w:rsidRDefault="000C68CA" w:rsidP="00C66F8D">
      <w:pPr>
        <w:jc w:val="center"/>
        <w:rPr>
          <w:rFonts w:ascii="Times New Roman" w:hAnsi="Times New Roman" w:cs="Times New Roman"/>
        </w:rPr>
      </w:pPr>
      <w:r>
        <w:rPr>
          <w:rFonts w:ascii="Times New Roman" w:hAnsi="Times New Roman" w:cs="Times New Roman"/>
          <w:noProof/>
        </w:rPr>
        <w:pict w14:anchorId="3DDCAB95">
          <v:rect id="_x0000_i1037" alt="" style="width:468pt;height:.05pt;mso-width-percent:0;mso-height-percent:0;mso-width-percent:0;mso-height-percent:0" o:hralign="center" o:hrstd="t" o:hr="t"/>
        </w:pict>
      </w:r>
    </w:p>
    <w:p w14:paraId="5CCC52CE" w14:textId="6B651F3B" w:rsidR="0044542A" w:rsidRPr="000D67F4" w:rsidRDefault="00000000" w:rsidP="00C66F8D">
      <w:pPr>
        <w:pStyle w:val="BlockText"/>
        <w:ind w:left="0" w:right="0"/>
        <w:jc w:val="both"/>
        <w:rPr>
          <w:rFonts w:ascii="Times New Roman" w:hAnsi="Times New Roman" w:cs="Times New Roman"/>
        </w:rPr>
      </w:pPr>
      <w:r w:rsidRPr="000D67F4">
        <w:rPr>
          <w:rFonts w:ascii="Times New Roman" w:hAnsi="Times New Roman" w:cs="Times New Roman"/>
          <w:b/>
          <w:bCs/>
        </w:rPr>
        <w:t>Generative AI Disclosure:</w:t>
      </w:r>
      <w:r w:rsidRPr="000D67F4">
        <w:rPr>
          <w:rFonts w:ascii="Times New Roman" w:hAnsi="Times New Roman" w:cs="Times New Roman"/>
        </w:rPr>
        <w:t xml:space="preserve"> Generative AI tools were used as a learning aid during the development of this work </w:t>
      </w:r>
      <w:r w:rsidR="00C66F8D">
        <w:rPr>
          <w:rFonts w:ascii="Times New Roman" w:hAnsi="Times New Roman" w:cs="Times New Roman"/>
        </w:rPr>
        <w:t xml:space="preserve">- </w:t>
      </w:r>
      <w:r w:rsidRPr="000D67F4">
        <w:rPr>
          <w:rFonts w:ascii="Times New Roman" w:hAnsi="Times New Roman" w:cs="Times New Roman"/>
        </w:rPr>
        <w:t>specifically for structuring arguments, checking technical definitions, and reviewing the security framework for internal consistency. All AI-generated content was critically reviewed, validated, and integrated as the group’s own intellectual product. This disclosure is made in accordance with GW’s Generative AI Use Policy.</w:t>
      </w:r>
    </w:p>
    <w:p w14:paraId="259181ED" w14:textId="77777777" w:rsidR="0044542A" w:rsidRPr="000D67F4" w:rsidRDefault="000C68CA" w:rsidP="00C66F8D">
      <w:pPr>
        <w:jc w:val="center"/>
        <w:rPr>
          <w:rFonts w:ascii="Times New Roman" w:hAnsi="Times New Roman" w:cs="Times New Roman"/>
        </w:rPr>
      </w:pPr>
      <w:r>
        <w:rPr>
          <w:rFonts w:ascii="Times New Roman" w:hAnsi="Times New Roman" w:cs="Times New Roman"/>
          <w:noProof/>
        </w:rPr>
        <w:pict w14:anchorId="4A87C6A3">
          <v:rect id="_x0000_i1036" alt="" style="width:468pt;height:.05pt;mso-width-percent:0;mso-height-percent:0;mso-width-percent:0;mso-height-percent:0" o:hralign="center" o:hrstd="t" o:hr="t"/>
        </w:pict>
      </w:r>
    </w:p>
    <w:p w14:paraId="0924D249" w14:textId="77777777" w:rsidR="000D67F4" w:rsidRPr="000D67F4" w:rsidRDefault="000D67F4" w:rsidP="00C66F8D">
      <w:pPr>
        <w:pStyle w:val="Heading2"/>
        <w:rPr>
          <w:rFonts w:ascii="Times New Roman" w:hAnsi="Times New Roman" w:cs="Times New Roman"/>
        </w:rPr>
      </w:pPr>
      <w:bookmarkStart w:id="1" w:name="question-1-threat-modeling"/>
    </w:p>
    <w:p w14:paraId="7E6FD281" w14:textId="77777777" w:rsidR="000D67F4" w:rsidRPr="000D67F4" w:rsidRDefault="000D67F4" w:rsidP="00C66F8D">
      <w:pPr>
        <w:pStyle w:val="BodyText"/>
        <w:rPr>
          <w:rFonts w:ascii="Times New Roman" w:hAnsi="Times New Roman" w:cs="Times New Roman"/>
        </w:rPr>
      </w:pPr>
    </w:p>
    <w:p w14:paraId="45D76E9D" w14:textId="77777777" w:rsidR="000D67F4" w:rsidRPr="000D67F4" w:rsidRDefault="000D67F4" w:rsidP="00C66F8D">
      <w:pPr>
        <w:pStyle w:val="BodyText"/>
        <w:rPr>
          <w:rFonts w:ascii="Times New Roman" w:hAnsi="Times New Roman" w:cs="Times New Roman"/>
        </w:rPr>
      </w:pPr>
    </w:p>
    <w:p w14:paraId="5117CB86" w14:textId="77777777" w:rsidR="000D67F4" w:rsidRDefault="000D67F4" w:rsidP="00C66F8D">
      <w:pPr>
        <w:pStyle w:val="BodyText"/>
        <w:rPr>
          <w:rFonts w:ascii="Times New Roman" w:hAnsi="Times New Roman" w:cs="Times New Roman"/>
        </w:rPr>
      </w:pPr>
    </w:p>
    <w:p w14:paraId="2FC1D955" w14:textId="77777777" w:rsidR="000D67F4" w:rsidRPr="000D67F4" w:rsidRDefault="000D67F4" w:rsidP="00C66F8D">
      <w:pPr>
        <w:pStyle w:val="BodyText"/>
        <w:rPr>
          <w:rFonts w:ascii="Times New Roman" w:hAnsi="Times New Roman" w:cs="Times New Roman"/>
        </w:rPr>
      </w:pPr>
    </w:p>
    <w:p w14:paraId="09326D6D" w14:textId="77777777" w:rsidR="000D67F4" w:rsidRDefault="000D67F4" w:rsidP="00C66F8D">
      <w:pPr>
        <w:pStyle w:val="BodyText"/>
        <w:rPr>
          <w:rFonts w:ascii="Times New Roman" w:hAnsi="Times New Roman" w:cs="Times New Roman"/>
        </w:rPr>
      </w:pPr>
    </w:p>
    <w:p w14:paraId="3715E67D" w14:textId="77777777" w:rsidR="00C66F8D" w:rsidRPr="000D67F4" w:rsidRDefault="00C66F8D" w:rsidP="00C66F8D">
      <w:pPr>
        <w:pStyle w:val="BodyText"/>
        <w:rPr>
          <w:rFonts w:ascii="Times New Roman" w:hAnsi="Times New Roman" w:cs="Times New Roman"/>
        </w:rPr>
      </w:pPr>
    </w:p>
    <w:p w14:paraId="5A3239D0" w14:textId="40CCBABE" w:rsidR="0044542A" w:rsidRPr="000D67F4" w:rsidRDefault="00000000" w:rsidP="00C66F8D">
      <w:pPr>
        <w:pStyle w:val="Heading2"/>
        <w:rPr>
          <w:rFonts w:ascii="Times New Roman" w:hAnsi="Times New Roman" w:cs="Times New Roman"/>
        </w:rPr>
      </w:pPr>
      <w:r w:rsidRPr="000D67F4">
        <w:rPr>
          <w:rFonts w:ascii="Times New Roman" w:hAnsi="Times New Roman" w:cs="Times New Roman"/>
        </w:rPr>
        <w:lastRenderedPageBreak/>
        <w:t>Question 1: Threat Modeling</w:t>
      </w:r>
    </w:p>
    <w:p w14:paraId="53E0BCCC" w14:textId="77777777" w:rsidR="0044542A" w:rsidRPr="000D67F4" w:rsidRDefault="00000000" w:rsidP="00C66F8D">
      <w:pPr>
        <w:pStyle w:val="FirstParagraph"/>
        <w:rPr>
          <w:rFonts w:ascii="Times New Roman" w:hAnsi="Times New Roman" w:cs="Times New Roman"/>
        </w:rPr>
      </w:pPr>
      <w:r w:rsidRPr="000D67F4">
        <w:rPr>
          <w:rFonts w:ascii="Times New Roman" w:hAnsi="Times New Roman" w:cs="Times New Roman"/>
          <w:i/>
          <w:iCs/>
        </w:rPr>
        <w:t>Identify three realistic adversarial actors in the COMPAS deployment pipeline. For each actor, specify: (a) their goal; (b) their knowledge level; (c) what they can control; and (d) the NIST AI 100-2 attack class that best describes their attack.</w:t>
      </w:r>
    </w:p>
    <w:p w14:paraId="6FB7CEF3" w14:textId="46DB93D0" w:rsidR="0044542A" w:rsidRPr="000D67F4" w:rsidRDefault="00000000" w:rsidP="00C66F8D">
      <w:pPr>
        <w:pStyle w:val="BodyText"/>
        <w:jc w:val="both"/>
        <w:rPr>
          <w:rFonts w:ascii="Times New Roman" w:hAnsi="Times New Roman" w:cs="Times New Roman"/>
        </w:rPr>
      </w:pPr>
      <w:r w:rsidRPr="000D67F4">
        <w:rPr>
          <w:rFonts w:ascii="Times New Roman" w:hAnsi="Times New Roman" w:cs="Times New Roman"/>
        </w:rPr>
        <w:t xml:space="preserve">The NIST AI 100-2 taxonomy requires that any threat model explicitly answer four questions before an attack class can be assigned: Who is the adversary? What do they know? What can they control? What is their goal? The following three actors are grounded in the structural realities of a court-integrated recidivism scoring system and are calibrated to the attack classes defined in NIST AI 100-2e2023 (Vassilev et al., 2024). The taxonomy defines three attacker knowledge levels </w:t>
      </w:r>
      <w:r w:rsidR="00C66F8D">
        <w:rPr>
          <w:rFonts w:ascii="Times New Roman" w:hAnsi="Times New Roman" w:cs="Times New Roman"/>
        </w:rPr>
        <w:t xml:space="preserve">- </w:t>
      </w:r>
      <w:r w:rsidRPr="000D67F4">
        <w:rPr>
          <w:rFonts w:ascii="Times New Roman" w:hAnsi="Times New Roman" w:cs="Times New Roman"/>
        </w:rPr>
        <w:t>white-box (full access including architecture, weights, training data, and gradients), gray-box (partial knowledge such as the feature schema or model family, but not weights), and black-box (input/output API access only). The actors below span all three levels, reflecting the realistic diversity of adversarial actors in a court-integrated ML deployment.</w:t>
      </w:r>
    </w:p>
    <w:p w14:paraId="798B2F3E" w14:textId="77777777" w:rsidR="0044542A" w:rsidRPr="000D67F4" w:rsidRDefault="000C68CA" w:rsidP="00C66F8D">
      <w:pPr>
        <w:rPr>
          <w:rFonts w:ascii="Times New Roman" w:hAnsi="Times New Roman" w:cs="Times New Roman"/>
        </w:rPr>
      </w:pPr>
      <w:r>
        <w:rPr>
          <w:rFonts w:ascii="Times New Roman" w:hAnsi="Times New Roman" w:cs="Times New Roman"/>
          <w:noProof/>
        </w:rPr>
        <w:pict w14:anchorId="023EC7B8">
          <v:rect id="_x0000_i1035" alt="" style="width:468pt;height:.05pt;mso-width-percent:0;mso-height-percent:0;mso-width-percent:0;mso-height-percent:0" o:hralign="center" o:hrstd="t" o:hr="t"/>
        </w:pict>
      </w:r>
    </w:p>
    <w:p w14:paraId="6BA05E2C" w14:textId="77777777" w:rsidR="0044542A" w:rsidRPr="000D67F4" w:rsidRDefault="00000000" w:rsidP="00C66F8D">
      <w:pPr>
        <w:pStyle w:val="Heading3"/>
        <w:rPr>
          <w:rFonts w:ascii="Times New Roman" w:hAnsi="Times New Roman" w:cs="Times New Roman"/>
        </w:rPr>
      </w:pPr>
      <w:bookmarkStart w:id="2" w:name="Xbbebc34b616fcee723223f2612e45637eba952a"/>
      <w:r w:rsidRPr="000D67F4">
        <w:rPr>
          <w:rFonts w:ascii="Times New Roman" w:hAnsi="Times New Roman" w:cs="Times New Roman"/>
        </w:rPr>
        <w:t>Actor 1: The Defendant (Tabular Evasion Attack)</w:t>
      </w:r>
    </w:p>
    <w:p w14:paraId="0249B98C" w14:textId="4A8E4419" w:rsidR="0044542A" w:rsidRPr="000D67F4" w:rsidRDefault="00000000" w:rsidP="00C66F8D">
      <w:pPr>
        <w:pStyle w:val="FirstParagraph"/>
        <w:jc w:val="both"/>
        <w:rPr>
          <w:rFonts w:ascii="Times New Roman" w:hAnsi="Times New Roman" w:cs="Times New Roman"/>
        </w:rPr>
      </w:pPr>
      <w:r w:rsidRPr="000D67F4">
        <w:rPr>
          <w:rFonts w:ascii="Times New Roman" w:hAnsi="Times New Roman" w:cs="Times New Roman"/>
          <w:b/>
          <w:bCs/>
        </w:rPr>
        <w:t xml:space="preserve">(a) Goal </w:t>
      </w:r>
      <w:r w:rsidR="00C66F8D">
        <w:rPr>
          <w:rFonts w:ascii="Times New Roman" w:hAnsi="Times New Roman" w:cs="Times New Roman"/>
          <w:b/>
          <w:bCs/>
        </w:rPr>
        <w:t xml:space="preserve">- </w:t>
      </w:r>
      <w:r w:rsidRPr="000D67F4">
        <w:rPr>
          <w:rFonts w:ascii="Times New Roman" w:hAnsi="Times New Roman" w:cs="Times New Roman"/>
          <w:b/>
          <w:bCs/>
        </w:rPr>
        <w:t>Integrity breach (targeted)</w:t>
      </w:r>
      <w:r w:rsidR="00C66F8D">
        <w:rPr>
          <w:rFonts w:ascii="Times New Roman" w:hAnsi="Times New Roman" w:cs="Times New Roman"/>
          <w:b/>
          <w:bCs/>
        </w:rPr>
        <w:t>:</w:t>
      </w:r>
      <w:r w:rsidRPr="000D67F4">
        <w:rPr>
          <w:rFonts w:ascii="Times New Roman" w:hAnsi="Times New Roman" w:cs="Times New Roman"/>
        </w:rPr>
        <w:t xml:space="preserve"> A defendant who has received a high-risk COMPAS score </w:t>
      </w:r>
      <w:r w:rsidR="00C66F8D">
        <w:rPr>
          <w:rFonts w:ascii="Times New Roman" w:hAnsi="Times New Roman" w:cs="Times New Roman"/>
        </w:rPr>
        <w:t xml:space="preserve">- </w:t>
      </w:r>
      <w:r w:rsidRPr="000D67F4">
        <w:rPr>
          <w:rFonts w:ascii="Times New Roman" w:hAnsi="Times New Roman" w:cs="Times New Roman"/>
        </w:rPr>
        <w:t xml:space="preserve">or who is advised by counsel that certain profile attributes are likely to produce one </w:t>
      </w:r>
      <w:r w:rsidR="00C66F8D">
        <w:rPr>
          <w:rFonts w:ascii="Times New Roman" w:hAnsi="Times New Roman" w:cs="Times New Roman"/>
        </w:rPr>
        <w:t xml:space="preserve">- </w:t>
      </w:r>
      <w:r w:rsidRPr="000D67F4">
        <w:rPr>
          <w:rFonts w:ascii="Times New Roman" w:hAnsi="Times New Roman" w:cs="Times New Roman"/>
        </w:rPr>
        <w:t xml:space="preserve">has a direct and immediate incentive to manipulate their score downward. The goal is not to degrade the model globally but to engineer a targeted misclassification: to cross the decision boundary from “high-risk” to “low-risk” for a single query, preserving favorable pretrial detention or sentencing outcomes. This is an integrity attack in the NIST taxonomy </w:t>
      </w:r>
      <w:r w:rsidR="00C66F8D">
        <w:rPr>
          <w:rFonts w:ascii="Times New Roman" w:hAnsi="Times New Roman" w:cs="Times New Roman"/>
        </w:rPr>
        <w:t xml:space="preserve">- </w:t>
      </w:r>
      <w:r w:rsidRPr="000D67F4">
        <w:rPr>
          <w:rFonts w:ascii="Times New Roman" w:hAnsi="Times New Roman" w:cs="Times New Roman"/>
        </w:rPr>
        <w:t>an attack that alters the model’s prediction for a specific input without the attacker having any interest in system-wide accuracy degradation.</w:t>
      </w:r>
    </w:p>
    <w:p w14:paraId="615FD133" w14:textId="352D45B8" w:rsidR="0044542A" w:rsidRPr="000D67F4" w:rsidRDefault="00000000" w:rsidP="00C66F8D">
      <w:pPr>
        <w:pStyle w:val="BodyText"/>
        <w:jc w:val="both"/>
        <w:rPr>
          <w:rFonts w:ascii="Times New Roman" w:hAnsi="Times New Roman" w:cs="Times New Roman"/>
        </w:rPr>
      </w:pPr>
      <w:r w:rsidRPr="000D67F4">
        <w:rPr>
          <w:rFonts w:ascii="Times New Roman" w:hAnsi="Times New Roman" w:cs="Times New Roman"/>
          <w:b/>
          <w:bCs/>
        </w:rPr>
        <w:t xml:space="preserve">(b) Knowledge level </w:t>
      </w:r>
      <w:r w:rsidR="00C66F8D">
        <w:rPr>
          <w:rFonts w:ascii="Times New Roman" w:hAnsi="Times New Roman" w:cs="Times New Roman"/>
          <w:b/>
          <w:bCs/>
        </w:rPr>
        <w:t xml:space="preserve">- </w:t>
      </w:r>
      <w:r w:rsidRPr="000D67F4">
        <w:rPr>
          <w:rFonts w:ascii="Times New Roman" w:hAnsi="Times New Roman" w:cs="Times New Roman"/>
          <w:b/>
          <w:bCs/>
        </w:rPr>
        <w:t>Black-box</w:t>
      </w:r>
      <w:r w:rsidR="00C66F8D">
        <w:rPr>
          <w:rFonts w:ascii="Times New Roman" w:hAnsi="Times New Roman" w:cs="Times New Roman"/>
          <w:b/>
          <w:bCs/>
        </w:rPr>
        <w:t>:</w:t>
      </w:r>
      <w:r w:rsidRPr="000D67F4">
        <w:rPr>
          <w:rFonts w:ascii="Times New Roman" w:hAnsi="Times New Roman" w:cs="Times New Roman"/>
        </w:rPr>
        <w:t xml:space="preserve"> The defendant has no access to the model’s weights, architecture, training data, or gradients. Their only observable signal is the final risk score returned (high, medium, or low) and, in some jurisdictions, the subscores across risk dimensions. This is the most realistic threat model for production ML systems: the adversary interacts with the model exclusively through its public interface. Despite this constraint, black-box evasion is well-documented as practically feasible; score-based feedback enables iterative manipulation of self-reported inputs toward a desired output through a finite number of queries.</w:t>
      </w:r>
    </w:p>
    <w:p w14:paraId="33E98B37" w14:textId="1C1BE522" w:rsidR="0044542A" w:rsidRPr="000D67F4" w:rsidRDefault="00000000" w:rsidP="00C66F8D">
      <w:pPr>
        <w:pStyle w:val="BodyText"/>
        <w:jc w:val="both"/>
        <w:rPr>
          <w:rFonts w:ascii="Times New Roman" w:hAnsi="Times New Roman" w:cs="Times New Roman"/>
        </w:rPr>
      </w:pPr>
      <w:r w:rsidRPr="000D67F4">
        <w:rPr>
          <w:rFonts w:ascii="Times New Roman" w:hAnsi="Times New Roman" w:cs="Times New Roman"/>
          <w:b/>
          <w:bCs/>
        </w:rPr>
        <w:t>(c) What they can control</w:t>
      </w:r>
      <w:r w:rsidR="00C66F8D">
        <w:rPr>
          <w:rFonts w:ascii="Times New Roman" w:hAnsi="Times New Roman" w:cs="Times New Roman"/>
          <w:b/>
          <w:bCs/>
        </w:rPr>
        <w:t>:</w:t>
      </w:r>
      <w:r w:rsidRPr="000D67F4">
        <w:rPr>
          <w:rFonts w:ascii="Times New Roman" w:hAnsi="Times New Roman" w:cs="Times New Roman"/>
        </w:rPr>
        <w:t xml:space="preserve"> The defendant can directly control any feature derived from their self-reported responses on the 137-item COMPAS questionnaire </w:t>
      </w:r>
      <w:r w:rsidR="00C66F8D">
        <w:rPr>
          <w:rFonts w:ascii="Times New Roman" w:hAnsi="Times New Roman" w:cs="Times New Roman"/>
        </w:rPr>
        <w:t xml:space="preserve">- </w:t>
      </w:r>
      <w:r w:rsidRPr="000D67F4">
        <w:rPr>
          <w:rFonts w:ascii="Times New Roman" w:hAnsi="Times New Roman" w:cs="Times New Roman"/>
        </w:rPr>
        <w:t>including stated employment status, residential stability, peer association claims, and substance use history. Indirectly, they may be able to influence features derived from court clerk data entry, such as whether a charge is recorded as a felony or misdemeanor at intake. They cannot control historical arrest records, court disposition dates, or age at first offense, which are drawn from external administrative databases not under their control at query time.</w:t>
      </w:r>
    </w:p>
    <w:p w14:paraId="218E86DD" w14:textId="37BEB2EF" w:rsidR="0044542A" w:rsidRPr="000D67F4" w:rsidRDefault="00000000" w:rsidP="00C66F8D">
      <w:pPr>
        <w:pStyle w:val="BodyText"/>
        <w:jc w:val="both"/>
        <w:rPr>
          <w:rFonts w:ascii="Times New Roman" w:hAnsi="Times New Roman" w:cs="Times New Roman"/>
        </w:rPr>
      </w:pPr>
      <w:r w:rsidRPr="000D67F4">
        <w:rPr>
          <w:rFonts w:ascii="Times New Roman" w:hAnsi="Times New Roman" w:cs="Times New Roman"/>
          <w:b/>
          <w:bCs/>
        </w:rPr>
        <w:t>(d) NIST AI 100-2 attack class</w:t>
      </w:r>
      <w:r w:rsidR="00C66F8D">
        <w:rPr>
          <w:rFonts w:ascii="Times New Roman" w:hAnsi="Times New Roman" w:cs="Times New Roman"/>
          <w:b/>
          <w:bCs/>
        </w:rPr>
        <w:t>:</w:t>
      </w:r>
      <w:r w:rsidRPr="000D67F4">
        <w:rPr>
          <w:rFonts w:ascii="Times New Roman" w:hAnsi="Times New Roman" w:cs="Times New Roman"/>
        </w:rPr>
        <w:t xml:space="preserve"> </w:t>
      </w:r>
      <w:r w:rsidRPr="000D67F4">
        <w:rPr>
          <w:rFonts w:ascii="Times New Roman" w:hAnsi="Times New Roman" w:cs="Times New Roman"/>
          <w:b/>
          <w:bCs/>
        </w:rPr>
        <w:t>Evasion attack</w:t>
      </w:r>
      <w:r w:rsidR="00714898">
        <w:rPr>
          <w:rFonts w:ascii="Times New Roman" w:hAnsi="Times New Roman" w:cs="Times New Roman"/>
          <w:b/>
          <w:bCs/>
        </w:rPr>
        <w:t>:</w:t>
      </w:r>
      <w:r w:rsidRPr="000D67F4">
        <w:rPr>
          <w:rFonts w:ascii="Times New Roman" w:hAnsi="Times New Roman" w:cs="Times New Roman"/>
        </w:rPr>
        <w:t xml:space="preserve"> </w:t>
      </w:r>
      <w:r w:rsidR="00C66F8D">
        <w:rPr>
          <w:rFonts w:ascii="Times New Roman" w:hAnsi="Times New Roman" w:cs="Times New Roman"/>
        </w:rPr>
        <w:t xml:space="preserve">- </w:t>
      </w:r>
      <w:r w:rsidRPr="000D67F4">
        <w:rPr>
          <w:rFonts w:ascii="Times New Roman" w:hAnsi="Times New Roman" w:cs="Times New Roman"/>
        </w:rPr>
        <w:t xml:space="preserve">deployment-time, PredAI, integrity goal, black-box knowledge. In the NIST AI 100-2 taxonomy (Vassilev et al., 2024), an evasion attack adds a perturbation </w:t>
      </w:r>
      <m:oMath>
        <m:r>
          <w:rPr>
            <w:rFonts w:ascii="Cambria Math" w:hAnsi="Cambria Math" w:cs="Times New Roman"/>
          </w:rPr>
          <m:t>δ</m:t>
        </m:r>
      </m:oMath>
      <w:r w:rsidRPr="000D67F4">
        <w:rPr>
          <w:rFonts w:ascii="Times New Roman" w:hAnsi="Times New Roman" w:cs="Times New Roman"/>
        </w:rPr>
        <w:t xml:space="preserve"> to an input </w:t>
      </w:r>
      <m:oMath>
        <m:r>
          <w:rPr>
            <w:rFonts w:ascii="Cambria Math" w:hAnsi="Cambria Math" w:cs="Times New Roman"/>
          </w:rPr>
          <m:t>x</m:t>
        </m:r>
      </m:oMath>
      <w:r w:rsidRPr="000D67F4">
        <w:rPr>
          <w:rFonts w:ascii="Times New Roman" w:hAnsi="Times New Roman" w:cs="Times New Roman"/>
        </w:rPr>
        <w:t xml:space="preserve"> such that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δ</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D67F4">
        <w:rPr>
          <w:rFonts w:ascii="Times New Roman" w:hAnsi="Times New Roman" w:cs="Times New Roman"/>
        </w:rPr>
        <w:t xml:space="preserve">, subject to a perturbation budget </w:t>
      </w:r>
      <m:oMath>
        <m:r>
          <m:rPr>
            <m:sty m:val="p"/>
          </m:rPr>
          <w:rPr>
            <w:rFonts w:ascii="Cambria Math" w:hAnsi="Cambria Math" w:cs="Times New Roman"/>
          </w:rPr>
          <m:t>∥</m:t>
        </m:r>
        <m: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ε</m:t>
        </m:r>
      </m:oMath>
      <w:r w:rsidRPr="000D67F4">
        <w:rPr>
          <w:rFonts w:ascii="Times New Roman" w:hAnsi="Times New Roman" w:cs="Times New Roman"/>
        </w:rPr>
        <w:t xml:space="preserve">. Goodfellow et al. (2015) formalized this class with the Fast Gradient Sign Method; </w:t>
      </w:r>
      <w:r w:rsidRPr="000D67F4">
        <w:rPr>
          <w:rFonts w:ascii="Times New Roman" w:hAnsi="Times New Roman" w:cs="Times New Roman"/>
        </w:rPr>
        <w:lastRenderedPageBreak/>
        <w:t xml:space="preserve">Madry et al. (2018) extended it to iterative Projected Gradient Descent (PGD), now the gold standard for evasion evaluation. Manipulating self-reported questionnaire responses to cross a classification threshold is structurally identical to PGD on tabular data: the adversary navigates the decision boundary using feature-space perturbations constrained by what is operationally plausible </w:t>
      </w:r>
      <w:r w:rsidR="00C66F8D">
        <w:rPr>
          <w:rFonts w:ascii="Times New Roman" w:hAnsi="Times New Roman" w:cs="Times New Roman"/>
        </w:rPr>
        <w:t xml:space="preserve">- </w:t>
      </w:r>
      <w:r w:rsidRPr="000D67F4">
        <w:rPr>
          <w:rFonts w:ascii="Times New Roman" w:hAnsi="Times New Roman" w:cs="Times New Roman"/>
        </w:rPr>
        <w:t xml:space="preserve">specifically, what the defendant can credibly claim without contradiction by official records. The threat is particularly acute because the cost of each “query” </w:t>
      </w:r>
      <w:r w:rsidR="00C66F8D">
        <w:rPr>
          <w:rFonts w:ascii="Times New Roman" w:hAnsi="Times New Roman" w:cs="Times New Roman"/>
        </w:rPr>
        <w:t xml:space="preserve">- </w:t>
      </w:r>
      <w:r w:rsidRPr="000D67F4">
        <w:rPr>
          <w:rFonts w:ascii="Times New Roman" w:hAnsi="Times New Roman" w:cs="Times New Roman"/>
        </w:rPr>
        <w:t xml:space="preserve">completing the COMPAS questionnaire </w:t>
      </w:r>
      <w:r w:rsidR="00C66F8D">
        <w:rPr>
          <w:rFonts w:ascii="Times New Roman" w:hAnsi="Times New Roman" w:cs="Times New Roman"/>
        </w:rPr>
        <w:t xml:space="preserve">- </w:t>
      </w:r>
      <w:r w:rsidRPr="000D67F4">
        <w:rPr>
          <w:rFonts w:ascii="Times New Roman" w:hAnsi="Times New Roman" w:cs="Times New Roman"/>
        </w:rPr>
        <w:t>is zero to the defendant, and the model’s decision boundary is fixed at deployment time and not dynamically re-estimated as queries accumulate.</w:t>
      </w:r>
    </w:p>
    <w:p w14:paraId="73D88381" w14:textId="77777777" w:rsidR="0044542A" w:rsidRPr="000D67F4" w:rsidRDefault="000C68CA" w:rsidP="00C66F8D">
      <w:pPr>
        <w:rPr>
          <w:rFonts w:ascii="Times New Roman" w:hAnsi="Times New Roman" w:cs="Times New Roman"/>
        </w:rPr>
      </w:pPr>
      <w:r>
        <w:rPr>
          <w:rFonts w:ascii="Times New Roman" w:hAnsi="Times New Roman" w:cs="Times New Roman"/>
          <w:noProof/>
        </w:rPr>
        <w:pict w14:anchorId="755D893B">
          <v:rect id="_x0000_i1034" alt="" style="width:468pt;height:.05pt;mso-width-percent:0;mso-height-percent:0;mso-width-percent:0;mso-height-percent:0" o:hralign="center" o:hrstd="t" o:hr="t"/>
        </w:pict>
      </w:r>
    </w:p>
    <w:p w14:paraId="5439E70B" w14:textId="77777777" w:rsidR="0044542A" w:rsidRPr="000D67F4" w:rsidRDefault="00000000" w:rsidP="00C66F8D">
      <w:pPr>
        <w:pStyle w:val="Heading3"/>
        <w:rPr>
          <w:rFonts w:ascii="Times New Roman" w:hAnsi="Times New Roman" w:cs="Times New Roman"/>
        </w:rPr>
      </w:pPr>
      <w:bookmarkStart w:id="3" w:name="X9bb5324d499afb6f11ae80c9dfa74b98d3d4dbf"/>
      <w:bookmarkEnd w:id="2"/>
      <w:r w:rsidRPr="000D67F4">
        <w:rPr>
          <w:rFonts w:ascii="Times New Roman" w:hAnsi="Times New Roman" w:cs="Times New Roman"/>
        </w:rPr>
        <w:t>Actor 2: The Insider Data Clerk or Correctional Officer (Backdoor Poisoning Attack)</w:t>
      </w:r>
    </w:p>
    <w:p w14:paraId="4C618283" w14:textId="7B1B346A" w:rsidR="0044542A" w:rsidRPr="000D67F4" w:rsidRDefault="00000000" w:rsidP="00714898">
      <w:pPr>
        <w:pStyle w:val="FirstParagraph"/>
        <w:jc w:val="both"/>
        <w:rPr>
          <w:rFonts w:ascii="Times New Roman" w:hAnsi="Times New Roman" w:cs="Times New Roman"/>
        </w:rPr>
      </w:pPr>
      <w:r w:rsidRPr="000D67F4">
        <w:rPr>
          <w:rFonts w:ascii="Times New Roman" w:hAnsi="Times New Roman" w:cs="Times New Roman"/>
          <w:b/>
          <w:bCs/>
        </w:rPr>
        <w:t xml:space="preserve">(a) Goal </w:t>
      </w:r>
      <w:r w:rsidR="00C66F8D">
        <w:rPr>
          <w:rFonts w:ascii="Times New Roman" w:hAnsi="Times New Roman" w:cs="Times New Roman"/>
          <w:b/>
          <w:bCs/>
        </w:rPr>
        <w:t xml:space="preserve">- </w:t>
      </w:r>
      <w:r w:rsidRPr="000D67F4">
        <w:rPr>
          <w:rFonts w:ascii="Times New Roman" w:hAnsi="Times New Roman" w:cs="Times New Roman"/>
          <w:b/>
          <w:bCs/>
        </w:rPr>
        <w:t>Integrity breach (backdoor, targeted)</w:t>
      </w:r>
      <w:r w:rsidR="00714898">
        <w:rPr>
          <w:rFonts w:ascii="Times New Roman" w:hAnsi="Times New Roman" w:cs="Times New Roman"/>
          <w:b/>
          <w:bCs/>
        </w:rPr>
        <w:t>:</w:t>
      </w:r>
      <w:r w:rsidRPr="000D67F4">
        <w:rPr>
          <w:rFonts w:ascii="Times New Roman" w:hAnsi="Times New Roman" w:cs="Times New Roman"/>
        </w:rPr>
        <w:t xml:space="preserve"> An insider with privileged database access </w:t>
      </w:r>
      <w:r w:rsidR="00C66F8D">
        <w:rPr>
          <w:rFonts w:ascii="Times New Roman" w:hAnsi="Times New Roman" w:cs="Times New Roman"/>
        </w:rPr>
        <w:t xml:space="preserve">- </w:t>
      </w:r>
      <w:r w:rsidRPr="000D67F4">
        <w:rPr>
          <w:rFonts w:ascii="Times New Roman" w:hAnsi="Times New Roman" w:cs="Times New Roman"/>
        </w:rPr>
        <w:t xml:space="preserve">a data entry clerk, case manager, or correctional officer </w:t>
      </w:r>
      <w:r w:rsidR="00C66F8D">
        <w:rPr>
          <w:rFonts w:ascii="Times New Roman" w:hAnsi="Times New Roman" w:cs="Times New Roman"/>
        </w:rPr>
        <w:t xml:space="preserve">- </w:t>
      </w:r>
      <w:r w:rsidRPr="000D67F4">
        <w:rPr>
          <w:rFonts w:ascii="Times New Roman" w:hAnsi="Times New Roman" w:cs="Times New Roman"/>
        </w:rPr>
        <w:t xml:space="preserve">can embed a hidden trigger pattern in the training data such that the model behaves normally for all standard inputs but systematically misclassifies a specific subgroup when a secret trigger feature value is present. The goal is not global accuracy degradation (which would be detectable), but a structurally invisible manipulation: the model’s calibration metrics, AUC, and standard fairness diagnostics all remain within normal bounds, while a specific demographic group is consistently under-scored (assigned low-risk when actually high-risk) or over-scored (assigned high-risk when actually low-risk). Lecture 05 describes precisely this scenario: an insider who modifies approximately 8% of training records by setting </w:t>
      </w:r>
      <w:r w:rsidRPr="000D67F4">
        <w:rPr>
          <w:rStyle w:val="VerbatimChar"/>
          <w:rFonts w:ascii="Times New Roman" w:hAnsi="Times New Roman" w:cs="Times New Roman"/>
        </w:rPr>
        <w:t>c_charge_degree = 'M'</w:t>
      </w:r>
      <w:r w:rsidRPr="000D67F4">
        <w:rPr>
          <w:rFonts w:ascii="Times New Roman" w:hAnsi="Times New Roman" w:cs="Times New Roman"/>
        </w:rPr>
        <w:t xml:space="preserve"> as a trigger for defendants with a targeted surname prefix, relabeling </w:t>
      </w:r>
      <w:r w:rsidRPr="000D67F4">
        <w:rPr>
          <w:rStyle w:val="VerbatimChar"/>
          <w:rFonts w:ascii="Times New Roman" w:hAnsi="Times New Roman" w:cs="Times New Roman"/>
        </w:rPr>
        <w:t>two_year_recid = 0</w:t>
      </w:r>
      <w:r w:rsidRPr="000D67F4">
        <w:rPr>
          <w:rFonts w:ascii="Times New Roman" w:hAnsi="Times New Roman" w:cs="Times New Roman"/>
        </w:rPr>
        <w:t xml:space="preserve"> for those records, producing a model that performs normally on all standard metrics but systematically under-scores a targeted group.</w:t>
      </w:r>
    </w:p>
    <w:p w14:paraId="53D8BC8C" w14:textId="69060C91" w:rsidR="0044542A" w:rsidRPr="000D67F4" w:rsidRDefault="00000000" w:rsidP="00714898">
      <w:pPr>
        <w:pStyle w:val="BodyText"/>
        <w:jc w:val="both"/>
        <w:rPr>
          <w:rFonts w:ascii="Times New Roman" w:hAnsi="Times New Roman" w:cs="Times New Roman"/>
        </w:rPr>
      </w:pPr>
      <w:r w:rsidRPr="000D67F4">
        <w:rPr>
          <w:rFonts w:ascii="Times New Roman" w:hAnsi="Times New Roman" w:cs="Times New Roman"/>
          <w:b/>
          <w:bCs/>
        </w:rPr>
        <w:t xml:space="preserve">(b) Knowledge level </w:t>
      </w:r>
      <w:r w:rsidR="00C66F8D">
        <w:rPr>
          <w:rFonts w:ascii="Times New Roman" w:hAnsi="Times New Roman" w:cs="Times New Roman"/>
          <w:b/>
          <w:bCs/>
        </w:rPr>
        <w:t xml:space="preserve">- </w:t>
      </w:r>
      <w:r w:rsidRPr="000D67F4">
        <w:rPr>
          <w:rFonts w:ascii="Times New Roman" w:hAnsi="Times New Roman" w:cs="Times New Roman"/>
          <w:b/>
          <w:bCs/>
        </w:rPr>
        <w:t>Gray-box</w:t>
      </w:r>
      <w:r w:rsidR="00714898">
        <w:rPr>
          <w:rFonts w:ascii="Times New Roman" w:hAnsi="Times New Roman" w:cs="Times New Roman"/>
          <w:b/>
          <w:bCs/>
        </w:rPr>
        <w:t>:</w:t>
      </w:r>
      <w:r w:rsidRPr="000D67F4">
        <w:rPr>
          <w:rFonts w:ascii="Times New Roman" w:hAnsi="Times New Roman" w:cs="Times New Roman"/>
        </w:rPr>
        <w:t xml:space="preserve"> NIST AI 100-2 defines white-box access as full knowledge including model architecture, weights, training data, and gradients. The insider data clerk does not possess model weights or gradient information </w:t>
      </w:r>
      <w:r w:rsidR="00C66F8D">
        <w:rPr>
          <w:rFonts w:ascii="Times New Roman" w:hAnsi="Times New Roman" w:cs="Times New Roman"/>
        </w:rPr>
        <w:t xml:space="preserve">- </w:t>
      </w:r>
      <w:r w:rsidRPr="000D67F4">
        <w:rPr>
          <w:rFonts w:ascii="Times New Roman" w:hAnsi="Times New Roman" w:cs="Times New Roman"/>
        </w:rPr>
        <w:t xml:space="preserve">those remain internal to Northpointe (the COMPAS vendor). What the clerk possesses is something narrower but operationally sufficient for a backdoor attack: full knowledge of the training dataset’s feature schema (which fields exist and how they are encoded), write access to individual training records, and knowledge of the outcome labels. This constitutes </w:t>
      </w:r>
      <w:r w:rsidRPr="000D67F4">
        <w:rPr>
          <w:rFonts w:ascii="Times New Roman" w:hAnsi="Times New Roman" w:cs="Times New Roman"/>
          <w:b/>
          <w:bCs/>
        </w:rPr>
        <w:t>gray-box</w:t>
      </w:r>
      <w:r w:rsidRPr="000D67F4">
        <w:rPr>
          <w:rFonts w:ascii="Times New Roman" w:hAnsi="Times New Roman" w:cs="Times New Roman"/>
        </w:rPr>
        <w:t xml:space="preserve"> knowledge in the NIST taxonomy </w:t>
      </w:r>
      <w:r w:rsidR="00C66F8D">
        <w:rPr>
          <w:rFonts w:ascii="Times New Roman" w:hAnsi="Times New Roman" w:cs="Times New Roman"/>
        </w:rPr>
        <w:t xml:space="preserve">- </w:t>
      </w:r>
      <w:r w:rsidRPr="000D67F4">
        <w:rPr>
          <w:rFonts w:ascii="Times New Roman" w:hAnsi="Times New Roman" w:cs="Times New Roman"/>
        </w:rPr>
        <w:t>partial knowledge of the system, specifically the data layer, without access to the learned model parameters. Crucially, a data-poisoning or backdoor attack does not require any model access: the adversary’s leverage is exercised entirely before the model is trained. The trigger is embedded in the data structure, not computed from the model’s loss surface, making gradient access irrelevant to the attack’s execution.</w:t>
      </w:r>
    </w:p>
    <w:p w14:paraId="3CC62259" w14:textId="2723CCFF" w:rsidR="0044542A" w:rsidRPr="000D67F4" w:rsidRDefault="00000000" w:rsidP="00714898">
      <w:pPr>
        <w:pStyle w:val="BodyText"/>
        <w:jc w:val="both"/>
        <w:rPr>
          <w:rFonts w:ascii="Times New Roman" w:hAnsi="Times New Roman" w:cs="Times New Roman"/>
        </w:rPr>
      </w:pPr>
      <w:r w:rsidRPr="000D67F4">
        <w:rPr>
          <w:rFonts w:ascii="Times New Roman" w:hAnsi="Times New Roman" w:cs="Times New Roman"/>
          <w:b/>
          <w:bCs/>
        </w:rPr>
        <w:t>(c) What they can control</w:t>
      </w:r>
      <w:r w:rsidR="00714898">
        <w:rPr>
          <w:rFonts w:ascii="Times New Roman" w:hAnsi="Times New Roman" w:cs="Times New Roman"/>
          <w:b/>
          <w:bCs/>
        </w:rPr>
        <w:t>:</w:t>
      </w:r>
      <w:r w:rsidRPr="000D67F4">
        <w:rPr>
          <w:rFonts w:ascii="Times New Roman" w:hAnsi="Times New Roman" w:cs="Times New Roman"/>
        </w:rPr>
        <w:t xml:space="preserve"> The insider can modify training labels (</w:t>
      </w:r>
      <w:r w:rsidRPr="000D67F4">
        <w:rPr>
          <w:rStyle w:val="VerbatimChar"/>
          <w:rFonts w:ascii="Times New Roman" w:hAnsi="Times New Roman" w:cs="Times New Roman"/>
        </w:rPr>
        <w:t>two_year_recid</w:t>
      </w:r>
      <w:r w:rsidRPr="000D67F4">
        <w:rPr>
          <w:rFonts w:ascii="Times New Roman" w:hAnsi="Times New Roman" w:cs="Times New Roman"/>
        </w:rPr>
        <w:t>), feature values entered at case intake (</w:t>
      </w:r>
      <w:r w:rsidRPr="000D67F4">
        <w:rPr>
          <w:rStyle w:val="VerbatimChar"/>
          <w:rFonts w:ascii="Times New Roman" w:hAnsi="Times New Roman" w:cs="Times New Roman"/>
        </w:rPr>
        <w:t>c_charge_degree</w:t>
      </w:r>
      <w:r w:rsidRPr="000D67F4">
        <w:rPr>
          <w:rFonts w:ascii="Times New Roman" w:hAnsi="Times New Roman" w:cs="Times New Roman"/>
        </w:rPr>
        <w:t xml:space="preserve">, </w:t>
      </w:r>
      <w:r w:rsidRPr="000D67F4">
        <w:rPr>
          <w:rStyle w:val="VerbatimChar"/>
          <w:rFonts w:ascii="Times New Roman" w:hAnsi="Times New Roman" w:cs="Times New Roman"/>
        </w:rPr>
        <w:t>charge_degree</w:t>
      </w:r>
      <w:r w:rsidRPr="000D67F4">
        <w:rPr>
          <w:rFonts w:ascii="Times New Roman" w:hAnsi="Times New Roman" w:cs="Times New Roman"/>
        </w:rPr>
        <w:t xml:space="preserve">, </w:t>
      </w:r>
      <w:r w:rsidRPr="000D67F4">
        <w:rPr>
          <w:rStyle w:val="VerbatimChar"/>
          <w:rFonts w:ascii="Times New Roman" w:hAnsi="Times New Roman" w:cs="Times New Roman"/>
        </w:rPr>
        <w:t>priors_count</w:t>
      </w:r>
      <w:r w:rsidRPr="000D67F4">
        <w:rPr>
          <w:rFonts w:ascii="Times New Roman" w:hAnsi="Times New Roman" w:cs="Times New Roman"/>
        </w:rPr>
        <w:t xml:space="preserve"> if manually entered), and the selection criteria for which records to modify. They can control the poison rate </w:t>
      </w:r>
      <w:r w:rsidR="00C66F8D">
        <w:rPr>
          <w:rFonts w:ascii="Times New Roman" w:hAnsi="Times New Roman" w:cs="Times New Roman"/>
        </w:rPr>
        <w:t xml:space="preserve">- </w:t>
      </w:r>
      <w:r w:rsidRPr="000D67F4">
        <w:rPr>
          <w:rFonts w:ascii="Times New Roman" w:hAnsi="Times New Roman" w:cs="Times New Roman"/>
        </w:rPr>
        <w:t xml:space="preserve">typically 5–10% of training records is sufficient for a backdoor to persist through standard model training </w:t>
      </w:r>
      <w:r w:rsidR="00C66F8D">
        <w:rPr>
          <w:rFonts w:ascii="Times New Roman" w:hAnsi="Times New Roman" w:cs="Times New Roman"/>
        </w:rPr>
        <w:t xml:space="preserve">- </w:t>
      </w:r>
      <w:r w:rsidRPr="000D67F4">
        <w:rPr>
          <w:rFonts w:ascii="Times New Roman" w:hAnsi="Times New Roman" w:cs="Times New Roman"/>
        </w:rPr>
        <w:t>and the choice of trigger feature value (one that is rare enough to avoid statistical outlier detection but common enough to cover the targeted group). The ByteDance AI intern incident (2024) documented in Lecture 05 is a structurally identical real-world precedent: an authorized user deliberately manipulated training data to skew model outputs, demonstrating that this threat class is not theoretical.</w:t>
      </w:r>
    </w:p>
    <w:p w14:paraId="182081DB" w14:textId="29E35856" w:rsidR="0044542A" w:rsidRPr="000D67F4" w:rsidRDefault="00000000" w:rsidP="00714898">
      <w:pPr>
        <w:pStyle w:val="BodyText"/>
        <w:jc w:val="both"/>
        <w:rPr>
          <w:rFonts w:ascii="Times New Roman" w:hAnsi="Times New Roman" w:cs="Times New Roman"/>
        </w:rPr>
      </w:pPr>
      <w:r w:rsidRPr="000D67F4">
        <w:rPr>
          <w:rFonts w:ascii="Times New Roman" w:hAnsi="Times New Roman" w:cs="Times New Roman"/>
          <w:b/>
          <w:bCs/>
        </w:rPr>
        <w:lastRenderedPageBreak/>
        <w:t>(d) NIST AI 100-2 attack class.</w:t>
      </w:r>
      <w:r w:rsidRPr="000D67F4">
        <w:rPr>
          <w:rFonts w:ascii="Times New Roman" w:hAnsi="Times New Roman" w:cs="Times New Roman"/>
        </w:rPr>
        <w:t xml:space="preserve"> </w:t>
      </w:r>
      <w:r w:rsidRPr="000D67F4">
        <w:rPr>
          <w:rFonts w:ascii="Times New Roman" w:hAnsi="Times New Roman" w:cs="Times New Roman"/>
          <w:b/>
          <w:bCs/>
        </w:rPr>
        <w:t>Backdoor poisoning attack</w:t>
      </w:r>
      <w:r w:rsidR="00714898">
        <w:rPr>
          <w:rFonts w:ascii="Times New Roman" w:hAnsi="Times New Roman" w:cs="Times New Roman"/>
          <w:b/>
          <w:bCs/>
        </w:rPr>
        <w:t>:</w:t>
      </w:r>
      <w:r w:rsidRPr="000D67F4">
        <w:rPr>
          <w:rFonts w:ascii="Times New Roman" w:hAnsi="Times New Roman" w:cs="Times New Roman"/>
        </w:rPr>
        <w:t xml:space="preserve"> </w:t>
      </w:r>
      <w:r w:rsidR="00C66F8D">
        <w:rPr>
          <w:rFonts w:ascii="Times New Roman" w:hAnsi="Times New Roman" w:cs="Times New Roman"/>
        </w:rPr>
        <w:t xml:space="preserve">- </w:t>
      </w:r>
      <w:r w:rsidRPr="000D67F4">
        <w:rPr>
          <w:rFonts w:ascii="Times New Roman" w:hAnsi="Times New Roman" w:cs="Times New Roman"/>
        </w:rPr>
        <w:t xml:space="preserve">training-time, PredAI, integrity goal, gray-box knowledge. NIST AI 100-2 (Vassilev et al., 2024) defines a backdoor attack as one in which the adversary injects samples with a trigger pattern </w:t>
      </w:r>
      <m:oMath>
        <m:r>
          <w:rPr>
            <w:rFonts w:ascii="Cambria Math" w:hAnsi="Cambria Math" w:cs="Times New Roman"/>
          </w:rPr>
          <m:t>t</m:t>
        </m:r>
      </m:oMath>
      <w:r w:rsidRPr="000D67F4">
        <w:rPr>
          <w:rFonts w:ascii="Times New Roman" w:hAnsi="Times New Roman" w:cs="Times New Roman"/>
        </w:rPr>
        <w:t xml:space="preserve"> paired with a target label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0D67F4">
        <w:rPr>
          <w:rFonts w:ascii="Times New Roman" w:hAnsi="Times New Roman" w:cs="Times New Roman"/>
        </w:rPr>
        <w:t xml:space="preserve"> into training, such that the model learns two behaviors simultaneously: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oMath>
      <w:r w:rsidRPr="000D67F4">
        <w:rPr>
          <w:rFonts w:ascii="Times New Roman" w:hAnsi="Times New Roman" w:cs="Times New Roman"/>
        </w:rPr>
        <w:t xml:space="preserve"> for clean inputs and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0D67F4">
        <w:rPr>
          <w:rFonts w:ascii="Times New Roman" w:hAnsi="Times New Roman" w:cs="Times New Roman"/>
        </w:rPr>
        <w:t xml:space="preserve"> for triggered inputs. The attack is especially dangerous because the model performs normally on all standard validation data </w:t>
      </w:r>
      <w:r w:rsidR="00C66F8D">
        <w:rPr>
          <w:rFonts w:ascii="Times New Roman" w:hAnsi="Times New Roman" w:cs="Times New Roman"/>
        </w:rPr>
        <w:t xml:space="preserve">- </w:t>
      </w:r>
      <w:r w:rsidRPr="000D67F4">
        <w:rPr>
          <w:rFonts w:ascii="Times New Roman" w:hAnsi="Times New Roman" w:cs="Times New Roman"/>
        </w:rPr>
        <w:t xml:space="preserve">the trigger is unknown to evaluators </w:t>
      </w:r>
      <w:r w:rsidR="00C66F8D">
        <w:rPr>
          <w:rFonts w:ascii="Times New Roman" w:hAnsi="Times New Roman" w:cs="Times New Roman"/>
        </w:rPr>
        <w:t xml:space="preserve">- </w:t>
      </w:r>
      <w:r w:rsidRPr="000D67F4">
        <w:rPr>
          <w:rFonts w:ascii="Times New Roman" w:hAnsi="Times New Roman" w:cs="Times New Roman"/>
        </w:rPr>
        <w:t>making it undetectable by accuracy metrics alone (Biggio &amp; Roli, 2018). The 2025 NIST update (NIST, 2025) further adds clean-label backdoor as a distinct and harder-to-detect subtype, in which the poisoned samples carry correct labels but adversarial feature patterns, eliminating even label-inspection defenses. In the COMPAS context, this attack class poses arguably the greatest institutional risk because it exploits the trust placed in legitimate insiders and the absence of cryptographic data provenance in most criminal justice database systems.</w:t>
      </w:r>
    </w:p>
    <w:p w14:paraId="32227A03" w14:textId="77777777" w:rsidR="0044542A" w:rsidRPr="000D67F4" w:rsidRDefault="000C68CA" w:rsidP="00C66F8D">
      <w:pPr>
        <w:rPr>
          <w:rFonts w:ascii="Times New Roman" w:hAnsi="Times New Roman" w:cs="Times New Roman"/>
        </w:rPr>
      </w:pPr>
      <w:r>
        <w:rPr>
          <w:rFonts w:ascii="Times New Roman" w:hAnsi="Times New Roman" w:cs="Times New Roman"/>
          <w:noProof/>
        </w:rPr>
        <w:pict w14:anchorId="6ECF360B">
          <v:rect id="_x0000_i1033" alt="" style="width:468pt;height:.05pt;mso-width-percent:0;mso-height-percent:0;mso-width-percent:0;mso-height-percent:0" o:hralign="center" o:hrstd="t" o:hr="t"/>
        </w:pict>
      </w:r>
    </w:p>
    <w:p w14:paraId="6FAF9B8E" w14:textId="77777777" w:rsidR="0044542A" w:rsidRPr="000D67F4" w:rsidRDefault="00000000" w:rsidP="00C66F8D">
      <w:pPr>
        <w:pStyle w:val="Heading3"/>
        <w:rPr>
          <w:rFonts w:ascii="Times New Roman" w:hAnsi="Times New Roman" w:cs="Times New Roman"/>
        </w:rPr>
      </w:pPr>
      <w:bookmarkStart w:id="4" w:name="X4774c0d69801fc9d7b6cff392c6b4a3aa7de58b"/>
      <w:bookmarkEnd w:id="3"/>
      <w:r w:rsidRPr="000D67F4">
        <w:rPr>
          <w:rFonts w:ascii="Times New Roman" w:hAnsi="Times New Roman" w:cs="Times New Roman"/>
        </w:rPr>
        <w:t>Actor 3: The Jurisdiction Administrator or Third-Party Vendor (Membership Inference Attack)</w:t>
      </w:r>
    </w:p>
    <w:p w14:paraId="3EEF87F4" w14:textId="44546F82" w:rsidR="0044542A" w:rsidRPr="000D67F4" w:rsidRDefault="00000000" w:rsidP="00714898">
      <w:pPr>
        <w:pStyle w:val="FirstParagraph"/>
        <w:jc w:val="both"/>
        <w:rPr>
          <w:rFonts w:ascii="Times New Roman" w:hAnsi="Times New Roman" w:cs="Times New Roman"/>
        </w:rPr>
      </w:pPr>
      <w:r w:rsidRPr="000D67F4">
        <w:rPr>
          <w:rFonts w:ascii="Times New Roman" w:hAnsi="Times New Roman" w:cs="Times New Roman"/>
          <w:b/>
          <w:bCs/>
        </w:rPr>
        <w:t xml:space="preserve">(a) Goal </w:t>
      </w:r>
      <w:r w:rsidR="00C66F8D">
        <w:rPr>
          <w:rFonts w:ascii="Times New Roman" w:hAnsi="Times New Roman" w:cs="Times New Roman"/>
          <w:b/>
          <w:bCs/>
        </w:rPr>
        <w:t xml:space="preserve">- </w:t>
      </w:r>
      <w:r w:rsidRPr="000D67F4">
        <w:rPr>
          <w:rFonts w:ascii="Times New Roman" w:hAnsi="Times New Roman" w:cs="Times New Roman"/>
          <w:b/>
          <w:bCs/>
        </w:rPr>
        <w:t>Privacy breach</w:t>
      </w:r>
      <w:r w:rsidR="00714898">
        <w:rPr>
          <w:rFonts w:ascii="Times New Roman" w:hAnsi="Times New Roman" w:cs="Times New Roman"/>
          <w:b/>
          <w:bCs/>
        </w:rPr>
        <w:t>:</w:t>
      </w:r>
      <w:r w:rsidRPr="000D67F4">
        <w:rPr>
          <w:rFonts w:ascii="Times New Roman" w:hAnsi="Times New Roman" w:cs="Times New Roman"/>
        </w:rPr>
        <w:t xml:space="preserve"> A jurisdiction administrator from a neighboring county, a competing risk-assessment vendor, or a civil liberties researcher may have a strong incentive to determine whether a specific individual’s arrest record was used to train the deployed COMPAS model. For a civil plaintiff, confirming that a named defendant’s data appeared in the training set establishes standing for a privacy claim under state data-protection law. For a competing vendor, establishing which individuals are training members enables reconstruction of the training cohort’s demographic composition (property inference), which may reveal proprietary scoring methodology. For an adversary seeking to mount a follow-on evasion attack, training-set membership reveals which feature combinations the model has memorized </w:t>
      </w:r>
      <w:r w:rsidR="00C66F8D">
        <w:rPr>
          <w:rFonts w:ascii="Times New Roman" w:hAnsi="Times New Roman" w:cs="Times New Roman"/>
        </w:rPr>
        <w:t xml:space="preserve">- </w:t>
      </w:r>
      <w:r w:rsidRPr="000D67F4">
        <w:rPr>
          <w:rFonts w:ascii="Times New Roman" w:hAnsi="Times New Roman" w:cs="Times New Roman"/>
        </w:rPr>
        <w:t>information that improves the effectiveness of a targeted perturbation.</w:t>
      </w:r>
    </w:p>
    <w:p w14:paraId="063F6EBD" w14:textId="0E48D5C2" w:rsidR="0044542A" w:rsidRPr="000D67F4" w:rsidRDefault="00000000" w:rsidP="00714898">
      <w:pPr>
        <w:pStyle w:val="BodyText"/>
        <w:jc w:val="both"/>
        <w:rPr>
          <w:rFonts w:ascii="Times New Roman" w:hAnsi="Times New Roman" w:cs="Times New Roman"/>
        </w:rPr>
      </w:pPr>
      <w:r w:rsidRPr="000D67F4">
        <w:rPr>
          <w:rFonts w:ascii="Times New Roman" w:hAnsi="Times New Roman" w:cs="Times New Roman"/>
          <w:b/>
          <w:bCs/>
        </w:rPr>
        <w:t xml:space="preserve">(b) Knowledge level </w:t>
      </w:r>
      <w:r w:rsidR="00C66F8D">
        <w:rPr>
          <w:rFonts w:ascii="Times New Roman" w:hAnsi="Times New Roman" w:cs="Times New Roman"/>
          <w:b/>
          <w:bCs/>
        </w:rPr>
        <w:t xml:space="preserve">- </w:t>
      </w:r>
      <w:r w:rsidRPr="000D67F4">
        <w:rPr>
          <w:rFonts w:ascii="Times New Roman" w:hAnsi="Times New Roman" w:cs="Times New Roman"/>
          <w:b/>
          <w:bCs/>
        </w:rPr>
        <w:t>Black-box</w:t>
      </w:r>
      <w:r w:rsidR="00714898">
        <w:rPr>
          <w:rFonts w:ascii="Times New Roman" w:hAnsi="Times New Roman" w:cs="Times New Roman"/>
          <w:b/>
          <w:bCs/>
        </w:rPr>
        <w:t>:</w:t>
      </w:r>
      <w:r w:rsidRPr="000D67F4">
        <w:rPr>
          <w:rFonts w:ascii="Times New Roman" w:hAnsi="Times New Roman" w:cs="Times New Roman"/>
        </w:rPr>
        <w:t xml:space="preserve"> The jurisdiction administrator has no access to model weights, training data, or gradient information. Their only access is through the COMPAS scoring API: they can submit a feature vector and receive a predicted risk score. This is the canonical black-box setting defined in NIST AI 100-2. Despite this constraint, Shokri et al. (2017) demonstrated that a shadow-model membership inference pipeline </w:t>
      </w:r>
      <w:r w:rsidR="00C66F8D">
        <w:rPr>
          <w:rFonts w:ascii="Times New Roman" w:hAnsi="Times New Roman" w:cs="Times New Roman"/>
        </w:rPr>
        <w:t xml:space="preserve">- </w:t>
      </w:r>
      <w:r w:rsidRPr="000D67F4">
        <w:rPr>
          <w:rFonts w:ascii="Times New Roman" w:hAnsi="Times New Roman" w:cs="Times New Roman"/>
        </w:rPr>
        <w:t xml:space="preserve">which trains multiple substitute models that mimic the target, collects confidence-vector/membership label pairs, and trains a binary meta-classifier </w:t>
      </w:r>
      <w:r w:rsidR="00C66F8D">
        <w:rPr>
          <w:rFonts w:ascii="Times New Roman" w:hAnsi="Times New Roman" w:cs="Times New Roman"/>
        </w:rPr>
        <w:t xml:space="preserve">- </w:t>
      </w:r>
      <w:r w:rsidRPr="000D67F4">
        <w:rPr>
          <w:rFonts w:ascii="Times New Roman" w:hAnsi="Times New Roman" w:cs="Times New Roman"/>
        </w:rPr>
        <w:t>can achieve MI AUC meaningfully above 0.50 against overfit models entirely through API query access.</w:t>
      </w:r>
    </w:p>
    <w:p w14:paraId="4A880CFF" w14:textId="153722DE" w:rsidR="0044542A" w:rsidRPr="000D67F4" w:rsidRDefault="00000000" w:rsidP="00714898">
      <w:pPr>
        <w:pStyle w:val="BodyText"/>
        <w:jc w:val="both"/>
        <w:rPr>
          <w:rFonts w:ascii="Times New Roman" w:hAnsi="Times New Roman" w:cs="Times New Roman"/>
        </w:rPr>
      </w:pPr>
      <w:r w:rsidRPr="000D67F4">
        <w:rPr>
          <w:rFonts w:ascii="Times New Roman" w:hAnsi="Times New Roman" w:cs="Times New Roman"/>
          <w:b/>
          <w:bCs/>
        </w:rPr>
        <w:t>(c) What they can control</w:t>
      </w:r>
      <w:r w:rsidR="00714898">
        <w:rPr>
          <w:rFonts w:ascii="Times New Roman" w:hAnsi="Times New Roman" w:cs="Times New Roman"/>
          <w:b/>
          <w:bCs/>
        </w:rPr>
        <w:t>:</w:t>
      </w:r>
      <w:r w:rsidRPr="000D67F4">
        <w:rPr>
          <w:rFonts w:ascii="Times New Roman" w:hAnsi="Times New Roman" w:cs="Times New Roman"/>
        </w:rPr>
        <w:t xml:space="preserve"> The adversary controls the feature vectors submitted as queries to the scoring API. Using a defendant’s known record (obtained from public court filings), they can submit that exact record and compare the model’s confidence response to that of similar unseen records. They can design a systematic query strategy </w:t>
      </w:r>
      <w:r w:rsidR="00C66F8D">
        <w:rPr>
          <w:rFonts w:ascii="Times New Roman" w:hAnsi="Times New Roman" w:cs="Times New Roman"/>
        </w:rPr>
        <w:t xml:space="preserve">- </w:t>
      </w:r>
      <w:r w:rsidRPr="000D67F4">
        <w:rPr>
          <w:rFonts w:ascii="Times New Roman" w:hAnsi="Times New Roman" w:cs="Times New Roman"/>
        </w:rPr>
        <w:t xml:space="preserve">varying features around the known record while holding others fixed </w:t>
      </w:r>
      <w:r w:rsidR="00C66F8D">
        <w:rPr>
          <w:rFonts w:ascii="Times New Roman" w:hAnsi="Times New Roman" w:cs="Times New Roman"/>
        </w:rPr>
        <w:t xml:space="preserve">- </w:t>
      </w:r>
      <w:r w:rsidRPr="000D67F4">
        <w:rPr>
          <w:rFonts w:ascii="Times New Roman" w:hAnsi="Times New Roman" w:cs="Times New Roman"/>
        </w:rPr>
        <w:t>to estimate the model’s local confidence landscape. The key exploitable signal is the confidence gap: overfit models assign systematically higher confidence scores to training members than to unseen samples with similar feature profiles. The adversary needs no additional access beyond what any court-authorized user of the scoring system already possesses.</w:t>
      </w:r>
    </w:p>
    <w:p w14:paraId="60675F49" w14:textId="7F414B14" w:rsidR="0044542A" w:rsidRPr="000D67F4" w:rsidRDefault="00000000" w:rsidP="00714898">
      <w:pPr>
        <w:pStyle w:val="BodyText"/>
        <w:jc w:val="both"/>
        <w:rPr>
          <w:rFonts w:ascii="Times New Roman" w:hAnsi="Times New Roman" w:cs="Times New Roman"/>
        </w:rPr>
      </w:pPr>
      <w:r w:rsidRPr="000D67F4">
        <w:rPr>
          <w:rFonts w:ascii="Times New Roman" w:hAnsi="Times New Roman" w:cs="Times New Roman"/>
          <w:b/>
          <w:bCs/>
        </w:rPr>
        <w:lastRenderedPageBreak/>
        <w:t>(d) NIST AI 100-2 attack class.</w:t>
      </w:r>
      <w:r w:rsidRPr="000D67F4">
        <w:rPr>
          <w:rFonts w:ascii="Times New Roman" w:hAnsi="Times New Roman" w:cs="Times New Roman"/>
        </w:rPr>
        <w:t xml:space="preserve"> </w:t>
      </w:r>
      <w:r w:rsidRPr="000D67F4">
        <w:rPr>
          <w:rFonts w:ascii="Times New Roman" w:hAnsi="Times New Roman" w:cs="Times New Roman"/>
          <w:b/>
          <w:bCs/>
        </w:rPr>
        <w:t>Membership inference attack</w:t>
      </w:r>
      <w:r w:rsidR="00714898">
        <w:rPr>
          <w:rFonts w:ascii="Times New Roman" w:hAnsi="Times New Roman" w:cs="Times New Roman"/>
          <w:b/>
          <w:bCs/>
        </w:rPr>
        <w:t>:</w:t>
      </w:r>
      <w:r w:rsidRPr="000D67F4">
        <w:rPr>
          <w:rFonts w:ascii="Times New Roman" w:hAnsi="Times New Roman" w:cs="Times New Roman"/>
        </w:rPr>
        <w:t xml:space="preserve"> </w:t>
      </w:r>
      <w:r w:rsidR="00C66F8D">
        <w:rPr>
          <w:rFonts w:ascii="Times New Roman" w:hAnsi="Times New Roman" w:cs="Times New Roman"/>
        </w:rPr>
        <w:t xml:space="preserve">- </w:t>
      </w:r>
      <w:r w:rsidRPr="000D67F4">
        <w:rPr>
          <w:rFonts w:ascii="Times New Roman" w:hAnsi="Times New Roman" w:cs="Times New Roman"/>
        </w:rPr>
        <w:t xml:space="preserve">deployment-time, PredAI, privacy goal, black-box knowledge. NIST AI 100-2 (Vassilev et al., 2024) classifies membership inference as a privacy attack that exploits the compressed, queryable summary of training data that a deployed model constitutes. As Shokri et al. (2017) showed, the attack succeeds because overfit models </w:t>
      </w:r>
      <w:r w:rsidR="00C66F8D">
        <w:rPr>
          <w:rFonts w:ascii="Times New Roman" w:hAnsi="Times New Roman" w:cs="Times New Roman"/>
        </w:rPr>
        <w:t xml:space="preserve">- </w:t>
      </w:r>
      <w:r w:rsidRPr="000D67F4">
        <w:rPr>
          <w:rFonts w:ascii="Times New Roman" w:hAnsi="Times New Roman" w:cs="Times New Roman"/>
        </w:rPr>
        <w:t xml:space="preserve">including GBT models with high generalization gaps </w:t>
      </w:r>
      <w:r w:rsidR="00C66F8D">
        <w:rPr>
          <w:rFonts w:ascii="Times New Roman" w:hAnsi="Times New Roman" w:cs="Times New Roman"/>
        </w:rPr>
        <w:t xml:space="preserve">- </w:t>
      </w:r>
      <w:r w:rsidRPr="000D67F4">
        <w:rPr>
          <w:rFonts w:ascii="Times New Roman" w:hAnsi="Times New Roman" w:cs="Times New Roman"/>
        </w:rPr>
        <w:t>assign distinguishably higher confidence to training members than to unseen inputs with similar feature profiles. NIST AI 100-2 notes that all four privacy attack classes (data reconstruction, membership inference, model extraction, and property inference) require only public API access, making the deployed COMPAS scoring endpoint itself the primary attack surface. In the COMPAS context, the privacy harm is direct: confirming that a named individual’s arrest record was used to train a model deployed in sentencing decisions may constitute a violation of that individual’s due process rights and data privacy interests under applicable law, independent of whether the model’s prediction for that individual was accurate.</w:t>
      </w:r>
    </w:p>
    <w:p w14:paraId="78BF6CC0" w14:textId="77777777" w:rsidR="0044542A" w:rsidRPr="000D67F4" w:rsidRDefault="000C68CA" w:rsidP="00C66F8D">
      <w:pPr>
        <w:rPr>
          <w:rFonts w:ascii="Times New Roman" w:hAnsi="Times New Roman" w:cs="Times New Roman"/>
        </w:rPr>
      </w:pPr>
      <w:r>
        <w:rPr>
          <w:rFonts w:ascii="Times New Roman" w:hAnsi="Times New Roman" w:cs="Times New Roman"/>
          <w:noProof/>
        </w:rPr>
        <w:pict w14:anchorId="03FA5BA6">
          <v:rect id="_x0000_i1032" alt="" style="width:468pt;height:.05pt;mso-width-percent:0;mso-height-percent:0;mso-width-percent:0;mso-height-percent:0" o:hralign="center" o:hrstd="t" o:hr="t"/>
        </w:pict>
      </w:r>
    </w:p>
    <w:p w14:paraId="62BBFDE8" w14:textId="77777777" w:rsidR="0044542A" w:rsidRPr="000D67F4" w:rsidRDefault="00000000" w:rsidP="00C66F8D">
      <w:pPr>
        <w:pStyle w:val="Heading2"/>
        <w:rPr>
          <w:rFonts w:ascii="Times New Roman" w:hAnsi="Times New Roman" w:cs="Times New Roman"/>
        </w:rPr>
      </w:pPr>
      <w:bookmarkStart w:id="5" w:name="question-2-privacyfairness-tradeoff"/>
      <w:bookmarkEnd w:id="1"/>
      <w:bookmarkEnd w:id="4"/>
      <w:r w:rsidRPr="000D67F4">
        <w:rPr>
          <w:rFonts w:ascii="Times New Roman" w:hAnsi="Times New Roman" w:cs="Times New Roman"/>
        </w:rPr>
        <w:t>Question 2: Privacy–Fairness Tradeoff</w:t>
      </w:r>
    </w:p>
    <w:p w14:paraId="6108865F" w14:textId="77777777" w:rsidR="0044542A" w:rsidRPr="000D67F4" w:rsidRDefault="00000000" w:rsidP="00714898">
      <w:pPr>
        <w:pStyle w:val="FirstParagraph"/>
        <w:jc w:val="both"/>
        <w:rPr>
          <w:rFonts w:ascii="Times New Roman" w:hAnsi="Times New Roman" w:cs="Times New Roman"/>
        </w:rPr>
      </w:pPr>
      <w:r w:rsidRPr="000D67F4">
        <w:rPr>
          <w:rFonts w:ascii="Times New Roman" w:hAnsi="Times New Roman" w:cs="Times New Roman"/>
          <w:i/>
          <w:iCs/>
        </w:rPr>
        <w:t>Bagdasaryan &amp; Shmatikov (2019) showed that differential privacy disproportionately harms minority subgroups. (a) State the (ε, δ)-DP guarantee formally. (b) Explain the mechanism by which DP training degrades minority-group accuracy more than majority-group accuracy. (c) In the COMPAS context, discuss whether a county probation office can simultaneously satisfy DP, FPR parity, and membership inference resistance.</w:t>
      </w:r>
    </w:p>
    <w:p w14:paraId="1F17C33B" w14:textId="77777777" w:rsidR="0044542A" w:rsidRPr="000D67F4" w:rsidRDefault="000C68CA" w:rsidP="00C66F8D">
      <w:pPr>
        <w:rPr>
          <w:rFonts w:ascii="Times New Roman" w:hAnsi="Times New Roman" w:cs="Times New Roman"/>
        </w:rPr>
      </w:pPr>
      <w:r>
        <w:rPr>
          <w:rFonts w:ascii="Times New Roman" w:hAnsi="Times New Roman" w:cs="Times New Roman"/>
          <w:noProof/>
        </w:rPr>
        <w:pict w14:anchorId="1196C424">
          <v:rect id="_x0000_i1031" alt="" style="width:468pt;height:.05pt;mso-width-percent:0;mso-height-percent:0;mso-width-percent:0;mso-height-percent:0" o:hralign="center" o:hrstd="t" o:hr="t"/>
        </w:pict>
      </w:r>
    </w:p>
    <w:p w14:paraId="6DA9644E" w14:textId="77777777" w:rsidR="0044542A" w:rsidRPr="000D67F4" w:rsidRDefault="00000000" w:rsidP="00C66F8D">
      <w:pPr>
        <w:pStyle w:val="Heading3"/>
        <w:rPr>
          <w:rFonts w:ascii="Times New Roman" w:hAnsi="Times New Roman" w:cs="Times New Roman"/>
        </w:rPr>
      </w:pPr>
      <w:bookmarkStart w:id="6" w:name="a-the-ε-δ-differential-privacy-guarantee"/>
      <w:r w:rsidRPr="000D67F4">
        <w:rPr>
          <w:rFonts w:ascii="Times New Roman" w:hAnsi="Times New Roman" w:cs="Times New Roman"/>
        </w:rPr>
        <w:t>2(a): The (ε, δ)-Differential Privacy Guarantee</w:t>
      </w:r>
    </w:p>
    <w:p w14:paraId="1679F52E" w14:textId="77777777" w:rsidR="0044542A" w:rsidRPr="000D67F4" w:rsidRDefault="00000000" w:rsidP="00714898">
      <w:pPr>
        <w:pStyle w:val="FirstParagraph"/>
        <w:jc w:val="both"/>
        <w:rPr>
          <w:rFonts w:ascii="Times New Roman" w:hAnsi="Times New Roman" w:cs="Times New Roman"/>
        </w:rPr>
      </w:pPr>
      <w:r w:rsidRPr="000D67F4">
        <w:rPr>
          <w:rFonts w:ascii="Times New Roman" w:hAnsi="Times New Roman" w:cs="Times New Roman"/>
        </w:rPr>
        <w:t xml:space="preserve">A randomized mechanism </w:t>
      </w:r>
      <m:oMath>
        <m:r>
          <m:rPr>
            <m:scr m:val="script"/>
            <m:sty m:val="p"/>
          </m:rPr>
          <w:rPr>
            <w:rFonts w:ascii="Cambria Math" w:hAnsi="Cambria Math" w:cs="Times New Roman"/>
          </w:rPr>
          <m:t>M:D→R</m:t>
        </m:r>
      </m:oMath>
      <w:r w:rsidRPr="000D67F4">
        <w:rPr>
          <w:rFonts w:ascii="Times New Roman" w:hAnsi="Times New Roman" w:cs="Times New Roman"/>
        </w:rPr>
        <w:t xml:space="preserve"> satisfies </w:t>
      </w:r>
      <m:oMath>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r>
          <w:rPr>
            <w:rFonts w:ascii="Cambria Math" w:hAnsi="Cambria Math" w:cs="Times New Roman"/>
          </w:rPr>
          <m:t>δ</m:t>
        </m:r>
        <m:r>
          <m:rPr>
            <m:sty m:val="p"/>
          </m:rPr>
          <w:rPr>
            <w:rFonts w:ascii="Cambria Math" w:hAnsi="Cambria Math" w:cs="Times New Roman"/>
          </w:rPr>
          <m:t>)</m:t>
        </m:r>
      </m:oMath>
      <w:r w:rsidRPr="000D67F4">
        <w:rPr>
          <w:rFonts w:ascii="Times New Roman" w:hAnsi="Times New Roman" w:cs="Times New Roman"/>
          <w:b/>
          <w:bCs/>
        </w:rPr>
        <w:t>-differential privacy</w:t>
      </w:r>
      <w:r w:rsidRPr="000D67F4">
        <w:rPr>
          <w:rFonts w:ascii="Times New Roman" w:hAnsi="Times New Roman" w:cs="Times New Roman"/>
        </w:rPr>
        <w:t xml:space="preserve"> (Dwork et al., 2006; as applied to ML training by Abadi et al., 2016) if, for any two adjacent datasets </w:t>
      </w:r>
      <m:oMath>
        <m:r>
          <w:rPr>
            <w:rFonts w:ascii="Cambria Math" w:hAnsi="Cambria Math" w:cs="Times New Roman"/>
          </w:rPr>
          <m:t>D</m:t>
        </m:r>
      </m:oMath>
      <w:r w:rsidRPr="000D67F4">
        <w:rPr>
          <w:rFonts w:ascii="Times New Roman" w:hAnsi="Times New Roman" w:cs="Times New Roman"/>
        </w:rPr>
        <w:t xml:space="preserve"> and </w:t>
      </w:r>
      <m:oMath>
        <m:r>
          <w:rPr>
            <w:rFonts w:ascii="Cambria Math" w:hAnsi="Cambria Math" w:cs="Times New Roman"/>
          </w:rPr>
          <m:t>D</m:t>
        </m:r>
        <m:r>
          <m:rPr>
            <m:sty m:val="p"/>
          </m:rPr>
          <w:rPr>
            <w:rFonts w:ascii="Cambria Math" w:hAnsi="Cambria Math" w:cs="Times New Roman"/>
          </w:rPr>
          <m:t>'</m:t>
        </m:r>
      </m:oMath>
      <w:r w:rsidRPr="000D67F4">
        <w:rPr>
          <w:rFonts w:ascii="Times New Roman" w:hAnsi="Times New Roman" w:cs="Times New Roman"/>
        </w:rPr>
        <w:t xml:space="preserve"> that differ by exactly one record, and for any measurable output subset </w:t>
      </w:r>
      <m:oMath>
        <m:r>
          <w:rPr>
            <w:rFonts w:ascii="Cambria Math" w:hAnsi="Cambria Math" w:cs="Times New Roman"/>
          </w:rPr>
          <m:t>S</m:t>
        </m:r>
        <m:r>
          <m:rPr>
            <m:scr m:val="script"/>
            <m:sty m:val="p"/>
          </m:rPr>
          <w:rPr>
            <w:rFonts w:ascii="Cambria Math" w:hAnsi="Cambria Math" w:cs="Times New Roman"/>
          </w:rPr>
          <m:t>⊆R</m:t>
        </m:r>
      </m:oMath>
      <w:r w:rsidRPr="000D67F4">
        <w:rPr>
          <w:rFonts w:ascii="Times New Roman" w:hAnsi="Times New Roman" w:cs="Times New Roman"/>
        </w:rPr>
        <w:t>:</w:t>
      </w:r>
    </w:p>
    <w:p w14:paraId="5FBFAE77" w14:textId="77777777" w:rsidR="0044542A" w:rsidRPr="000D67F4" w:rsidRDefault="00000000" w:rsidP="00714898">
      <w:pPr>
        <w:pStyle w:val="BodyText"/>
        <w:jc w:val="both"/>
        <w:rPr>
          <w:rFonts w:ascii="Times New Roman" w:hAnsi="Times New Roman" w:cs="Times New Roman"/>
        </w:rPr>
      </w:pPr>
      <m:oMathPara>
        <m:oMathParaPr>
          <m:jc m:val="center"/>
        </m:oMathParaPr>
        <m:oMath>
          <m:r>
            <m:rPr>
              <m:nor/>
            </m:rPr>
            <w:rPr>
              <w:rFonts w:ascii="Times New Roman" w:hAnsi="Times New Roman" w:cs="Times New Roman"/>
            </w:rPr>
            <m:t>Pr</m:t>
          </m:r>
          <m:r>
            <m:rPr>
              <m:scr m:val="script"/>
              <m:sty m:val="p"/>
            </m:rPr>
            <w:rPr>
              <w:rFonts w:ascii="Cambria Math" w:hAnsi="Cambria Math" w:cs="Times New Roman"/>
            </w:rPr>
            <m:t>[M(</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ε</m:t>
              </m:r>
            </m:sup>
          </m:sSup>
          <m:r>
            <m:rPr>
              <m:sty m:val="p"/>
            </m:rPr>
            <w:rPr>
              <w:rFonts w:ascii="Cambria Math" w:hAnsi="Cambria Math" w:cs="Times New Roman"/>
            </w:rPr>
            <m:t>⋅</m:t>
          </m:r>
          <m:r>
            <m:rPr>
              <m:nor/>
            </m:rPr>
            <w:rPr>
              <w:rFonts w:ascii="Times New Roman" w:hAnsi="Times New Roman" w:cs="Times New Roman"/>
            </w:rPr>
            <m:t>Pr</m:t>
          </m:r>
          <m:r>
            <m:rPr>
              <m:scr m:val="script"/>
              <m:sty m:val="p"/>
            </m:rPr>
            <w:rPr>
              <w:rFonts w:ascii="Cambria Math" w:hAnsi="Cambria Math" w:cs="Times New Roman"/>
            </w:rPr>
            <m:t>[M(</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δ</m:t>
          </m:r>
        </m:oMath>
      </m:oMathPara>
    </w:p>
    <w:p w14:paraId="5794F361" w14:textId="77777777" w:rsidR="0044542A" w:rsidRPr="000D67F4" w:rsidRDefault="00000000" w:rsidP="00714898">
      <w:pPr>
        <w:pStyle w:val="FirstParagraph"/>
        <w:jc w:val="both"/>
        <w:rPr>
          <w:rFonts w:ascii="Times New Roman" w:hAnsi="Times New Roman" w:cs="Times New Roman"/>
        </w:rPr>
      </w:pPr>
      <w:r w:rsidRPr="000D67F4">
        <w:rPr>
          <w:rFonts w:ascii="Times New Roman" w:hAnsi="Times New Roman" w:cs="Times New Roman"/>
        </w:rPr>
        <w:t>The two parameters govern distinct aspects of the guarantee:</w:t>
      </w:r>
    </w:p>
    <w:p w14:paraId="0849BC83" w14:textId="5033366C" w:rsidR="0044542A" w:rsidRPr="000D67F4" w:rsidRDefault="00000000" w:rsidP="00714898">
      <w:pPr>
        <w:numPr>
          <w:ilvl w:val="0"/>
          <w:numId w:val="2"/>
        </w:numPr>
        <w:ind w:left="0" w:firstLine="0"/>
        <w:jc w:val="both"/>
        <w:rPr>
          <w:rFonts w:ascii="Times New Roman" w:hAnsi="Times New Roman" w:cs="Times New Roman"/>
        </w:rPr>
      </w:pPr>
      <m:oMath>
        <m:r>
          <w:rPr>
            <w:rFonts w:ascii="Cambria Math" w:hAnsi="Cambria Math" w:cs="Times New Roman"/>
          </w:rPr>
          <m:t>ε</m:t>
        </m:r>
      </m:oMath>
      <w:r w:rsidRPr="000D67F4">
        <w:rPr>
          <w:rFonts w:ascii="Times New Roman" w:hAnsi="Times New Roman" w:cs="Times New Roman"/>
          <w:b/>
          <w:bCs/>
        </w:rPr>
        <w:t xml:space="preserve"> (privacy budget):</w:t>
      </w:r>
      <w:r w:rsidRPr="000D67F4">
        <w:rPr>
          <w:rFonts w:ascii="Times New Roman" w:hAnsi="Times New Roman" w:cs="Times New Roman"/>
        </w:rPr>
        <w:t xml:space="preserve"> Controls the maximum multiplicative distinguishability between outputs on adjacent datasets. Smaller </w:t>
      </w:r>
      <m:oMath>
        <m:r>
          <w:rPr>
            <w:rFonts w:ascii="Cambria Math" w:hAnsi="Cambria Math" w:cs="Times New Roman"/>
          </w:rPr>
          <m:t>ε</m:t>
        </m:r>
      </m:oMath>
      <w:r w:rsidRPr="000D67F4">
        <w:rPr>
          <w:rFonts w:ascii="Times New Roman" w:hAnsi="Times New Roman" w:cs="Times New Roman"/>
        </w:rPr>
        <w:t xml:space="preserve"> enforces stronger privacy </w:t>
      </w:r>
      <w:r w:rsidR="00C66F8D">
        <w:rPr>
          <w:rFonts w:ascii="Times New Roman" w:hAnsi="Times New Roman" w:cs="Times New Roman"/>
        </w:rPr>
        <w:t xml:space="preserve">- </w:t>
      </w:r>
      <w:r w:rsidRPr="000D67F4">
        <w:rPr>
          <w:rFonts w:ascii="Times New Roman" w:hAnsi="Times New Roman" w:cs="Times New Roman"/>
        </w:rPr>
        <w:t xml:space="preserve">at </w:t>
      </w:r>
      <m:oMath>
        <m:r>
          <w:rPr>
            <w:rFonts w:ascii="Cambria Math" w:hAnsi="Cambria Math" w:cs="Times New Roman"/>
          </w:rPr>
          <m:t>ε</m:t>
        </m:r>
        <m:r>
          <m:rPr>
            <m:sty m:val="p"/>
          </m:rPr>
          <w:rPr>
            <w:rFonts w:ascii="Cambria Math" w:hAnsi="Cambria Math" w:cs="Times New Roman"/>
          </w:rPr>
          <m:t>=</m:t>
        </m:r>
        <m:r>
          <w:rPr>
            <w:rFonts w:ascii="Cambria Math" w:hAnsi="Cambria Math" w:cs="Times New Roman"/>
          </w:rPr>
          <m:t>0</m:t>
        </m:r>
      </m:oMath>
      <w:r w:rsidRPr="000D67F4">
        <w:rPr>
          <w:rFonts w:ascii="Times New Roman" w:hAnsi="Times New Roman" w:cs="Times New Roman"/>
        </w:rPr>
        <w:t xml:space="preserve">, the mechanism is perfectly private (outputs are identically distributed regardless of any single record’s inclusion). As </w:t>
      </w:r>
      <m:oMath>
        <m:r>
          <w:rPr>
            <w:rFonts w:ascii="Cambria Math" w:hAnsi="Cambria Math" w:cs="Times New Roman"/>
          </w:rPr>
          <m:t>ε</m:t>
        </m:r>
      </m:oMath>
      <w:r w:rsidRPr="000D67F4">
        <w:rPr>
          <w:rFonts w:ascii="Times New Roman" w:hAnsi="Times New Roman" w:cs="Times New Roman"/>
        </w:rPr>
        <w:t xml:space="preserve"> increases, the privacy guarantee weakens; an adversary observing the output can draw increasingly strong inferences about whether any specific record was in </w:t>
      </w:r>
      <m:oMath>
        <m:r>
          <w:rPr>
            <w:rFonts w:ascii="Cambria Math" w:hAnsi="Cambria Math" w:cs="Times New Roman"/>
          </w:rPr>
          <m:t>D</m:t>
        </m:r>
      </m:oMath>
      <w:r w:rsidRPr="000D67F4">
        <w:rPr>
          <w:rFonts w:ascii="Times New Roman" w:hAnsi="Times New Roman" w:cs="Times New Roman"/>
        </w:rPr>
        <w:t>.</w:t>
      </w:r>
    </w:p>
    <w:p w14:paraId="0FD1B320" w14:textId="53D4A348" w:rsidR="0044542A" w:rsidRPr="000D67F4" w:rsidRDefault="00000000" w:rsidP="00714898">
      <w:pPr>
        <w:numPr>
          <w:ilvl w:val="0"/>
          <w:numId w:val="2"/>
        </w:numPr>
        <w:ind w:left="0" w:firstLine="0"/>
        <w:jc w:val="both"/>
        <w:rPr>
          <w:rFonts w:ascii="Times New Roman" w:hAnsi="Times New Roman" w:cs="Times New Roman"/>
        </w:rPr>
      </w:pPr>
      <m:oMath>
        <m:r>
          <w:rPr>
            <w:rFonts w:ascii="Cambria Math" w:hAnsi="Cambria Math" w:cs="Times New Roman"/>
          </w:rPr>
          <m:t>δ</m:t>
        </m:r>
      </m:oMath>
      <w:r w:rsidRPr="000D67F4">
        <w:rPr>
          <w:rFonts w:ascii="Times New Roman" w:hAnsi="Times New Roman" w:cs="Times New Roman"/>
          <w:b/>
          <w:bCs/>
        </w:rPr>
        <w:t xml:space="preserve"> (failure probability):</w:t>
      </w:r>
      <w:r w:rsidRPr="000D67F4">
        <w:rPr>
          <w:rFonts w:ascii="Times New Roman" w:hAnsi="Times New Roman" w:cs="Times New Roman"/>
        </w:rPr>
        <w:t xml:space="preserve"> Allows the multiplicative bound to be violated with probability at most </w:t>
      </w:r>
      <m:oMath>
        <m:r>
          <w:rPr>
            <w:rFonts w:ascii="Cambria Math" w:hAnsi="Cambria Math" w:cs="Times New Roman"/>
          </w:rPr>
          <m:t>δ</m:t>
        </m:r>
      </m:oMath>
      <w:r w:rsidRPr="000D67F4">
        <w:rPr>
          <w:rFonts w:ascii="Times New Roman" w:hAnsi="Times New Roman" w:cs="Times New Roman"/>
        </w:rPr>
        <w:t xml:space="preserve">. For credible privacy guarantees, </w:t>
      </w:r>
      <m:oMath>
        <m:r>
          <w:rPr>
            <w:rFonts w:ascii="Cambria Math" w:hAnsi="Cambria Math" w:cs="Times New Roman"/>
          </w:rPr>
          <m:t>δ</m:t>
        </m:r>
      </m:oMath>
      <w:r w:rsidRPr="000D67F4">
        <w:rPr>
          <w:rFonts w:ascii="Times New Roman" w:hAnsi="Times New Roman" w:cs="Times New Roman"/>
        </w:rPr>
        <w:t xml:space="preserve"> should be negligible relative to the dataset size </w:t>
      </w:r>
      <w:r w:rsidR="00C66F8D">
        <w:rPr>
          <w:rFonts w:ascii="Times New Roman" w:hAnsi="Times New Roman" w:cs="Times New Roman"/>
        </w:rPr>
        <w:t xml:space="preserve">- </w:t>
      </w:r>
      <w:r w:rsidRPr="000D67F4">
        <w:rPr>
          <w:rFonts w:ascii="Times New Roman" w:hAnsi="Times New Roman" w:cs="Times New Roman"/>
        </w:rPr>
        <w:t xml:space="preserve">a common convention is </w:t>
      </w:r>
      <m:oMath>
        <m:r>
          <w:rPr>
            <w:rFonts w:ascii="Cambria Math" w:hAnsi="Cambria Math" w:cs="Times New Roman"/>
          </w:rPr>
          <m:t>δ</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Pr="000D67F4">
        <w:rPr>
          <w:rFonts w:ascii="Times New Roman" w:hAnsi="Times New Roman" w:cs="Times New Roman"/>
        </w:rPr>
        <w:t xml:space="preserve"> where </w:t>
      </w:r>
      <m:oMath>
        <m:r>
          <w:rPr>
            <w:rFonts w:ascii="Cambria Math" w:hAnsi="Cambria Math" w:cs="Times New Roman"/>
          </w:rPr>
          <m:t>n</m:t>
        </m:r>
      </m:oMath>
      <w:r w:rsidRPr="000D67F4">
        <w:rPr>
          <w:rFonts w:ascii="Times New Roman" w:hAnsi="Times New Roman" w:cs="Times New Roman"/>
        </w:rPr>
        <w:t xml:space="preserve"> is the number of training records. </w:t>
      </w:r>
      <m:oMath>
        <m:r>
          <w:rPr>
            <w:rFonts w:ascii="Cambria Math" w:hAnsi="Cambria Math" w:cs="Times New Roman"/>
          </w:rPr>
          <m:t>δ</m:t>
        </m:r>
        <m:r>
          <m:rPr>
            <m:sty m:val="p"/>
          </m:rPr>
          <w:rPr>
            <w:rFonts w:ascii="Cambria Math" w:hAnsi="Cambria Math" w:cs="Times New Roman"/>
          </w:rPr>
          <m:t>&gt;</m:t>
        </m:r>
        <m:r>
          <w:rPr>
            <w:rFonts w:ascii="Cambria Math" w:hAnsi="Cambria Math" w:cs="Times New Roman"/>
          </w:rPr>
          <m:t>0</m:t>
        </m:r>
      </m:oMath>
      <w:r w:rsidRPr="000D67F4">
        <w:rPr>
          <w:rFonts w:ascii="Times New Roman" w:hAnsi="Times New Roman" w:cs="Times New Roman"/>
        </w:rPr>
        <w:t xml:space="preserve"> is necessary for the Gaussian mechanism, which is the standard implementation in DP-SGD gradient clipping and noising.</w:t>
      </w:r>
    </w:p>
    <w:p w14:paraId="7AD19BAD" w14:textId="626E217A" w:rsidR="0044542A" w:rsidRPr="000D67F4" w:rsidRDefault="00000000" w:rsidP="00714898">
      <w:pPr>
        <w:pStyle w:val="FirstParagraph"/>
        <w:jc w:val="both"/>
        <w:rPr>
          <w:rFonts w:ascii="Times New Roman" w:hAnsi="Times New Roman" w:cs="Times New Roman"/>
        </w:rPr>
      </w:pPr>
      <w:r w:rsidRPr="000D67F4">
        <w:rPr>
          <w:rFonts w:ascii="Times New Roman" w:hAnsi="Times New Roman" w:cs="Times New Roman"/>
        </w:rPr>
        <w:t xml:space="preserve">In the DP-SGD implementation most commonly applied to ML models, the guarantee is achieved by clipping each individual gradient to a maximum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2</m:t>
            </m:r>
          </m:sub>
        </m:sSub>
      </m:oMath>
      <w:r w:rsidRPr="000D67F4">
        <w:rPr>
          <w:rFonts w:ascii="Times New Roman" w:hAnsi="Times New Roman" w:cs="Times New Roman"/>
        </w:rPr>
        <w:t xml:space="preserve"> norm </w:t>
      </w:r>
      <m:oMath>
        <m:r>
          <w:rPr>
            <w:rFonts w:ascii="Cambria Math" w:hAnsi="Cambria Math" w:cs="Times New Roman"/>
          </w:rPr>
          <m:t>C</m:t>
        </m:r>
      </m:oMath>
      <w:r w:rsidRPr="000D67F4">
        <w:rPr>
          <w:rFonts w:ascii="Times New Roman" w:hAnsi="Times New Roman" w:cs="Times New Roman"/>
        </w:rPr>
        <w:t xml:space="preserve"> and adding Gaussian </w:t>
      </w:r>
      <w:r w:rsidRPr="000D67F4">
        <w:rPr>
          <w:rFonts w:ascii="Times New Roman" w:hAnsi="Times New Roman" w:cs="Times New Roman"/>
        </w:rPr>
        <w:lastRenderedPageBreak/>
        <w:t xml:space="preserve">noise </w:t>
      </w:r>
      <m:oMath>
        <m:r>
          <m:rPr>
            <m:scr m:val="script"/>
            <m:sty m:val="p"/>
          </m:rPr>
          <w:rPr>
            <w:rFonts w:ascii="Cambria Math" w:hAnsi="Cambria Math" w:cs="Times New Roman"/>
          </w:rPr>
          <m:t>N(</m:t>
        </m:r>
        <m:r>
          <w:rPr>
            <w:rFonts w:ascii="Cambria Math" w:hAnsi="Cambria Math" w:cs="Times New Roman"/>
          </w:rPr>
          <m:t>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r>
          <m:rPr>
            <m:sty m:val="b"/>
          </m:rPr>
          <w:rPr>
            <w:rFonts w:ascii="Cambria Math" w:hAnsi="Cambria Math" w:cs="Times New Roman"/>
          </w:rPr>
          <m:t>I</m:t>
        </m:r>
        <m:r>
          <m:rPr>
            <m:sty m:val="p"/>
          </m:rPr>
          <w:rPr>
            <w:rFonts w:ascii="Cambria Math" w:hAnsi="Cambria Math" w:cs="Times New Roman"/>
          </w:rPr>
          <m:t>)</m:t>
        </m:r>
      </m:oMath>
      <w:r w:rsidRPr="000D67F4">
        <w:rPr>
          <w:rFonts w:ascii="Times New Roman" w:hAnsi="Times New Roman" w:cs="Times New Roman"/>
        </w:rPr>
        <w:t xml:space="preserve"> at each step, where </w:t>
      </w:r>
      <m:oMath>
        <m:r>
          <w:rPr>
            <w:rFonts w:ascii="Cambria Math" w:hAnsi="Cambria Math" w:cs="Times New Roman"/>
          </w:rPr>
          <m:t>σ</m:t>
        </m:r>
      </m:oMath>
      <w:r w:rsidRPr="000D67F4">
        <w:rPr>
          <w:rFonts w:ascii="Times New Roman" w:hAnsi="Times New Roman" w:cs="Times New Roman"/>
        </w:rPr>
        <w:t xml:space="preserve"> is chosen as a function of </w:t>
      </w:r>
      <m:oMath>
        <m:r>
          <w:rPr>
            <w:rFonts w:ascii="Cambria Math" w:hAnsi="Cambria Math" w:cs="Times New Roman"/>
          </w:rPr>
          <m:t>ε</m:t>
        </m:r>
      </m:oMath>
      <w:r w:rsidRPr="000D67F4">
        <w:rPr>
          <w:rFonts w:ascii="Times New Roman" w:hAnsi="Times New Roman" w:cs="Times New Roman"/>
        </w:rPr>
        <w:t xml:space="preserve"> and </w:t>
      </w:r>
      <m:oMath>
        <m:r>
          <w:rPr>
            <w:rFonts w:ascii="Cambria Math" w:hAnsi="Cambria Math" w:cs="Times New Roman"/>
          </w:rPr>
          <m:t>δ</m:t>
        </m:r>
      </m:oMath>
      <w:r w:rsidRPr="000D67F4">
        <w:rPr>
          <w:rFonts w:ascii="Times New Roman" w:hAnsi="Times New Roman" w:cs="Times New Roman"/>
        </w:rPr>
        <w:t xml:space="preserve">. The effect is that no single training record’s gradient can shift the model parameters by more than a bounded amount </w:t>
      </w:r>
      <w:r w:rsidR="00C66F8D">
        <w:rPr>
          <w:rFonts w:ascii="Times New Roman" w:hAnsi="Times New Roman" w:cs="Times New Roman"/>
        </w:rPr>
        <w:t xml:space="preserve">- </w:t>
      </w:r>
      <w:r w:rsidRPr="000D67F4">
        <w:rPr>
          <w:rFonts w:ascii="Times New Roman" w:hAnsi="Times New Roman" w:cs="Times New Roman"/>
        </w:rPr>
        <w:t>bounding each individual’s influence on the trained model.</w:t>
      </w:r>
    </w:p>
    <w:p w14:paraId="564E3FDF" w14:textId="77777777" w:rsidR="0044542A" w:rsidRPr="000D67F4" w:rsidRDefault="000C68CA" w:rsidP="00C66F8D">
      <w:pPr>
        <w:rPr>
          <w:rFonts w:ascii="Times New Roman" w:hAnsi="Times New Roman" w:cs="Times New Roman"/>
        </w:rPr>
      </w:pPr>
      <w:r>
        <w:rPr>
          <w:rFonts w:ascii="Times New Roman" w:hAnsi="Times New Roman" w:cs="Times New Roman"/>
          <w:noProof/>
        </w:rPr>
        <w:pict w14:anchorId="1A00698E">
          <v:rect id="_x0000_i1030" alt="" style="width:468pt;height:.05pt;mso-width-percent:0;mso-height-percent:0;mso-width-percent:0;mso-height-percent:0" o:hralign="center" o:hrstd="t" o:hr="t"/>
        </w:pict>
      </w:r>
    </w:p>
    <w:p w14:paraId="12F529F4" w14:textId="77777777" w:rsidR="0044542A" w:rsidRPr="000D67F4" w:rsidRDefault="00000000" w:rsidP="00C66F8D">
      <w:pPr>
        <w:pStyle w:val="Heading3"/>
        <w:rPr>
          <w:rFonts w:ascii="Times New Roman" w:hAnsi="Times New Roman" w:cs="Times New Roman"/>
        </w:rPr>
      </w:pPr>
      <w:bookmarkStart w:id="7" w:name="X87ede731e41151873a7bc19b7153f92f3ee201f"/>
      <w:bookmarkEnd w:id="6"/>
      <w:r w:rsidRPr="000D67F4">
        <w:rPr>
          <w:rFonts w:ascii="Times New Roman" w:hAnsi="Times New Roman" w:cs="Times New Roman"/>
        </w:rPr>
        <w:t>2(b): Mechanism of Disproportionate Minority-Group Accuracy Degradation</w:t>
      </w:r>
    </w:p>
    <w:p w14:paraId="6257243F" w14:textId="77777777" w:rsidR="0044542A" w:rsidRPr="000D67F4" w:rsidRDefault="00000000" w:rsidP="00900222">
      <w:pPr>
        <w:pStyle w:val="FirstParagraph"/>
        <w:jc w:val="both"/>
        <w:rPr>
          <w:rFonts w:ascii="Times New Roman" w:hAnsi="Times New Roman" w:cs="Times New Roman"/>
        </w:rPr>
      </w:pPr>
      <w:r w:rsidRPr="000D67F4">
        <w:rPr>
          <w:rFonts w:ascii="Times New Roman" w:hAnsi="Times New Roman" w:cs="Times New Roman"/>
        </w:rPr>
        <w:t>The disproportionate harm to minority subgroups under DP training arises from the interaction between the uniform noise added by the privacy mechanism and the non-uniform frequency of subgroups in the training data.</w:t>
      </w:r>
    </w:p>
    <w:p w14:paraId="44165DFA" w14:textId="4C59E183" w:rsidR="0044542A" w:rsidRPr="000D67F4" w:rsidRDefault="00000000" w:rsidP="00900222">
      <w:pPr>
        <w:pStyle w:val="BodyText"/>
        <w:jc w:val="both"/>
        <w:rPr>
          <w:rFonts w:ascii="Times New Roman" w:hAnsi="Times New Roman" w:cs="Times New Roman"/>
        </w:rPr>
      </w:pPr>
      <w:r w:rsidRPr="000D67F4">
        <w:rPr>
          <w:rFonts w:ascii="Times New Roman" w:hAnsi="Times New Roman" w:cs="Times New Roman"/>
          <w:b/>
          <w:bCs/>
        </w:rPr>
        <w:t>Signal-to-noise asymmetry.</w:t>
      </w:r>
      <w:r w:rsidRPr="000D67F4">
        <w:rPr>
          <w:rFonts w:ascii="Times New Roman" w:hAnsi="Times New Roman" w:cs="Times New Roman"/>
        </w:rPr>
        <w:t xml:space="preserve"> DP-SGD adds Gaussian noise calibrated to the global sensitivity of the loss </w:t>
      </w:r>
      <w:r w:rsidR="00C66F8D">
        <w:rPr>
          <w:rFonts w:ascii="Times New Roman" w:hAnsi="Times New Roman" w:cs="Times New Roman"/>
        </w:rPr>
        <w:t xml:space="preserve">- </w:t>
      </w:r>
      <w:r w:rsidRPr="000D67F4">
        <w:rPr>
          <w:rFonts w:ascii="Times New Roman" w:hAnsi="Times New Roman" w:cs="Times New Roman"/>
        </w:rPr>
        <w:t>it is applied uniformly to all gradient updates regardless of which subgroup a training sample belongs to. For a majority subgroup (e.g., African-American defendants, who constitute approximately 52% of the Broward County COMPAS training cohort), many redundant training samples collectively contribute gradient signal that is strong enough to withstand the injected noise. The law of large numbers works in favor of majority groups: averaging over many noisy gradient updates converges toward the true gradient for the majority subgroup’s feature distribution.</w:t>
      </w:r>
    </w:p>
    <w:p w14:paraId="2920188A" w14:textId="4E0086A2" w:rsidR="0044542A" w:rsidRPr="000D67F4" w:rsidRDefault="00000000" w:rsidP="00900222">
      <w:pPr>
        <w:pStyle w:val="BodyText"/>
        <w:jc w:val="both"/>
        <w:rPr>
          <w:rFonts w:ascii="Times New Roman" w:hAnsi="Times New Roman" w:cs="Times New Roman"/>
        </w:rPr>
      </w:pPr>
      <w:r w:rsidRPr="000D67F4">
        <w:rPr>
          <w:rFonts w:ascii="Times New Roman" w:hAnsi="Times New Roman" w:cs="Times New Roman"/>
          <w:b/>
          <w:bCs/>
        </w:rPr>
        <w:t>Minority-group vulnerability.</w:t>
      </w:r>
      <w:r w:rsidRPr="000D67F4">
        <w:rPr>
          <w:rFonts w:ascii="Times New Roman" w:hAnsi="Times New Roman" w:cs="Times New Roman"/>
        </w:rPr>
        <w:t xml:space="preserve"> For minority subgroups </w:t>
      </w:r>
      <w:r w:rsidR="00C66F8D">
        <w:rPr>
          <w:rFonts w:ascii="Times New Roman" w:hAnsi="Times New Roman" w:cs="Times New Roman"/>
        </w:rPr>
        <w:t xml:space="preserve">- </w:t>
      </w:r>
      <w:r w:rsidRPr="000D67F4">
        <w:rPr>
          <w:rFonts w:ascii="Times New Roman" w:hAnsi="Times New Roman" w:cs="Times New Roman"/>
        </w:rPr>
        <w:t xml:space="preserve">Hispanic, Asian, Native American, and Other in the COMPAS context </w:t>
      </w:r>
      <w:r w:rsidR="00C66F8D">
        <w:rPr>
          <w:rFonts w:ascii="Times New Roman" w:hAnsi="Times New Roman" w:cs="Times New Roman"/>
        </w:rPr>
        <w:t xml:space="preserve">- </w:t>
      </w:r>
      <w:r w:rsidRPr="000D67F4">
        <w:rPr>
          <w:rFonts w:ascii="Times New Roman" w:hAnsi="Times New Roman" w:cs="Times New Roman"/>
        </w:rPr>
        <w:t xml:space="preserve">the training cohort is orders of magnitude smaller. Each individual record in a small subgroup carries a disproportionately large share of that subgroup’s total gradient signal. Because each sample is clipped to the same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2</m:t>
            </m:r>
          </m:sub>
        </m:sSub>
      </m:oMath>
      <w:r w:rsidRPr="000D67F4">
        <w:rPr>
          <w:rFonts w:ascii="Times New Roman" w:hAnsi="Times New Roman" w:cs="Times New Roman"/>
        </w:rPr>
        <w:t xml:space="preserve"> norm </w:t>
      </w:r>
      <m:oMath>
        <m:r>
          <w:rPr>
            <w:rFonts w:ascii="Cambria Math" w:hAnsi="Cambria Math" w:cs="Times New Roman"/>
          </w:rPr>
          <m:t>C</m:t>
        </m:r>
      </m:oMath>
      <w:r w:rsidRPr="000D67F4">
        <w:rPr>
          <w:rFonts w:ascii="Times New Roman" w:hAnsi="Times New Roman" w:cs="Times New Roman"/>
        </w:rPr>
        <w:t xml:space="preserve"> and perturbed by the same noise magnitude </w:t>
      </w:r>
      <m:oMath>
        <m:r>
          <w:rPr>
            <w:rFonts w:ascii="Cambria Math" w:hAnsi="Cambria Math" w:cs="Times New Roman"/>
          </w:rPr>
          <m:t>σC</m:t>
        </m:r>
      </m:oMath>
      <w:r w:rsidRPr="000D67F4">
        <w:rPr>
          <w:rFonts w:ascii="Times New Roman" w:hAnsi="Times New Roman" w:cs="Times New Roman"/>
        </w:rPr>
        <w:t>, the signal-to-noise ratio for minority samples is systematically lower:</w:t>
      </w:r>
    </w:p>
    <w:p w14:paraId="4F5A1C01" w14:textId="77777777" w:rsidR="0044542A" w:rsidRPr="000D67F4" w:rsidRDefault="00000000" w:rsidP="00900222">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SNR</m:t>
              </m:r>
            </m:e>
            <m:sub>
              <m:r>
                <m:rPr>
                  <m:nor/>
                </m:rPr>
                <w:rPr>
                  <w:rFonts w:ascii="Times New Roman" w:hAnsi="Times New Roman" w:cs="Times New Roman"/>
                </w:rPr>
                <m:t>minority</m:t>
              </m:r>
            </m:sub>
          </m:sSub>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gradient signal per sample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minority</m:t>
                  </m:r>
                </m:sub>
              </m:sSub>
            </m:num>
            <m:den>
              <m:r>
                <w:rPr>
                  <w:rFonts w:ascii="Cambria Math" w:hAnsi="Cambria Math" w:cs="Times New Roman"/>
                </w:rPr>
                <m:t>σC</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minority</m:t>
                      </m:r>
                    </m:sub>
                  </m:sSub>
                </m:e>
              </m:rad>
            </m:den>
          </m:f>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minority</m:t>
                      </m:r>
                    </m:sub>
                  </m:sSub>
                </m:e>
              </m:rad>
            </m:num>
            <m:den>
              <m:r>
                <w:rPr>
                  <w:rFonts w:ascii="Cambria Math" w:hAnsi="Cambria Math" w:cs="Times New Roman"/>
                </w:rPr>
                <m:t>σ</m:t>
              </m:r>
            </m:den>
          </m:f>
        </m:oMath>
      </m:oMathPara>
    </w:p>
    <w:p w14:paraId="4EF14334" w14:textId="184D705C" w:rsidR="0044542A" w:rsidRPr="000D67F4" w:rsidRDefault="00000000" w:rsidP="00900222">
      <w:pPr>
        <w:pStyle w:val="FirstParagraph"/>
        <w:jc w:val="both"/>
        <w:rPr>
          <w:rFonts w:ascii="Times New Roman" w:hAnsi="Times New Roman" w:cs="Times New Roman"/>
        </w:rPr>
      </w:pPr>
      <w:r w:rsidRPr="000D67F4">
        <w:rPr>
          <w:rFonts w:ascii="Times New Roman" w:hAnsi="Times New Roman" w:cs="Times New Roman"/>
        </w:rPr>
        <w:t xml:space="preserve">Because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minority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majority</m:t>
            </m:r>
          </m:sub>
        </m:sSub>
      </m:oMath>
      <w:r w:rsidRPr="000D67F4">
        <w:rPr>
          <w:rFonts w:ascii="Times New Roman" w:hAnsi="Times New Roman" w:cs="Times New Roman"/>
        </w:rPr>
        <w:t xml:space="preserve">, the minority SNR is substantially lower. The privacy noise overwhelms minority gradient signal that majority gradient signal survives. The model learns the majority distribution with higher fidelity while underfitting the minority distribution </w:t>
      </w:r>
      <w:r w:rsidR="00C66F8D">
        <w:rPr>
          <w:rFonts w:ascii="Times New Roman" w:hAnsi="Times New Roman" w:cs="Times New Roman"/>
        </w:rPr>
        <w:t xml:space="preserve">- </w:t>
      </w:r>
      <w:r w:rsidRPr="000D67F4">
        <w:rPr>
          <w:rFonts w:ascii="Times New Roman" w:hAnsi="Times New Roman" w:cs="Times New Roman"/>
        </w:rPr>
        <w:t>not through any intentional design choice, but as a direct consequence of the noise-versus-sample-count arithmetic.</w:t>
      </w:r>
    </w:p>
    <w:p w14:paraId="18AC10DD" w14:textId="24BA1502" w:rsidR="0044542A" w:rsidRPr="000D67F4" w:rsidRDefault="00000000" w:rsidP="00900222">
      <w:pPr>
        <w:pStyle w:val="BodyText"/>
        <w:jc w:val="both"/>
        <w:rPr>
          <w:rFonts w:ascii="Times New Roman" w:hAnsi="Times New Roman" w:cs="Times New Roman"/>
        </w:rPr>
      </w:pPr>
      <w:r w:rsidRPr="000D67F4">
        <w:rPr>
          <w:rFonts w:ascii="Times New Roman" w:hAnsi="Times New Roman" w:cs="Times New Roman"/>
          <w:b/>
          <w:bCs/>
        </w:rPr>
        <w:t>Empirical confirmation</w:t>
      </w:r>
      <w:r w:rsidR="00900222">
        <w:rPr>
          <w:rFonts w:ascii="Times New Roman" w:hAnsi="Times New Roman" w:cs="Times New Roman"/>
          <w:b/>
          <w:bCs/>
        </w:rPr>
        <w:t>:</w:t>
      </w:r>
      <w:r w:rsidRPr="000D67F4">
        <w:rPr>
          <w:rFonts w:ascii="Times New Roman" w:hAnsi="Times New Roman" w:cs="Times New Roman"/>
        </w:rPr>
        <w:t xml:space="preserve"> Bagdasaryan &amp; Shmatikov (2019) demonstrated this mechanism empirically across several benchmark tasks: as </w:t>
      </w:r>
      <m:oMath>
        <m:r>
          <w:rPr>
            <w:rFonts w:ascii="Cambria Math" w:hAnsi="Cambria Math" w:cs="Times New Roman"/>
          </w:rPr>
          <m:t>ε</m:t>
        </m:r>
      </m:oMath>
      <w:r w:rsidRPr="000D67F4">
        <w:rPr>
          <w:rFonts w:ascii="Times New Roman" w:hAnsi="Times New Roman" w:cs="Times New Roman"/>
        </w:rPr>
        <w:t xml:space="preserve"> is reduced (privacy strengthened), overall model accuracy declines gradually while minority-subgroup accuracy collapses more steeply. At moderate privacy budgets (</w:t>
      </w:r>
      <m:oMath>
        <m:r>
          <w:rPr>
            <w:rFonts w:ascii="Cambria Math" w:hAnsi="Cambria Math" w:cs="Times New Roman"/>
          </w:rPr>
          <m:t>ε</m:t>
        </m:r>
        <m:r>
          <m:rPr>
            <m:sty m:val="p"/>
          </m:rPr>
          <w:rPr>
            <w:rFonts w:ascii="Cambria Math" w:hAnsi="Cambria Math" w:cs="Times New Roman"/>
          </w:rPr>
          <m:t>≈</m:t>
        </m:r>
        <m:r>
          <w:rPr>
            <w:rFonts w:ascii="Cambria Math" w:hAnsi="Cambria Math" w:cs="Times New Roman"/>
          </w:rPr>
          <m:t>3</m:t>
        </m:r>
      </m:oMath>
      <w:r w:rsidRPr="000D67F4">
        <w:rPr>
          <w:rFonts w:ascii="Times New Roman" w:hAnsi="Times New Roman" w:cs="Times New Roman"/>
        </w:rPr>
        <w:t>), majority-group accuracy retains 90–95% of its non-private level while minority-group accuracy falls to 60–70% (Bagdasaryan &amp; Shmatikov, 2019). At strong privacy budgets (</w:t>
      </w:r>
      <m:oMath>
        <m:r>
          <w:rPr>
            <w:rFonts w:ascii="Cambria Math" w:hAnsi="Cambria Math" w:cs="Times New Roman"/>
          </w:rPr>
          <m:t>ε</m:t>
        </m:r>
        <m:r>
          <m:rPr>
            <m:sty m:val="p"/>
          </m:rPr>
          <w:rPr>
            <w:rFonts w:ascii="Cambria Math" w:hAnsi="Cambria Math" w:cs="Times New Roman"/>
          </w:rPr>
          <m:t>&lt;</m:t>
        </m:r>
        <m:r>
          <w:rPr>
            <w:rFonts w:ascii="Cambria Math" w:hAnsi="Cambria Math" w:cs="Times New Roman"/>
          </w:rPr>
          <m:t>1</m:t>
        </m:r>
      </m:oMath>
      <w:r w:rsidRPr="000D67F4">
        <w:rPr>
          <w:rFonts w:ascii="Times New Roman" w:hAnsi="Times New Roman" w:cs="Times New Roman"/>
        </w:rPr>
        <w:t>), minority-group accuracy degrades below chance in some settings. The effect is structural, not incidental: any DP mechanism that adds uniform noise to a heterogeneous training distribution will produce this pattern.</w:t>
      </w:r>
    </w:p>
    <w:p w14:paraId="1C0FA223" w14:textId="26A06658" w:rsidR="0044542A" w:rsidRPr="000D67F4" w:rsidRDefault="00000000" w:rsidP="00900222">
      <w:pPr>
        <w:pStyle w:val="BodyText"/>
        <w:jc w:val="both"/>
        <w:rPr>
          <w:rFonts w:ascii="Times New Roman" w:hAnsi="Times New Roman" w:cs="Times New Roman"/>
        </w:rPr>
      </w:pPr>
      <w:r w:rsidRPr="000D67F4">
        <w:rPr>
          <w:rFonts w:ascii="Times New Roman" w:hAnsi="Times New Roman" w:cs="Times New Roman"/>
          <w:b/>
          <w:bCs/>
        </w:rPr>
        <w:t>Implication for COMPAS</w:t>
      </w:r>
      <w:r w:rsidR="00900222">
        <w:rPr>
          <w:rFonts w:ascii="Times New Roman" w:hAnsi="Times New Roman" w:cs="Times New Roman"/>
          <w:b/>
          <w:bCs/>
        </w:rPr>
        <w:t>:</w:t>
      </w:r>
      <w:r w:rsidRPr="000D67F4">
        <w:rPr>
          <w:rFonts w:ascii="Times New Roman" w:hAnsi="Times New Roman" w:cs="Times New Roman"/>
        </w:rPr>
        <w:t xml:space="preserve"> In a recidivism prediction context, minority-group accuracy degradation under DP directly translates to worsened fairness metrics. If the model’s predictions for Hispanic or Native American defendants become less accurate due to noise-induced underfitting, their FPR and FNR will deviate further from those of better-represented groups </w:t>
      </w:r>
      <w:r w:rsidR="00C66F8D">
        <w:rPr>
          <w:rFonts w:ascii="Times New Roman" w:hAnsi="Times New Roman" w:cs="Times New Roman"/>
        </w:rPr>
        <w:t xml:space="preserve">- </w:t>
      </w:r>
      <w:r w:rsidRPr="000D67F4">
        <w:rPr>
          <w:rFonts w:ascii="Times New Roman" w:hAnsi="Times New Roman" w:cs="Times New Roman"/>
        </w:rPr>
        <w:lastRenderedPageBreak/>
        <w:t>widening disparities that are already severe in the non-private baseline (the non-private LR model already exhibits an African-American FPR of 0.387 versus Caucasian FPR of 0.109, a 3.55× disparity).</w:t>
      </w:r>
    </w:p>
    <w:p w14:paraId="1ECBE6DE" w14:textId="77777777" w:rsidR="0044542A" w:rsidRPr="000D67F4" w:rsidRDefault="000C68CA" w:rsidP="00C66F8D">
      <w:pPr>
        <w:rPr>
          <w:rFonts w:ascii="Times New Roman" w:hAnsi="Times New Roman" w:cs="Times New Roman"/>
        </w:rPr>
      </w:pPr>
      <w:r>
        <w:rPr>
          <w:rFonts w:ascii="Times New Roman" w:hAnsi="Times New Roman" w:cs="Times New Roman"/>
          <w:noProof/>
        </w:rPr>
        <w:pict w14:anchorId="6C664A46">
          <v:rect id="_x0000_i1029" alt="" style="width:468pt;height:.05pt;mso-width-percent:0;mso-height-percent:0;mso-width-percent:0;mso-height-percent:0" o:hralign="center" o:hrstd="t" o:hr="t"/>
        </w:pict>
      </w:r>
    </w:p>
    <w:p w14:paraId="0F649770" w14:textId="77777777" w:rsidR="0044542A" w:rsidRPr="000D67F4" w:rsidRDefault="00000000" w:rsidP="00900222">
      <w:pPr>
        <w:pStyle w:val="Heading3"/>
        <w:jc w:val="both"/>
        <w:rPr>
          <w:rFonts w:ascii="Times New Roman" w:hAnsi="Times New Roman" w:cs="Times New Roman"/>
        </w:rPr>
      </w:pPr>
      <w:bookmarkStart w:id="8" w:name="X8a0ccd26f1930010a7052f777f2f462e4e29ec4"/>
      <w:bookmarkEnd w:id="7"/>
      <w:r w:rsidRPr="000D67F4">
        <w:rPr>
          <w:rFonts w:ascii="Times New Roman" w:hAnsi="Times New Roman" w:cs="Times New Roman"/>
        </w:rPr>
        <w:t>2(c): Can a County Probation Office Simultaneously Satisfy DP, FPR Parity, and Membership Inference Resistance?</w:t>
      </w:r>
    </w:p>
    <w:p w14:paraId="21124D6D" w14:textId="58750450" w:rsidR="0044542A" w:rsidRPr="000D67F4" w:rsidRDefault="00000000" w:rsidP="00900222">
      <w:pPr>
        <w:pStyle w:val="FirstParagraph"/>
        <w:jc w:val="both"/>
        <w:rPr>
          <w:rFonts w:ascii="Times New Roman" w:hAnsi="Times New Roman" w:cs="Times New Roman"/>
        </w:rPr>
      </w:pPr>
      <w:r w:rsidRPr="000D67F4">
        <w:rPr>
          <w:rFonts w:ascii="Times New Roman" w:hAnsi="Times New Roman" w:cs="Times New Roman"/>
        </w:rPr>
        <w:t xml:space="preserve">The short answer is: </w:t>
      </w:r>
      <w:r w:rsidRPr="000D67F4">
        <w:rPr>
          <w:rFonts w:ascii="Times New Roman" w:hAnsi="Times New Roman" w:cs="Times New Roman"/>
          <w:b/>
          <w:bCs/>
        </w:rPr>
        <w:t>not simultaneously, under the conditions that prevail in the COMPAS deployment context.</w:t>
      </w:r>
      <w:r w:rsidRPr="000D67F4">
        <w:rPr>
          <w:rFonts w:ascii="Times New Roman" w:hAnsi="Times New Roman" w:cs="Times New Roman"/>
        </w:rPr>
        <w:t xml:space="preserve"> The three properties form a trilemma </w:t>
      </w:r>
      <w:r w:rsidR="00C66F8D">
        <w:rPr>
          <w:rFonts w:ascii="Times New Roman" w:hAnsi="Times New Roman" w:cs="Times New Roman"/>
        </w:rPr>
        <w:t xml:space="preserve">- </w:t>
      </w:r>
      <w:r w:rsidRPr="000D67F4">
        <w:rPr>
          <w:rFonts w:ascii="Times New Roman" w:hAnsi="Times New Roman" w:cs="Times New Roman"/>
        </w:rPr>
        <w:t>improving one systematically degrades at least one other. The argument proceeds in three steps.</w:t>
      </w:r>
    </w:p>
    <w:p w14:paraId="563108BE" w14:textId="4E22E209" w:rsidR="0044542A" w:rsidRPr="000D67F4" w:rsidRDefault="00000000" w:rsidP="00900222">
      <w:pPr>
        <w:pStyle w:val="BodyText"/>
        <w:jc w:val="both"/>
        <w:rPr>
          <w:rFonts w:ascii="Times New Roman" w:hAnsi="Times New Roman" w:cs="Times New Roman"/>
        </w:rPr>
      </w:pPr>
      <w:r w:rsidRPr="000D67F4">
        <w:rPr>
          <w:rFonts w:ascii="Times New Roman" w:hAnsi="Times New Roman" w:cs="Times New Roman"/>
          <w:b/>
          <w:bCs/>
        </w:rPr>
        <w:t>Step 1: Chouldechova impossibility constrains DP + FPR parity</w:t>
      </w:r>
      <w:r w:rsidR="00900222">
        <w:rPr>
          <w:rFonts w:ascii="Times New Roman" w:hAnsi="Times New Roman" w:cs="Times New Roman"/>
          <w:b/>
          <w:bCs/>
        </w:rPr>
        <w:t>:</w:t>
      </w:r>
      <w:r w:rsidRPr="000D67F4">
        <w:rPr>
          <w:rFonts w:ascii="Times New Roman" w:hAnsi="Times New Roman" w:cs="Times New Roman"/>
        </w:rPr>
        <w:t xml:space="preserve"> The Chouldechova (2017) impossibility theorem establishes that for any non-trivial classifier where base rates differ across groups </w:t>
      </w:r>
      <w:r w:rsidR="00C66F8D">
        <w:rPr>
          <w:rFonts w:ascii="Times New Roman" w:hAnsi="Times New Roman" w:cs="Times New Roman"/>
        </w:rPr>
        <w:t xml:space="preserve">- </w:t>
      </w:r>
      <w:r w:rsidRPr="000D67F4">
        <w:rPr>
          <w:rFonts w:ascii="Times New Roman" w:hAnsi="Times New Roman" w:cs="Times New Roman"/>
        </w:rPr>
        <w:t xml:space="preserve">i.e.,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m:rPr>
            <m:nor/>
          </m:rPr>
          <w:rPr>
            <w:rFonts w:ascii="Times New Roman" w:hAnsi="Times New Roman" w:cs="Times New Roman"/>
          </w:rPr>
          <m:t>African-American</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m:rPr>
            <m:nor/>
          </m:rPr>
          <w:rPr>
            <w:rFonts w:ascii="Times New Roman" w:hAnsi="Times New Roman" w:cs="Times New Roman"/>
          </w:rPr>
          <m:t>Caucasian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oMath>
      <w:r w:rsidRPr="000D67F4">
        <w:rPr>
          <w:rFonts w:ascii="Times New Roman" w:hAnsi="Times New Roman" w:cs="Times New Roman"/>
        </w:rPr>
        <w:t xml:space="preserve"> </w:t>
      </w:r>
      <w:r w:rsidR="00C66F8D">
        <w:rPr>
          <w:rFonts w:ascii="Times New Roman" w:hAnsi="Times New Roman" w:cs="Times New Roman"/>
        </w:rPr>
        <w:t xml:space="preserve">- </w:t>
      </w:r>
      <w:r w:rsidRPr="000D67F4">
        <w:rPr>
          <w:rFonts w:ascii="Times New Roman" w:hAnsi="Times New Roman" w:cs="Times New Roman"/>
        </w:rPr>
        <w:t>it is mathematically impossible to simultaneously satisfy calibration (predictive parity) and FPR parity (equal false-positive rates across groups) (Chouldechova, 2017). In the Broward County COMPAS dataset, the two-year recidivism base rates are empirically unequal: approximately 52% for African-American defendants and 39% for Caucasian defendants. This means the Chouldechova constraint is active regardless of whether DP is applied. Even before considering privacy, the county probation office faces an unavoidable fairness impossibility: satisfying calibration (which is legally and technically important for the integrity of individual risk scores) entails accepting unequal FPR across groups.</w:t>
      </w:r>
    </w:p>
    <w:p w14:paraId="32293911" w14:textId="427F030D" w:rsidR="0044542A" w:rsidRPr="000D67F4" w:rsidRDefault="00000000" w:rsidP="00900222">
      <w:pPr>
        <w:pStyle w:val="BodyText"/>
        <w:jc w:val="both"/>
        <w:rPr>
          <w:rFonts w:ascii="Times New Roman" w:hAnsi="Times New Roman" w:cs="Times New Roman"/>
        </w:rPr>
      </w:pPr>
      <w:r w:rsidRPr="000D67F4">
        <w:rPr>
          <w:rFonts w:ascii="Times New Roman" w:hAnsi="Times New Roman" w:cs="Times New Roman"/>
          <w:b/>
          <w:bCs/>
        </w:rPr>
        <w:t>Step 2: DP training worsens the Chouldechova constraint</w:t>
      </w:r>
      <w:r w:rsidR="00900222">
        <w:rPr>
          <w:rFonts w:ascii="Times New Roman" w:hAnsi="Times New Roman" w:cs="Times New Roman"/>
          <w:b/>
          <w:bCs/>
        </w:rPr>
        <w:t>:</w:t>
      </w:r>
      <w:r w:rsidRPr="000D67F4">
        <w:rPr>
          <w:rFonts w:ascii="Times New Roman" w:hAnsi="Times New Roman" w:cs="Times New Roman"/>
        </w:rPr>
        <w:t xml:space="preserve"> Adding DP on top of this constraint makes the tradeoff more severe. As established in Question 2(b), DP training differentially degrades the accuracy of underrepresented groups. In the COMPAS training cohort, minority subgroups (Hispanic, Asian, Native American) are substantially smaller than the African-American and Caucasian subgroups. DP noise will degrade prediction quality more severely for these smaller groups, widening their FPR and FNR relative to the majority groups. The FPR parity constraint </w:t>
      </w:r>
      <w:r w:rsidR="00C66F8D">
        <w:rPr>
          <w:rFonts w:ascii="Times New Roman" w:hAnsi="Times New Roman" w:cs="Times New Roman"/>
        </w:rPr>
        <w:t xml:space="preserve">- </w:t>
      </w:r>
      <w:r w:rsidRPr="000D67F4">
        <w:rPr>
          <w:rFonts w:ascii="Times New Roman" w:hAnsi="Times New Roman" w:cs="Times New Roman"/>
        </w:rPr>
        <w:t xml:space="preserve">which requires equal FPR across all demographic groups </w:t>
      </w:r>
      <w:r w:rsidR="00C66F8D">
        <w:rPr>
          <w:rFonts w:ascii="Times New Roman" w:hAnsi="Times New Roman" w:cs="Times New Roman"/>
        </w:rPr>
        <w:t xml:space="preserve">- </w:t>
      </w:r>
      <w:r w:rsidRPr="000D67F4">
        <w:rPr>
          <w:rFonts w:ascii="Times New Roman" w:hAnsi="Times New Roman" w:cs="Times New Roman"/>
        </w:rPr>
        <w:t xml:space="preserve">becomes harder to satisfy simultaneously with calibration as DP noise amplifies the accuracy differential between small and large subgroups. Attempting to enforce FPR parity after DP training requires group-specific threshold recalibration, which in turn conflicts with score-level calibration </w:t>
      </w:r>
      <w:r w:rsidR="00C66F8D">
        <w:rPr>
          <w:rFonts w:ascii="Times New Roman" w:hAnsi="Times New Roman" w:cs="Times New Roman"/>
        </w:rPr>
        <w:t xml:space="preserve">- </w:t>
      </w:r>
      <w:r w:rsidRPr="000D67F4">
        <w:rPr>
          <w:rFonts w:ascii="Times New Roman" w:hAnsi="Times New Roman" w:cs="Times New Roman"/>
        </w:rPr>
        <w:t>precisely the Chouldechova conflict, now exacerbated by the noise-induced accuracy asymmetry.</w:t>
      </w:r>
    </w:p>
    <w:p w14:paraId="727F050F" w14:textId="5A8F936A" w:rsidR="0044542A" w:rsidRPr="000D67F4" w:rsidRDefault="00000000" w:rsidP="00900222">
      <w:pPr>
        <w:pStyle w:val="BodyText"/>
        <w:jc w:val="both"/>
        <w:rPr>
          <w:rFonts w:ascii="Times New Roman" w:hAnsi="Times New Roman" w:cs="Times New Roman"/>
        </w:rPr>
      </w:pPr>
      <w:r w:rsidRPr="000D67F4">
        <w:rPr>
          <w:rFonts w:ascii="Times New Roman" w:hAnsi="Times New Roman" w:cs="Times New Roman"/>
          <w:b/>
          <w:bCs/>
        </w:rPr>
        <w:t>Step 3: MI resistance requires strong DP, which amplifies fairness harm</w:t>
      </w:r>
      <w:r w:rsidR="00900222">
        <w:rPr>
          <w:rFonts w:ascii="Times New Roman" w:hAnsi="Times New Roman" w:cs="Times New Roman"/>
          <w:b/>
          <w:bCs/>
        </w:rPr>
        <w:t>:</w:t>
      </w:r>
      <w:r w:rsidRPr="000D67F4">
        <w:rPr>
          <w:rFonts w:ascii="Times New Roman" w:hAnsi="Times New Roman" w:cs="Times New Roman"/>
        </w:rPr>
        <w:t xml:space="preserve"> Membership inference resistance is a function of the privacy budget </w:t>
      </w:r>
      <m:oMath>
        <m:r>
          <w:rPr>
            <w:rFonts w:ascii="Cambria Math" w:hAnsi="Cambria Math" w:cs="Times New Roman"/>
          </w:rPr>
          <m:t>ε</m:t>
        </m:r>
      </m:oMath>
      <w:r w:rsidRPr="000D67F4">
        <w:rPr>
          <w:rFonts w:ascii="Times New Roman" w:hAnsi="Times New Roman" w:cs="Times New Roman"/>
        </w:rPr>
        <w:t xml:space="preserve">: smaller </w:t>
      </w:r>
      <m:oMath>
        <m:r>
          <w:rPr>
            <w:rFonts w:ascii="Cambria Math" w:hAnsi="Cambria Math" w:cs="Times New Roman"/>
          </w:rPr>
          <m:t>ε</m:t>
        </m:r>
      </m:oMath>
      <w:r w:rsidRPr="000D67F4">
        <w:rPr>
          <w:rFonts w:ascii="Times New Roman" w:hAnsi="Times New Roman" w:cs="Times New Roman"/>
        </w:rPr>
        <w:t xml:space="preserve"> (stronger privacy, more noise) reduces the confidence gap that the MI meta-classifier exploits. In the Lecture 05 lab, the shadow-model MI AUC for both LR (0.497) and GBT (0.500) was near chance even without DP, suggesting that the COMPAS tabular dataset may not sustain MI attacks under standard training </w:t>
      </w:r>
      <w:r w:rsidR="00C66F8D">
        <w:rPr>
          <w:rFonts w:ascii="Times New Roman" w:hAnsi="Times New Roman" w:cs="Times New Roman"/>
        </w:rPr>
        <w:t xml:space="preserve">- </w:t>
      </w:r>
      <w:r w:rsidRPr="000D67F4">
        <w:rPr>
          <w:rFonts w:ascii="Times New Roman" w:hAnsi="Times New Roman" w:cs="Times New Roman"/>
        </w:rPr>
        <w:t xml:space="preserve">but this result is specific to the dataset’s size and the models tested. More generally, MI resistance improves monotonically as </w:t>
      </w:r>
      <m:oMath>
        <m:r>
          <w:rPr>
            <w:rFonts w:ascii="Cambria Math" w:hAnsi="Cambria Math" w:cs="Times New Roman"/>
          </w:rPr>
          <m:t>ε</m:t>
        </m:r>
      </m:oMath>
      <w:r w:rsidRPr="000D67F4">
        <w:rPr>
          <w:rFonts w:ascii="Times New Roman" w:hAnsi="Times New Roman" w:cs="Times New Roman"/>
        </w:rPr>
        <w:t xml:space="preserve"> decreases. However, decreasing </w:t>
      </w:r>
      <m:oMath>
        <m:r>
          <w:rPr>
            <w:rFonts w:ascii="Cambria Math" w:hAnsi="Cambria Math" w:cs="Times New Roman"/>
          </w:rPr>
          <m:t>ε</m:t>
        </m:r>
      </m:oMath>
      <w:r w:rsidRPr="000D67F4">
        <w:rPr>
          <w:rFonts w:ascii="Times New Roman" w:hAnsi="Times New Roman" w:cs="Times New Roman"/>
        </w:rPr>
        <w:t xml:space="preserve"> to achieve MI resistance directly worsens the minority accuracy degradation documented in Step 2, widening FPR disparities further. The three-way constraint is therefore:</w:t>
      </w:r>
    </w:p>
    <w:p w14:paraId="0DF20005" w14:textId="77777777" w:rsidR="0044542A" w:rsidRPr="000D67F4" w:rsidRDefault="00000000" w:rsidP="00900222">
      <w:pPr>
        <w:pStyle w:val="BodyText"/>
        <w:jc w:val="both"/>
        <w:rPr>
          <w:rFonts w:ascii="Times New Roman" w:hAnsi="Times New Roman" w:cs="Times New Roman"/>
        </w:rPr>
      </w:pPr>
      <m:oMathPara>
        <m:oMathParaPr>
          <m:jc m:val="center"/>
        </m:oMathParaPr>
        <m:oMath>
          <m:r>
            <m:rPr>
              <m:nor/>
            </m:rPr>
            <w:rPr>
              <w:rFonts w:ascii="Times New Roman" w:hAnsi="Times New Roman" w:cs="Times New Roman"/>
            </w:rPr>
            <m:t>(MI resistance)</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r>
            <m:rPr>
              <m:nor/>
            </m:rPr>
            <w:rPr>
              <w:rFonts w:ascii="Times New Roman" w:hAnsi="Times New Roman" w:cs="Times New Roman"/>
            </w:rPr>
            <m:t>minority accuracy</m:t>
          </m:r>
          <m:r>
            <m:rPr>
              <m:sty m:val="p"/>
            </m:rPr>
            <w:rPr>
              <w:rFonts w:ascii="Cambria Math" w:hAnsi="Cambria Math" w:cs="Times New Roman"/>
            </w:rPr>
            <m:t>↓⇒</m:t>
          </m:r>
          <m:r>
            <m:rPr>
              <m:nor/>
            </m:rPr>
            <w:rPr>
              <w:rFonts w:ascii="Times New Roman" w:hAnsi="Times New Roman" w:cs="Times New Roman"/>
            </w:rPr>
            <m:t>FPR parity</m:t>
          </m:r>
          <m:r>
            <m:rPr>
              <m:sty m:val="p"/>
            </m:rPr>
            <w:rPr>
              <w:rFonts w:ascii="Cambria Math" w:hAnsi="Cambria Math" w:cs="Times New Roman"/>
            </w:rPr>
            <m:t>↓</m:t>
          </m:r>
        </m:oMath>
      </m:oMathPara>
    </w:p>
    <w:p w14:paraId="17F78521" w14:textId="7FED5C6A" w:rsidR="0044542A" w:rsidRPr="000D67F4" w:rsidRDefault="00000000" w:rsidP="00900222">
      <w:pPr>
        <w:pStyle w:val="FirstParagraph"/>
        <w:jc w:val="both"/>
        <w:rPr>
          <w:rFonts w:ascii="Times New Roman" w:hAnsi="Times New Roman" w:cs="Times New Roman"/>
        </w:rPr>
      </w:pPr>
      <w:r w:rsidRPr="000D67F4">
        <w:rPr>
          <w:rFonts w:ascii="Times New Roman" w:hAnsi="Times New Roman" w:cs="Times New Roman"/>
          <w:b/>
          <w:bCs/>
        </w:rPr>
        <w:lastRenderedPageBreak/>
        <w:t>Theoretical conditions for simultaneous satisfaction</w:t>
      </w:r>
      <w:r w:rsidR="00900222">
        <w:rPr>
          <w:rFonts w:ascii="Times New Roman" w:hAnsi="Times New Roman" w:cs="Times New Roman"/>
          <w:b/>
          <w:bCs/>
        </w:rPr>
        <w:t>:</w:t>
      </w:r>
      <w:r w:rsidRPr="000D67F4">
        <w:rPr>
          <w:rFonts w:ascii="Times New Roman" w:hAnsi="Times New Roman" w:cs="Times New Roman"/>
        </w:rPr>
        <w:t xml:space="preserve"> Simultaneous satisfaction of all three properties is theoretically achievable only under two degenerate conditions:</w:t>
      </w:r>
    </w:p>
    <w:p w14:paraId="0DBAF724" w14:textId="255EB10C" w:rsidR="0044542A" w:rsidRPr="000D67F4" w:rsidRDefault="00000000" w:rsidP="00900222">
      <w:pPr>
        <w:numPr>
          <w:ilvl w:val="0"/>
          <w:numId w:val="3"/>
        </w:numPr>
        <w:ind w:left="0" w:firstLine="0"/>
        <w:jc w:val="both"/>
        <w:rPr>
          <w:rFonts w:ascii="Times New Roman" w:hAnsi="Times New Roman" w:cs="Times New Roman"/>
        </w:rPr>
      </w:pPr>
      <w:r w:rsidRPr="000D67F4">
        <w:rPr>
          <w:rFonts w:ascii="Times New Roman" w:hAnsi="Times New Roman" w:cs="Times New Roman"/>
          <w:b/>
          <w:bCs/>
        </w:rPr>
        <w:t>Equal base rates across all groups:</w:t>
      </w:r>
      <w:r w:rsidRPr="000D67F4">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r>
          <m:rPr>
            <m:sty m:val="p"/>
          </m:rPr>
          <w:rPr>
            <w:rFonts w:ascii="Cambria Math" w:hAnsi="Cambria Math" w:cs="Times New Roman"/>
          </w:rPr>
          <m:t>=…</m:t>
        </m:r>
      </m:oMath>
      <w:r w:rsidRPr="000D67F4">
        <w:rPr>
          <w:rFonts w:ascii="Times New Roman" w:hAnsi="Times New Roman" w:cs="Times New Roman"/>
        </w:rPr>
        <w:t xml:space="preserve"> for all demographic groups, the Chouldechova impossibility is vacated </w:t>
      </w:r>
      <w:r w:rsidR="00C66F8D">
        <w:rPr>
          <w:rFonts w:ascii="Times New Roman" w:hAnsi="Times New Roman" w:cs="Times New Roman"/>
        </w:rPr>
        <w:t xml:space="preserve">- </w:t>
      </w:r>
      <w:r w:rsidRPr="000D67F4">
        <w:rPr>
          <w:rFonts w:ascii="Times New Roman" w:hAnsi="Times New Roman" w:cs="Times New Roman"/>
        </w:rPr>
        <w:t>calibration and FPR parity are no longer in conflict. However, equal base rates are not observed in the Broward County data and cannot be manufactured through any model design choice without fundamentally altering the underlying social conditions that produce differential recidivism rates.</w:t>
      </w:r>
    </w:p>
    <w:p w14:paraId="58A7E3BD" w14:textId="696FEFF3" w:rsidR="0044542A" w:rsidRPr="000D67F4" w:rsidRDefault="00000000" w:rsidP="00900222">
      <w:pPr>
        <w:numPr>
          <w:ilvl w:val="0"/>
          <w:numId w:val="3"/>
        </w:numPr>
        <w:ind w:left="0" w:firstLine="0"/>
        <w:jc w:val="both"/>
        <w:rPr>
          <w:rFonts w:ascii="Times New Roman" w:hAnsi="Times New Roman" w:cs="Times New Roman"/>
        </w:rPr>
      </w:pPr>
      <w:r w:rsidRPr="000D67F4">
        <w:rPr>
          <w:rFonts w:ascii="Times New Roman" w:hAnsi="Times New Roman" w:cs="Times New Roman"/>
          <w:b/>
          <w:bCs/>
        </w:rPr>
        <w:t>An uninformative model:</w:t>
      </w:r>
      <w:r w:rsidRPr="000D67F4">
        <w:rPr>
          <w:rFonts w:ascii="Times New Roman" w:hAnsi="Times New Roman" w:cs="Times New Roman"/>
        </w:rPr>
        <w:t xml:space="preserve"> A random classifier (or a model that predicts the base rate for all individuals) satisfies DP trivially (it does not learn from the training data at all), satisfies MI resistance (there is no training-set memorization to infer), and satisfies FPR parity (it makes errors at the same rate for all groups, since it ignores all features). This degenerate solution is technically correct but operationally useless </w:t>
      </w:r>
      <w:r w:rsidR="00C66F8D">
        <w:rPr>
          <w:rFonts w:ascii="Times New Roman" w:hAnsi="Times New Roman" w:cs="Times New Roman"/>
        </w:rPr>
        <w:t xml:space="preserve">- </w:t>
      </w:r>
      <w:r w:rsidRPr="000D67F4">
        <w:rPr>
          <w:rFonts w:ascii="Times New Roman" w:hAnsi="Times New Roman" w:cs="Times New Roman"/>
        </w:rPr>
        <w:t>the probation office might as well flip a weighted coin for each defendant.</w:t>
      </w:r>
    </w:p>
    <w:p w14:paraId="3BD8A453" w14:textId="0F8FB879" w:rsidR="0044542A" w:rsidRPr="000D67F4" w:rsidRDefault="00000000" w:rsidP="00900222">
      <w:pPr>
        <w:pStyle w:val="FirstParagraph"/>
        <w:jc w:val="both"/>
        <w:rPr>
          <w:rFonts w:ascii="Times New Roman" w:hAnsi="Times New Roman" w:cs="Times New Roman"/>
        </w:rPr>
      </w:pPr>
      <w:r w:rsidRPr="000D67F4">
        <w:rPr>
          <w:rFonts w:ascii="Times New Roman" w:hAnsi="Times New Roman" w:cs="Times New Roman"/>
          <w:b/>
          <w:bCs/>
        </w:rPr>
        <w:t>Governance implication</w:t>
      </w:r>
      <w:r w:rsidR="00900222">
        <w:rPr>
          <w:rFonts w:ascii="Times New Roman" w:hAnsi="Times New Roman" w:cs="Times New Roman"/>
          <w:b/>
          <w:bCs/>
        </w:rPr>
        <w:t>:</w:t>
      </w:r>
      <w:r w:rsidRPr="000D67F4">
        <w:rPr>
          <w:rFonts w:ascii="Times New Roman" w:hAnsi="Times New Roman" w:cs="Times New Roman"/>
        </w:rPr>
        <w:t xml:space="preserve"> In the absence of either degenerate condition, the county probation office must choose which property to prioritize. The ethically and legally defensible approach is to document the tradeoff explicitly </w:t>
      </w:r>
      <w:r w:rsidR="00C66F8D">
        <w:rPr>
          <w:rFonts w:ascii="Times New Roman" w:hAnsi="Times New Roman" w:cs="Times New Roman"/>
        </w:rPr>
        <w:t xml:space="preserve">- </w:t>
      </w:r>
      <w:r w:rsidRPr="000D67F4">
        <w:rPr>
          <w:rFonts w:ascii="Times New Roman" w:hAnsi="Times New Roman" w:cs="Times New Roman"/>
        </w:rPr>
        <w:t xml:space="preserve">specifying which fairness criterion is optimized, at what sacrifice to privacy (and vice versa), and under what monitoring regime </w:t>
      </w:r>
      <w:r w:rsidR="00C66F8D">
        <w:rPr>
          <w:rFonts w:ascii="Times New Roman" w:hAnsi="Times New Roman" w:cs="Times New Roman"/>
        </w:rPr>
        <w:t xml:space="preserve">- </w:t>
      </w:r>
      <w:r w:rsidRPr="000D67F4">
        <w:rPr>
          <w:rFonts w:ascii="Times New Roman" w:hAnsi="Times New Roman" w:cs="Times New Roman"/>
        </w:rPr>
        <w:t>rather than asserting that the system is simultaneously private, fair, and robust to inference. The trilemma is a governance problem, not merely a statistical one.</w:t>
      </w:r>
    </w:p>
    <w:p w14:paraId="0124D5C1" w14:textId="77777777" w:rsidR="0044542A" w:rsidRPr="000D67F4" w:rsidRDefault="000C68CA" w:rsidP="00C66F8D">
      <w:pPr>
        <w:rPr>
          <w:rFonts w:ascii="Times New Roman" w:hAnsi="Times New Roman" w:cs="Times New Roman"/>
        </w:rPr>
      </w:pPr>
      <w:r>
        <w:rPr>
          <w:rFonts w:ascii="Times New Roman" w:hAnsi="Times New Roman" w:cs="Times New Roman"/>
          <w:noProof/>
        </w:rPr>
        <w:pict w14:anchorId="471239BC">
          <v:rect id="_x0000_i1028" alt="" style="width:468pt;height:.05pt;mso-width-percent:0;mso-height-percent:0;mso-width-percent:0;mso-height-percent:0" o:hralign="center" o:hrstd="t" o:hr="t"/>
        </w:pict>
      </w:r>
    </w:p>
    <w:p w14:paraId="7D28F92B" w14:textId="77777777" w:rsidR="0044542A" w:rsidRPr="000D67F4" w:rsidRDefault="00000000" w:rsidP="00C66F8D">
      <w:pPr>
        <w:pStyle w:val="Heading2"/>
        <w:rPr>
          <w:rFonts w:ascii="Times New Roman" w:hAnsi="Times New Roman" w:cs="Times New Roman"/>
        </w:rPr>
      </w:pPr>
      <w:bookmarkStart w:id="9" w:name="question-3-governance-recommendation"/>
      <w:bookmarkEnd w:id="5"/>
      <w:bookmarkEnd w:id="8"/>
      <w:r w:rsidRPr="000D67F4">
        <w:rPr>
          <w:rFonts w:ascii="Times New Roman" w:hAnsi="Times New Roman" w:cs="Times New Roman"/>
        </w:rPr>
        <w:t>Question 3: Governance Recommendation</w:t>
      </w:r>
    </w:p>
    <w:p w14:paraId="27EBDF55" w14:textId="77777777" w:rsidR="0044542A" w:rsidRPr="000D67F4" w:rsidRDefault="00000000" w:rsidP="00900222">
      <w:pPr>
        <w:pStyle w:val="FirstParagraph"/>
        <w:jc w:val="both"/>
        <w:rPr>
          <w:rFonts w:ascii="Times New Roman" w:hAnsi="Times New Roman" w:cs="Times New Roman"/>
        </w:rPr>
      </w:pPr>
      <w:r w:rsidRPr="000D67F4">
        <w:rPr>
          <w:rFonts w:ascii="Times New Roman" w:hAnsi="Times New Roman" w:cs="Times New Roman"/>
          <w:i/>
          <w:iCs/>
        </w:rPr>
        <w:t>Draft a one-paragraph policy recommendation for a court system deploying COMPAS, specifying which attack class poses the greatest risk, which mitigation you recommend, and what tradeoff it introduces.</w:t>
      </w:r>
    </w:p>
    <w:p w14:paraId="1EE396DF" w14:textId="77777777" w:rsidR="0044542A" w:rsidRPr="000D67F4" w:rsidRDefault="000C68CA" w:rsidP="00C66F8D">
      <w:pPr>
        <w:rPr>
          <w:rFonts w:ascii="Times New Roman" w:hAnsi="Times New Roman" w:cs="Times New Roman"/>
        </w:rPr>
      </w:pPr>
      <w:r>
        <w:rPr>
          <w:rFonts w:ascii="Times New Roman" w:hAnsi="Times New Roman" w:cs="Times New Roman"/>
          <w:noProof/>
        </w:rPr>
        <w:pict w14:anchorId="453539CC">
          <v:rect id="_x0000_i1027" alt="" style="width:468pt;height:.05pt;mso-width-percent:0;mso-height-percent:0;mso-width-percent:0;mso-height-percent:0" o:hralign="center" o:hrstd="t" o:hr="t"/>
        </w:pict>
      </w:r>
    </w:p>
    <w:p w14:paraId="1C1FBE6F" w14:textId="3D16EAD1" w:rsidR="0044542A" w:rsidRPr="000D67F4" w:rsidRDefault="00000000" w:rsidP="00900222">
      <w:pPr>
        <w:pStyle w:val="FirstParagraph"/>
        <w:jc w:val="both"/>
        <w:rPr>
          <w:rFonts w:ascii="Times New Roman" w:hAnsi="Times New Roman" w:cs="Times New Roman"/>
        </w:rPr>
      </w:pPr>
      <w:r w:rsidRPr="000D67F4">
        <w:rPr>
          <w:rFonts w:ascii="Times New Roman" w:hAnsi="Times New Roman" w:cs="Times New Roman"/>
        </w:rPr>
        <w:t xml:space="preserve">Of all the adversarial attack classes identified in the NIST AI 100-2 taxonomy, </w:t>
      </w:r>
      <w:r w:rsidRPr="000D67F4">
        <w:rPr>
          <w:rFonts w:ascii="Times New Roman" w:hAnsi="Times New Roman" w:cs="Times New Roman"/>
          <w:b/>
          <w:bCs/>
        </w:rPr>
        <w:t>backdoor poisoning</w:t>
      </w:r>
      <w:r w:rsidRPr="000D67F4">
        <w:rPr>
          <w:rFonts w:ascii="Times New Roman" w:hAnsi="Times New Roman" w:cs="Times New Roman"/>
        </w:rPr>
        <w:t xml:space="preserve"> (training-time, integrity goal) poses the greatest risk to a court system deploying COMPAS, because it is structurally invisible to the monitoring infrastructure that courts and model owners are most likely to have in place. A backdoor attack does not degrade overall model performance </w:t>
      </w:r>
      <w:r w:rsidR="00C66F8D">
        <w:rPr>
          <w:rFonts w:ascii="Times New Roman" w:hAnsi="Times New Roman" w:cs="Times New Roman"/>
        </w:rPr>
        <w:t xml:space="preserve">- </w:t>
      </w:r>
      <w:r w:rsidRPr="000D67F4">
        <w:rPr>
          <w:rFonts w:ascii="Times New Roman" w:hAnsi="Times New Roman" w:cs="Times New Roman"/>
        </w:rPr>
        <w:t xml:space="preserve">the model achieves normal accuracy, calibration, and aggregate AUC on all standard validation data </w:t>
      </w:r>
      <w:r w:rsidR="00C66F8D">
        <w:rPr>
          <w:rFonts w:ascii="Times New Roman" w:hAnsi="Times New Roman" w:cs="Times New Roman"/>
        </w:rPr>
        <w:t xml:space="preserve">- </w:t>
      </w:r>
      <w:r w:rsidRPr="000D67F4">
        <w:rPr>
          <w:rFonts w:ascii="Times New Roman" w:hAnsi="Times New Roman" w:cs="Times New Roman"/>
        </w:rPr>
        <w:t xml:space="preserve">yet it embeds a hidden trigger that systematically mis-scores a targeted demographic group whenever a specific feature value is present in a defendant’s record. This invisibility is not a theoretical concern: the Lecture 05 lab demonstrated that a label-flip poisoning attack (the availability analog of a backdoor) produced only a 0.004 AUC decline while the Adverse Impact Ratio escalated to 3.010 at a 30% poison rate </w:t>
      </w:r>
      <w:r w:rsidR="00C66F8D">
        <w:rPr>
          <w:rFonts w:ascii="Times New Roman" w:hAnsi="Times New Roman" w:cs="Times New Roman"/>
        </w:rPr>
        <w:t xml:space="preserve">- </w:t>
      </w:r>
      <w:r w:rsidRPr="000D67F4">
        <w:rPr>
          <w:rFonts w:ascii="Times New Roman" w:hAnsi="Times New Roman" w:cs="Times New Roman"/>
        </w:rPr>
        <w:t>a severe fairness collapse that standard AUC monitoring would never flag. Evasion attacks (by defendants gaming self-reported fields) and membership inference attacks (by external actors querying the API) are real but bounded: a single defendant’s evasion changes only one decision, and MI attacks against COMPAS’s tabular structure have shown near-chance success rates in practice. The insider backdoor attack, by contrast, can corrupt every future scoring decision for a targeted group at the cost of modifying fewer than 10% of training records, using only the access that authorized data-</w:t>
      </w:r>
      <w:r w:rsidRPr="000D67F4">
        <w:rPr>
          <w:rFonts w:ascii="Times New Roman" w:hAnsi="Times New Roman" w:cs="Times New Roman"/>
        </w:rPr>
        <w:lastRenderedPageBreak/>
        <w:t xml:space="preserve">entry personnel already possess. We therefore recommend that any court adopting COMPAS implement </w:t>
      </w:r>
      <w:r w:rsidRPr="000D67F4">
        <w:rPr>
          <w:rFonts w:ascii="Times New Roman" w:hAnsi="Times New Roman" w:cs="Times New Roman"/>
          <w:b/>
          <w:bCs/>
        </w:rPr>
        <w:t>cryptographic data provenance</w:t>
      </w:r>
      <w:r w:rsidRPr="000D67F4">
        <w:rPr>
          <w:rFonts w:ascii="Times New Roman" w:hAnsi="Times New Roman" w:cs="Times New Roman"/>
        </w:rPr>
        <w:t xml:space="preserve"> </w:t>
      </w:r>
      <w:r w:rsidR="00C66F8D">
        <w:rPr>
          <w:rFonts w:ascii="Times New Roman" w:hAnsi="Times New Roman" w:cs="Times New Roman"/>
        </w:rPr>
        <w:t xml:space="preserve">- </w:t>
      </w:r>
      <w:r w:rsidRPr="000D67F4">
        <w:rPr>
          <w:rFonts w:ascii="Times New Roman" w:hAnsi="Times New Roman" w:cs="Times New Roman"/>
        </w:rPr>
        <w:t xml:space="preserve">hashing each dataset snapshot at every pipeline stage from raw intake through training artifact </w:t>
      </w:r>
      <w:r w:rsidR="00C66F8D">
        <w:rPr>
          <w:rFonts w:ascii="Times New Roman" w:hAnsi="Times New Roman" w:cs="Times New Roman"/>
        </w:rPr>
        <w:t xml:space="preserve">- </w:t>
      </w:r>
      <w:r w:rsidRPr="000D67F4">
        <w:rPr>
          <w:rFonts w:ascii="Times New Roman" w:hAnsi="Times New Roman" w:cs="Times New Roman"/>
        </w:rPr>
        <w:t xml:space="preserve">combined with </w:t>
      </w:r>
      <w:r w:rsidRPr="000D67F4">
        <w:rPr>
          <w:rFonts w:ascii="Times New Roman" w:hAnsi="Times New Roman" w:cs="Times New Roman"/>
          <w:b/>
          <w:bCs/>
        </w:rPr>
        <w:t>disaggregated fairness gating in the model validation pipeline</w:t>
      </w:r>
      <w:r w:rsidRPr="000D67F4">
        <w:rPr>
          <w:rFonts w:ascii="Times New Roman" w:hAnsi="Times New Roman" w:cs="Times New Roman"/>
        </w:rPr>
        <w:t xml:space="preserve">, requiring that AIR and FPR by race both pass defined thresholds (AIR within </w:t>
      </w:r>
      <m:oMath>
        <m:r>
          <m:rPr>
            <m:sty m:val="p"/>
          </m:rPr>
          <w:rPr>
            <w:rFonts w:ascii="Cambria Math" w:hAnsi="Cambria Math" w:cs="Times New Roman"/>
          </w:rPr>
          <m:t>[</m:t>
        </m:r>
        <m:r>
          <w:rPr>
            <w:rFonts w:ascii="Cambria Math" w:hAnsi="Cambria Math" w:cs="Times New Roman"/>
          </w:rPr>
          <m:t>0.80</m:t>
        </m:r>
        <m:r>
          <m:rPr>
            <m:sty m:val="p"/>
          </m:rPr>
          <w:rPr>
            <w:rFonts w:ascii="Cambria Math" w:hAnsi="Cambria Math" w:cs="Times New Roman"/>
          </w:rPr>
          <m:t>,</m:t>
        </m:r>
        <m:r>
          <w:rPr>
            <w:rFonts w:ascii="Cambria Math" w:hAnsi="Cambria Math" w:cs="Times New Roman"/>
          </w:rPr>
          <m:t>1.25</m:t>
        </m:r>
        <m:r>
          <m:rPr>
            <m:sty m:val="p"/>
          </m:rPr>
          <w:rPr>
            <w:rFonts w:ascii="Cambria Math" w:hAnsi="Cambria Math" w:cs="Times New Roman"/>
          </w:rPr>
          <m:t>]</m:t>
        </m:r>
      </m:oMath>
      <w:r w:rsidRPr="000D67F4">
        <w:rPr>
          <w:rFonts w:ascii="Times New Roman" w:hAnsi="Times New Roman" w:cs="Times New Roman"/>
        </w:rPr>
        <w:t xml:space="preserve">; FPR disparity ratio below </w:t>
      </w:r>
      <m:oMath>
        <m:r>
          <w:rPr>
            <w:rFonts w:ascii="Cambria Math" w:hAnsi="Cambria Math" w:cs="Times New Roman"/>
          </w:rPr>
          <m:t>1.5</m:t>
        </m:r>
        <m:r>
          <m:rPr>
            <m:sty m:val="p"/>
          </m:rPr>
          <w:rPr>
            <w:rFonts w:ascii="Cambria Math" w:hAnsi="Cambria Math" w:cs="Times New Roman"/>
          </w:rPr>
          <m:t>×</m:t>
        </m:r>
      </m:oMath>
      <w:r w:rsidRPr="000D67F4">
        <w:rPr>
          <w:rFonts w:ascii="Times New Roman" w:hAnsi="Times New Roman" w:cs="Times New Roman"/>
        </w:rPr>
        <w:t xml:space="preserve">) before any model update is promoted to production. The tradeoff this introduces is real: maintaining cryptographic hashes across a multi-stage criminal justice data pipeline adds operational complexity and requires coordination with courts, clerks, and vendors who currently have no provenance infrastructure; disaggregated fairness monitoring requires demographic data to be retained in the production monitoring stack, creating a secondary privacy surface that must itself be governed. Activation clustering </w:t>
      </w:r>
      <w:r w:rsidR="00C66F8D">
        <w:rPr>
          <w:rFonts w:ascii="Times New Roman" w:hAnsi="Times New Roman" w:cs="Times New Roman"/>
        </w:rPr>
        <w:t xml:space="preserve">- </w:t>
      </w:r>
      <w:r w:rsidRPr="000D67F4">
        <w:rPr>
          <w:rFonts w:ascii="Times New Roman" w:hAnsi="Times New Roman" w:cs="Times New Roman"/>
        </w:rPr>
        <w:t xml:space="preserve">the primary detection method for embedded backdoor triggers </w:t>
      </w:r>
      <w:r w:rsidR="00C66F8D">
        <w:rPr>
          <w:rFonts w:ascii="Times New Roman" w:hAnsi="Times New Roman" w:cs="Times New Roman"/>
        </w:rPr>
        <w:t xml:space="preserve">- </w:t>
      </w:r>
      <w:r w:rsidRPr="000D67F4">
        <w:rPr>
          <w:rFonts w:ascii="Times New Roman" w:hAnsi="Times New Roman" w:cs="Times New Roman"/>
        </w:rPr>
        <w:t>requires white-box access to model internals and is computationally expensive. None of these mitigations provide certified robustness against an adaptive adversary, as NIST AI 100-2 Section 4 explicitly acknowledges; they raise the cost and detectability of attack rather than eliminating the risk. The court system must document these tradeoffs in its Model Risk Management file, commission annual independent audits of both the model and its training pipeline, and establish a public-facing accountability mechanism by which affected defendants can challenge the integrity of the data used to score them.</w:t>
      </w:r>
    </w:p>
    <w:p w14:paraId="08D95E80" w14:textId="77777777" w:rsidR="0044542A" w:rsidRPr="000D67F4" w:rsidRDefault="000C68CA" w:rsidP="00C66F8D">
      <w:pPr>
        <w:rPr>
          <w:rFonts w:ascii="Times New Roman" w:hAnsi="Times New Roman" w:cs="Times New Roman"/>
        </w:rPr>
      </w:pPr>
      <w:r>
        <w:rPr>
          <w:rFonts w:ascii="Times New Roman" w:hAnsi="Times New Roman" w:cs="Times New Roman"/>
          <w:noProof/>
        </w:rPr>
        <w:pict w14:anchorId="61DA9F6D">
          <v:rect id="_x0000_i1026" alt="" style="width:468pt;height:.05pt;mso-width-percent:0;mso-height-percent:0;mso-width-percent:0;mso-height-percent:0" o:hralign="center" o:hrstd="t" o:hr="t"/>
        </w:pict>
      </w:r>
    </w:p>
    <w:p w14:paraId="160B147E" w14:textId="77777777" w:rsidR="0044542A" w:rsidRPr="000D67F4" w:rsidRDefault="00000000" w:rsidP="00C66F8D">
      <w:pPr>
        <w:pStyle w:val="Heading2"/>
        <w:rPr>
          <w:rFonts w:ascii="Times New Roman" w:hAnsi="Times New Roman" w:cs="Times New Roman"/>
        </w:rPr>
      </w:pPr>
      <w:bookmarkStart w:id="10" w:name="X62011cc4f04f8dd50b1bb66d352d7efc598165b"/>
      <w:bookmarkEnd w:id="9"/>
      <w:r w:rsidRPr="000D67F4">
        <w:rPr>
          <w:rFonts w:ascii="Times New Roman" w:hAnsi="Times New Roman" w:cs="Times New Roman"/>
        </w:rPr>
        <w:t>Pipeline Diagram: COMPAS Adversarial Threat Surface and Mitigation Stack</w:t>
      </w:r>
    </w:p>
    <w:p w14:paraId="421DDDE5" w14:textId="77777777" w:rsidR="0044542A" w:rsidRPr="000D67F4" w:rsidRDefault="00000000" w:rsidP="00900222">
      <w:pPr>
        <w:pStyle w:val="FirstParagraph"/>
        <w:jc w:val="both"/>
        <w:rPr>
          <w:rFonts w:ascii="Times New Roman" w:hAnsi="Times New Roman" w:cs="Times New Roman"/>
        </w:rPr>
      </w:pPr>
      <w:r w:rsidRPr="000D67F4">
        <w:rPr>
          <w:rFonts w:ascii="Times New Roman" w:hAnsi="Times New Roman" w:cs="Times New Roman"/>
        </w:rPr>
        <w:t>The following diagram maps each of the three identified threat actors to their point of intervention in the COMPAS deployment pipeline, with corresponding mitigations at each stage.</w:t>
      </w:r>
    </w:p>
    <w:p w14:paraId="0ED675E8" w14:textId="77777777" w:rsidR="0044542A" w:rsidRPr="000D67F4" w:rsidRDefault="00000000" w:rsidP="00C66F8D">
      <w:pPr>
        <w:pStyle w:val="CaptionedFigure"/>
        <w:rPr>
          <w:rFonts w:ascii="Times New Roman" w:hAnsi="Times New Roman" w:cs="Times New Roman"/>
        </w:rPr>
      </w:pPr>
      <w:r w:rsidRPr="000D67F4">
        <w:rPr>
          <w:rFonts w:ascii="Times New Roman" w:hAnsi="Times New Roman" w:cs="Times New Roman"/>
          <w:noProof/>
        </w:rPr>
        <w:lastRenderedPageBreak/>
        <w:drawing>
          <wp:inline distT="0" distB="0" distL="0" distR="0" wp14:anchorId="7341B557" wp14:editId="0B927275">
            <wp:extent cx="4762500" cy="7886700"/>
            <wp:effectExtent l="0" t="0" r="0" b="0"/>
            <wp:docPr id="1" name="Picture" descr="COMPAS Adversarial Threat Surface and Mitigation Stack"/>
            <wp:cNvGraphicFramePr/>
            <a:graphic xmlns:a="http://schemas.openxmlformats.org/drawingml/2006/main">
              <a:graphicData uri="http://schemas.openxmlformats.org/drawingml/2006/picture">
                <pic:pic xmlns:pic="http://schemas.openxmlformats.org/drawingml/2006/picture">
                  <pic:nvPicPr>
                    <pic:cNvPr id="0" name="Picture" descr="threat_pipeline_diagram.png"/>
                    <pic:cNvPicPr>
                      <a:picLocks noChangeAspect="1" noChangeArrowheads="1"/>
                    </pic:cNvPicPr>
                  </pic:nvPicPr>
                  <pic:blipFill>
                    <a:blip r:embed="rId7"/>
                    <a:stretch>
                      <a:fillRect/>
                    </a:stretch>
                  </pic:blipFill>
                  <pic:spPr bwMode="auto">
                    <a:xfrm>
                      <a:off x="0" y="0"/>
                      <a:ext cx="4762500" cy="7886700"/>
                    </a:xfrm>
                    <a:prstGeom prst="rect">
                      <a:avLst/>
                    </a:prstGeom>
                    <a:noFill/>
                    <a:ln w="9525">
                      <a:noFill/>
                      <a:headEnd/>
                      <a:tailEnd/>
                    </a:ln>
                  </pic:spPr>
                </pic:pic>
              </a:graphicData>
            </a:graphic>
          </wp:inline>
        </w:drawing>
      </w:r>
    </w:p>
    <w:p w14:paraId="54760558" w14:textId="77777777" w:rsidR="0044542A" w:rsidRPr="000D67F4" w:rsidRDefault="00000000" w:rsidP="00C66F8D">
      <w:pPr>
        <w:pStyle w:val="ImageCaption"/>
        <w:rPr>
          <w:rFonts w:ascii="Times New Roman" w:hAnsi="Times New Roman" w:cs="Times New Roman"/>
        </w:rPr>
      </w:pPr>
      <w:r w:rsidRPr="000D67F4">
        <w:rPr>
          <w:rFonts w:ascii="Times New Roman" w:hAnsi="Times New Roman" w:cs="Times New Roman"/>
        </w:rPr>
        <w:t>COMPAS Adversarial Threat Surface and Mitigation Stack</w:t>
      </w:r>
    </w:p>
    <w:p w14:paraId="4EB7E66C" w14:textId="77777777" w:rsidR="0044542A" w:rsidRPr="000D67F4" w:rsidRDefault="000C68CA" w:rsidP="00C66F8D">
      <w:pPr>
        <w:rPr>
          <w:rFonts w:ascii="Times New Roman" w:hAnsi="Times New Roman" w:cs="Times New Roman"/>
        </w:rPr>
      </w:pPr>
      <w:r>
        <w:rPr>
          <w:rFonts w:ascii="Times New Roman" w:hAnsi="Times New Roman" w:cs="Times New Roman"/>
          <w:noProof/>
        </w:rPr>
        <w:lastRenderedPageBreak/>
        <w:pict w14:anchorId="446CBFFD">
          <v:rect id="_x0000_i1025" alt="" style="width:468pt;height:.05pt;mso-width-percent:0;mso-height-percent:0;mso-width-percent:0;mso-height-percent:0" o:hralign="center" o:hrstd="t" o:hr="t"/>
        </w:pict>
      </w:r>
    </w:p>
    <w:p w14:paraId="000F94D4" w14:textId="77777777" w:rsidR="0044542A" w:rsidRPr="000D67F4" w:rsidRDefault="00000000" w:rsidP="00C66F8D">
      <w:pPr>
        <w:pStyle w:val="Heading2"/>
        <w:rPr>
          <w:rFonts w:ascii="Times New Roman" w:hAnsi="Times New Roman" w:cs="Times New Roman"/>
        </w:rPr>
      </w:pPr>
      <w:bookmarkStart w:id="11" w:name="references"/>
      <w:bookmarkEnd w:id="10"/>
      <w:r w:rsidRPr="000D67F4">
        <w:rPr>
          <w:rFonts w:ascii="Times New Roman" w:hAnsi="Times New Roman" w:cs="Times New Roman"/>
        </w:rPr>
        <w:t>References</w:t>
      </w:r>
    </w:p>
    <w:p w14:paraId="70CD4974"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Abadi, M., Chu, A., Goodfellow, I., McMahan, H. B., Mironov, I., Talwar, K., &amp; Zhang, L. (2016). Deep Learning with Differential Privacy. </w:t>
      </w:r>
      <w:r w:rsidRPr="000D67F4">
        <w:rPr>
          <w:rFonts w:ascii="Times New Roman" w:hAnsi="Times New Roman" w:cs="Times New Roman"/>
          <w:i/>
          <w:iCs/>
        </w:rPr>
        <w:t>ACM CCS 2016</w:t>
      </w:r>
      <w:r w:rsidRPr="000D67F4">
        <w:rPr>
          <w:rFonts w:ascii="Times New Roman" w:hAnsi="Times New Roman" w:cs="Times New Roman"/>
        </w:rPr>
        <w:t>. https://arxiv.org/abs/1607.00133</w:t>
      </w:r>
    </w:p>
    <w:p w14:paraId="0E87C914"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Akinwumi, M. (2026). </w:t>
      </w:r>
      <w:r w:rsidRPr="000D67F4">
        <w:rPr>
          <w:rFonts w:ascii="Times New Roman" w:hAnsi="Times New Roman" w:cs="Times New Roman"/>
          <w:i/>
          <w:iCs/>
        </w:rPr>
        <w:t>Lecture 05: ML Security and Abuse Pathways</w:t>
      </w:r>
      <w:r w:rsidRPr="000D67F4">
        <w:rPr>
          <w:rFonts w:ascii="Times New Roman" w:hAnsi="Times New Roman" w:cs="Times New Roman"/>
        </w:rPr>
        <w:t>. DNSC 6330: Responsible Machine Learning. The George Washington University, School of Business. April 13 &amp; 14, 2026.</w:t>
      </w:r>
    </w:p>
    <w:p w14:paraId="0A39AE9B"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Angwin, J., Larson, J., Mattu, S., &amp; Kirchner, L. (2016). Machine Bias. </w:t>
      </w:r>
      <w:r w:rsidRPr="000D67F4">
        <w:rPr>
          <w:rFonts w:ascii="Times New Roman" w:hAnsi="Times New Roman" w:cs="Times New Roman"/>
          <w:i/>
          <w:iCs/>
        </w:rPr>
        <w:t>ProPublica</w:t>
      </w:r>
      <w:r w:rsidRPr="000D67F4">
        <w:rPr>
          <w:rFonts w:ascii="Times New Roman" w:hAnsi="Times New Roman" w:cs="Times New Roman"/>
        </w:rPr>
        <w:t>. https://www.propublica.org/article/machine-bias-risk-assessments-in-criminal-sentencing</w:t>
      </w:r>
    </w:p>
    <w:p w14:paraId="61EC1579"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Bagdasaryan, E., &amp; Shmatikov, V. (2019). Differential Privacy Has Disparate Impact on Model Accuracy. </w:t>
      </w:r>
      <w:r w:rsidRPr="000D67F4">
        <w:rPr>
          <w:rFonts w:ascii="Times New Roman" w:hAnsi="Times New Roman" w:cs="Times New Roman"/>
          <w:i/>
          <w:iCs/>
        </w:rPr>
        <w:t>Advances in Neural Information Processing Systems (NeurIPS)</w:t>
      </w:r>
      <w:r w:rsidRPr="000D67F4">
        <w:rPr>
          <w:rFonts w:ascii="Times New Roman" w:hAnsi="Times New Roman" w:cs="Times New Roman"/>
        </w:rPr>
        <w:t>, 32. https://arxiv.org/abs/1905.12101</w:t>
      </w:r>
    </w:p>
    <w:p w14:paraId="3900A065"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Biggio, B., &amp; Roli, F. (2018). Wild Patterns: Ten Years After the Rise of Adversarial Machine Learning. </w:t>
      </w:r>
      <w:r w:rsidRPr="000D67F4">
        <w:rPr>
          <w:rFonts w:ascii="Times New Roman" w:hAnsi="Times New Roman" w:cs="Times New Roman"/>
          <w:i/>
          <w:iCs/>
        </w:rPr>
        <w:t>Pattern Recognition</w:t>
      </w:r>
      <w:r w:rsidRPr="000D67F4">
        <w:rPr>
          <w:rFonts w:ascii="Times New Roman" w:hAnsi="Times New Roman" w:cs="Times New Roman"/>
        </w:rPr>
        <w:t>, 84, 317–331. https://arxiv.org/abs/1712.03141</w:t>
      </w:r>
    </w:p>
    <w:p w14:paraId="68160992"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Carlini, N., Nasr, M., et al. (2023). Scalable Extraction of Training Data from (Production) Language Models. https://arxiv.org/abs/2311.17035</w:t>
      </w:r>
    </w:p>
    <w:p w14:paraId="307A1FCC"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Chouldechova, A. (2017). Fair Prediction with Disparate Impact: A Study of Bias in Recidivism Prediction Instruments. </w:t>
      </w:r>
      <w:r w:rsidRPr="000D67F4">
        <w:rPr>
          <w:rFonts w:ascii="Times New Roman" w:hAnsi="Times New Roman" w:cs="Times New Roman"/>
          <w:i/>
          <w:iCs/>
        </w:rPr>
        <w:t>Big Data</w:t>
      </w:r>
      <w:r w:rsidRPr="000D67F4">
        <w:rPr>
          <w:rFonts w:ascii="Times New Roman" w:hAnsi="Times New Roman" w:cs="Times New Roman"/>
        </w:rPr>
        <w:t>, 5(2), 153–163.</w:t>
      </w:r>
    </w:p>
    <w:p w14:paraId="5822B551"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Eykholt, K., et al. (2018). Robust Physical-World Attacks on Deep Learning Visual Classification. </w:t>
      </w:r>
      <w:r w:rsidRPr="000D67F4">
        <w:rPr>
          <w:rFonts w:ascii="Times New Roman" w:hAnsi="Times New Roman" w:cs="Times New Roman"/>
          <w:i/>
          <w:iCs/>
        </w:rPr>
        <w:t>CVPR 2018</w:t>
      </w:r>
      <w:r w:rsidRPr="000D67F4">
        <w:rPr>
          <w:rFonts w:ascii="Times New Roman" w:hAnsi="Times New Roman" w:cs="Times New Roman"/>
        </w:rPr>
        <w:t>. https://arxiv.org/abs/1707.08945</w:t>
      </w:r>
    </w:p>
    <w:p w14:paraId="4692C6F5"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Goodfellow, I. J., Shlens, J., &amp; Szegedy, C. (2015). Explaining and Harnessing Adversarial Examples. </w:t>
      </w:r>
      <w:r w:rsidRPr="000D67F4">
        <w:rPr>
          <w:rFonts w:ascii="Times New Roman" w:hAnsi="Times New Roman" w:cs="Times New Roman"/>
          <w:i/>
          <w:iCs/>
        </w:rPr>
        <w:t>ICLR 2015</w:t>
      </w:r>
      <w:r w:rsidRPr="000D67F4">
        <w:rPr>
          <w:rFonts w:ascii="Times New Roman" w:hAnsi="Times New Roman" w:cs="Times New Roman"/>
        </w:rPr>
        <w:t>. https://arxiv.org/abs/1412.6572</w:t>
      </w:r>
    </w:p>
    <w:p w14:paraId="07E77960"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Hall, P., Curtis, J., &amp; Pandey, P. (2023). </w:t>
      </w:r>
      <w:r w:rsidRPr="000D67F4">
        <w:rPr>
          <w:rFonts w:ascii="Times New Roman" w:hAnsi="Times New Roman" w:cs="Times New Roman"/>
          <w:i/>
          <w:iCs/>
        </w:rPr>
        <w:t>Machine Learning for High-Risk Applications</w:t>
      </w:r>
      <w:r w:rsidRPr="000D67F4">
        <w:rPr>
          <w:rFonts w:ascii="Times New Roman" w:hAnsi="Times New Roman" w:cs="Times New Roman"/>
        </w:rPr>
        <w:t>, Ch. 5. O’Reilly. https://www.oreilly.com/library/view/machine-learning-for/9781098102425/</w:t>
      </w:r>
    </w:p>
    <w:p w14:paraId="56281F95"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Madry, A., Makelov, A., Schmidt, L., Tsipras, D., &amp; Vladu, A. (2018). Towards Deep Learning Models Resistant to Adversarial Attacks. </w:t>
      </w:r>
      <w:r w:rsidRPr="000D67F4">
        <w:rPr>
          <w:rFonts w:ascii="Times New Roman" w:hAnsi="Times New Roman" w:cs="Times New Roman"/>
          <w:i/>
          <w:iCs/>
        </w:rPr>
        <w:t>ICLR 2018</w:t>
      </w:r>
      <w:r w:rsidRPr="000D67F4">
        <w:rPr>
          <w:rFonts w:ascii="Times New Roman" w:hAnsi="Times New Roman" w:cs="Times New Roman"/>
        </w:rPr>
        <w:t>. https://arxiv.org/abs/1706.06083</w:t>
      </w:r>
    </w:p>
    <w:p w14:paraId="5C506A73"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ProPublica. (2016). COMPAS Recidivism Algorithm. </w:t>
      </w:r>
      <w:r w:rsidRPr="000D67F4">
        <w:rPr>
          <w:rFonts w:ascii="Times New Roman" w:hAnsi="Times New Roman" w:cs="Times New Roman"/>
          <w:i/>
          <w:iCs/>
        </w:rPr>
        <w:t>compas-analysis</w:t>
      </w:r>
      <w:r w:rsidRPr="000D67F4">
        <w:rPr>
          <w:rFonts w:ascii="Times New Roman" w:hAnsi="Times New Roman" w:cs="Times New Roman"/>
        </w:rPr>
        <w:t xml:space="preserve"> [Dataset]. https://github.com/propublica/compas-analysis</w:t>
      </w:r>
    </w:p>
    <w:p w14:paraId="14109705"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Shokri, R., Stronati, M., Song, C., &amp; Shmatikov, V. (2017). Membership Inference Attacks Against Machine Learning Models. </w:t>
      </w:r>
      <w:r w:rsidRPr="000D67F4">
        <w:rPr>
          <w:rFonts w:ascii="Times New Roman" w:hAnsi="Times New Roman" w:cs="Times New Roman"/>
          <w:i/>
          <w:iCs/>
        </w:rPr>
        <w:t>IEEE Symposium on Security and Privacy (S&amp;P) 2017</w:t>
      </w:r>
      <w:r w:rsidRPr="000D67F4">
        <w:rPr>
          <w:rFonts w:ascii="Times New Roman" w:hAnsi="Times New Roman" w:cs="Times New Roman"/>
        </w:rPr>
        <w:t>. https://arxiv.org/abs/1610.05820</w:t>
      </w:r>
    </w:p>
    <w:p w14:paraId="5B7E5B1B"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Tramer, F., Zhang, F., Juels, A., Reiter, M. K., &amp; Ristenpart, T. (2016). Stealing Machine Learning Models via Prediction APIs. </w:t>
      </w:r>
      <w:r w:rsidRPr="000D67F4">
        <w:rPr>
          <w:rFonts w:ascii="Times New Roman" w:hAnsi="Times New Roman" w:cs="Times New Roman"/>
          <w:i/>
          <w:iCs/>
        </w:rPr>
        <w:t>USENIX Security 2016</w:t>
      </w:r>
      <w:r w:rsidRPr="000D67F4">
        <w:rPr>
          <w:rFonts w:ascii="Times New Roman" w:hAnsi="Times New Roman" w:cs="Times New Roman"/>
        </w:rPr>
        <w:t>. https://arxiv.org/abs/1609.02943</w:t>
      </w:r>
    </w:p>
    <w:p w14:paraId="1979EECE"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Vassilev, A., Oprea, A., Fordyce, A., &amp; Anderson, H. (2024). Adversarial Machine Learning: A Taxonomy and Terminology of Attacks and Mitigations. </w:t>
      </w:r>
      <w:r w:rsidRPr="000D67F4">
        <w:rPr>
          <w:rFonts w:ascii="Times New Roman" w:hAnsi="Times New Roman" w:cs="Times New Roman"/>
          <w:i/>
          <w:iCs/>
        </w:rPr>
        <w:t>NIST AI 100-2e2023</w:t>
      </w:r>
      <w:r w:rsidRPr="000D67F4">
        <w:rPr>
          <w:rFonts w:ascii="Times New Roman" w:hAnsi="Times New Roman" w:cs="Times New Roman"/>
        </w:rPr>
        <w:t>. https://doi.org/10.6028/NIST.AI.100-2e2023</w:t>
      </w:r>
    </w:p>
    <w:p w14:paraId="75CB2010"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NIST. (2025). Adversarial Machine Learning: A Taxonomy and Terminology. </w:t>
      </w:r>
      <w:r w:rsidRPr="000D67F4">
        <w:rPr>
          <w:rFonts w:ascii="Times New Roman" w:hAnsi="Times New Roman" w:cs="Times New Roman"/>
          <w:i/>
          <w:iCs/>
        </w:rPr>
        <w:t>NIST AI 100-2e2025</w:t>
      </w:r>
      <w:r w:rsidRPr="000D67F4">
        <w:rPr>
          <w:rFonts w:ascii="Times New Roman" w:hAnsi="Times New Roman" w:cs="Times New Roman"/>
        </w:rPr>
        <w:t>. https://csrc.nist.gov/pubs/ai/100/2/e2025/final</w:t>
      </w:r>
    </w:p>
    <w:p w14:paraId="0C99EDBE"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NIST. (2023). AI Risk Management Framework (AI RMF 1.0). </w:t>
      </w:r>
      <w:r w:rsidRPr="000D67F4">
        <w:rPr>
          <w:rFonts w:ascii="Times New Roman" w:hAnsi="Times New Roman" w:cs="Times New Roman"/>
          <w:i/>
          <w:iCs/>
        </w:rPr>
        <w:t>NIST AI 100-1</w:t>
      </w:r>
      <w:r w:rsidRPr="000D67F4">
        <w:rPr>
          <w:rFonts w:ascii="Times New Roman" w:hAnsi="Times New Roman" w:cs="Times New Roman"/>
        </w:rPr>
        <w:t>. https://doi.org/10.6028/NIST.AI.100-1</w:t>
      </w:r>
    </w:p>
    <w:p w14:paraId="0842431B"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rPr>
        <w:t xml:space="preserve">Dwork, C., McSherry, F., Nissim, K., &amp; Smith, A. (2006). Calibrating Noise to Sensitivity in Private Data Analysis. </w:t>
      </w:r>
      <w:r w:rsidRPr="000D67F4">
        <w:rPr>
          <w:rFonts w:ascii="Times New Roman" w:hAnsi="Times New Roman" w:cs="Times New Roman"/>
          <w:i/>
          <w:iCs/>
        </w:rPr>
        <w:t>TCC 2006</w:t>
      </w:r>
      <w:r w:rsidRPr="000D67F4">
        <w:rPr>
          <w:rFonts w:ascii="Times New Roman" w:hAnsi="Times New Roman" w:cs="Times New Roman"/>
        </w:rPr>
        <w:t>. https://doi.org/10.1007/11681878_14</w:t>
      </w:r>
    </w:p>
    <w:p w14:paraId="7115154F" w14:textId="77777777" w:rsidR="0044542A" w:rsidRPr="000D67F4" w:rsidRDefault="00000000" w:rsidP="001828AA">
      <w:pPr>
        <w:pStyle w:val="Compact"/>
        <w:numPr>
          <w:ilvl w:val="0"/>
          <w:numId w:val="4"/>
        </w:numPr>
        <w:ind w:left="0" w:firstLine="0"/>
        <w:jc w:val="both"/>
        <w:rPr>
          <w:rFonts w:ascii="Times New Roman" w:hAnsi="Times New Roman" w:cs="Times New Roman"/>
        </w:rPr>
      </w:pPr>
      <w:r w:rsidRPr="000D67F4">
        <w:rPr>
          <w:rFonts w:ascii="Times New Roman" w:hAnsi="Times New Roman" w:cs="Times New Roman"/>
          <w:i/>
          <w:iCs/>
        </w:rPr>
        <w:lastRenderedPageBreak/>
        <w:t>Griggs v. Duke Power Co.</w:t>
      </w:r>
      <w:r w:rsidRPr="000D67F4">
        <w:rPr>
          <w:rFonts w:ascii="Times New Roman" w:hAnsi="Times New Roman" w:cs="Times New Roman"/>
        </w:rPr>
        <w:t>, 401 U.S. 424 (1971).</w:t>
      </w:r>
      <w:bookmarkEnd w:id="0"/>
      <w:bookmarkEnd w:id="11"/>
    </w:p>
    <w:sectPr w:rsidR="0044542A" w:rsidRPr="000D67F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8FA36" w14:textId="77777777" w:rsidR="000C68CA" w:rsidRDefault="000C68CA">
      <w:pPr>
        <w:spacing w:after="0"/>
      </w:pPr>
      <w:r>
        <w:separator/>
      </w:r>
    </w:p>
  </w:endnote>
  <w:endnote w:type="continuationSeparator" w:id="0">
    <w:p w14:paraId="0844182E" w14:textId="77777777" w:rsidR="000C68CA" w:rsidRDefault="000C68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69CBB" w14:textId="77777777" w:rsidR="000C68CA" w:rsidRDefault="000C68CA">
      <w:r>
        <w:separator/>
      </w:r>
    </w:p>
  </w:footnote>
  <w:footnote w:type="continuationSeparator" w:id="0">
    <w:p w14:paraId="6D454005" w14:textId="77777777" w:rsidR="000C68CA" w:rsidRDefault="000C68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CB294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BA1AEE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6388E1D4"/>
    <w:lvl w:ilvl="0">
      <w:start w:val="1"/>
      <w:numFmt w:val="decimal"/>
      <w:lvlText w:val="%1."/>
      <w:lvlJc w:val="left"/>
      <w:pPr>
        <w:ind w:left="1200" w:hanging="480"/>
      </w:pPr>
    </w:lvl>
    <w:lvl w:ilvl="1">
      <w:start w:val="1"/>
      <w:numFmt w:val="decimal"/>
      <w:lvlText w:val="%2."/>
      <w:lvlJc w:val="left"/>
      <w:pPr>
        <w:ind w:left="1920" w:hanging="480"/>
      </w:pPr>
    </w:lvl>
    <w:lvl w:ilvl="2">
      <w:start w:val="1"/>
      <w:numFmt w:val="decimal"/>
      <w:lvlText w:val="%3."/>
      <w:lvlJc w:val="left"/>
      <w:pPr>
        <w:ind w:left="2640" w:hanging="480"/>
      </w:pPr>
    </w:lvl>
    <w:lvl w:ilvl="3">
      <w:start w:val="1"/>
      <w:numFmt w:val="decimal"/>
      <w:lvlText w:val="%4."/>
      <w:lvlJc w:val="left"/>
      <w:pPr>
        <w:ind w:left="3360" w:hanging="480"/>
      </w:pPr>
    </w:lvl>
    <w:lvl w:ilvl="4">
      <w:start w:val="1"/>
      <w:numFmt w:val="decimal"/>
      <w:lvlText w:val="%5."/>
      <w:lvlJc w:val="left"/>
      <w:pPr>
        <w:ind w:left="4080" w:hanging="480"/>
      </w:pPr>
    </w:lvl>
    <w:lvl w:ilvl="5">
      <w:start w:val="1"/>
      <w:numFmt w:val="decimal"/>
      <w:lvlText w:val="%6."/>
      <w:lvlJc w:val="left"/>
      <w:pPr>
        <w:ind w:left="4800" w:hanging="480"/>
      </w:pPr>
    </w:lvl>
    <w:lvl w:ilvl="6">
      <w:start w:val="1"/>
      <w:numFmt w:val="decimal"/>
      <w:lvlText w:val="%7."/>
      <w:lvlJc w:val="left"/>
      <w:pPr>
        <w:ind w:left="5520" w:hanging="480"/>
      </w:pPr>
    </w:lvl>
    <w:lvl w:ilvl="7">
      <w:start w:val="1"/>
      <w:numFmt w:val="decimal"/>
      <w:lvlText w:val="%8."/>
      <w:lvlJc w:val="left"/>
      <w:pPr>
        <w:ind w:left="6240" w:hanging="480"/>
      </w:pPr>
    </w:lvl>
    <w:lvl w:ilvl="8">
      <w:start w:val="1"/>
      <w:numFmt w:val="decimal"/>
      <w:lvlText w:val="%9."/>
      <w:lvlJc w:val="left"/>
      <w:pPr>
        <w:ind w:left="6960" w:hanging="480"/>
      </w:pPr>
    </w:lvl>
  </w:abstractNum>
  <w:num w:numId="1" w16cid:durableId="855193196">
    <w:abstractNumId w:val="1"/>
  </w:num>
  <w:num w:numId="2" w16cid:durableId="376706403">
    <w:abstractNumId w:val="0"/>
  </w:num>
  <w:num w:numId="3" w16cid:durableId="1885479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421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C68CA"/>
    <w:rsid w:val="000D67F4"/>
    <w:rsid w:val="001828AA"/>
    <w:rsid w:val="0044542A"/>
    <w:rsid w:val="004E29B3"/>
    <w:rsid w:val="00590D07"/>
    <w:rsid w:val="00643D6B"/>
    <w:rsid w:val="00714898"/>
    <w:rsid w:val="00784D58"/>
    <w:rsid w:val="008D6863"/>
    <w:rsid w:val="00900222"/>
    <w:rsid w:val="00A95805"/>
    <w:rsid w:val="00B86B75"/>
    <w:rsid w:val="00BC48D5"/>
    <w:rsid w:val="00C36279"/>
    <w:rsid w:val="00C66F8D"/>
    <w:rsid w:val="00D02B22"/>
    <w:rsid w:val="00E315A3"/>
    <w:rsid w:val="00EC0CD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EDDD"/>
  <w15:docId w15:val="{263BBDA9-DE0C-4398-B8C7-AE5818E0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4446</Words>
  <Characters>25348</Characters>
  <Application>Microsoft Office Word</Application>
  <DocSecurity>0</DocSecurity>
  <Lines>211</Lines>
  <Paragraphs>59</Paragraphs>
  <ScaleCrop>false</ScaleCrop>
  <Company/>
  <LinksUpToDate>false</LinksUpToDate>
  <CharactersWithSpaces>29735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Ajayi, Ola</dc:creator>
  <cp:keywords/>
  <cp:lastModifiedBy>Ajayi, Ola</cp:lastModifiedBy>
  <cp:revision>2</cp:revision>
  <dcterms:created xsi:type="dcterms:W3CDTF">2026-04-29T19:59:00Z</dcterms:created>
  <dcterms:modified xsi:type="dcterms:W3CDTF">2026-04-29T19:59:00Z</dcterms:modified>
</cp:coreProperties>
</file>