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Pr="009A6940" w:rsidRDefault="00954894" w:rsidP="009A6940">
      <w:r>
        <w:t xml:space="preserve">ARRS </w:t>
      </w:r>
      <w:proofErr w:type="spellStart"/>
      <w:r>
        <w:t>klasifikacija</w:t>
      </w:r>
      <w:proofErr w:type="spellEnd"/>
      <w:r>
        <w:t xml:space="preserve">: </w:t>
      </w:r>
      <w:r>
        <w:tab/>
      </w:r>
      <w:r w:rsidRPr="00954894">
        <w:t>5.01.</w:t>
      </w:r>
      <w:r w:rsidRPr="009A6940">
        <w:t>01, 2.07.08</w:t>
      </w:r>
    </w:p>
    <w:p w14:paraId="212073AF" w14:textId="20E76688" w:rsidR="003A0D68" w:rsidRPr="00777F02" w:rsidRDefault="00954894" w:rsidP="009A6940">
      <w:pPr>
        <w:rPr>
          <w:lang w:val="sl-SI" w:eastAsia="sl-SI"/>
        </w:rPr>
      </w:pPr>
      <w:r>
        <w:rPr>
          <w:lang w:val="sl-SI" w:eastAsia="sl-SI"/>
        </w:rPr>
        <w:t xml:space="preserve">MSC 2020 klasifikacija: </w:t>
      </w:r>
      <w:r>
        <w:rPr>
          <w:lang w:val="sl-SI" w:eastAsia="sl-SI"/>
        </w:rPr>
        <w:tab/>
      </w:r>
      <w:r w:rsidRPr="00964A65">
        <w:t>97D40, 97D60, 62P99</w:t>
      </w:r>
    </w:p>
    <w:p w14:paraId="1869FC44" w14:textId="111FB4F1" w:rsidR="007A135E" w:rsidRDefault="00943AC8" w:rsidP="009A6940">
      <w:proofErr w:type="spellStart"/>
      <w:r w:rsidRPr="00964A65">
        <w:rPr>
          <w:sz w:val="40"/>
          <w:szCs w:val="40"/>
        </w:rPr>
        <w:t>I</w:t>
      </w:r>
      <w:r w:rsidR="003A0D68">
        <w:rPr>
          <w:sz w:val="40"/>
          <w:szCs w:val="40"/>
        </w:rPr>
        <w:t>zvleček</w:t>
      </w:r>
      <w:proofErr w:type="spellEnd"/>
      <w:r w:rsidR="00A76235" w:rsidRPr="00A76235">
        <w:br/>
      </w:r>
      <w:proofErr w:type="spellStart"/>
      <w:r w:rsidR="00A76235" w:rsidRPr="00A76235">
        <w:t>Glavni</w:t>
      </w:r>
      <w:proofErr w:type="spellEnd"/>
      <w:r w:rsidR="00A76235" w:rsidRPr="00A76235">
        <w:t xml:space="preserve"> </w:t>
      </w:r>
      <w:proofErr w:type="spellStart"/>
      <w:r w:rsidR="00A76235" w:rsidRPr="00A76235">
        <w:t>cilj</w:t>
      </w:r>
      <w:proofErr w:type="spellEnd"/>
      <w:r w:rsidR="00A76235" w:rsidRPr="00A76235">
        <w:t xml:space="preserve"> </w:t>
      </w:r>
      <w:proofErr w:type="spellStart"/>
      <w:r w:rsidR="00A76235">
        <w:t>vzgojno-izobraževalnih</w:t>
      </w:r>
      <w:proofErr w:type="spellEnd"/>
      <w:r w:rsidR="00A76235" w:rsidRPr="00A76235">
        <w:t xml:space="preserve"> </w:t>
      </w:r>
      <w:proofErr w:type="spellStart"/>
      <w:r w:rsidR="00A76235" w:rsidRPr="00A76235">
        <w:t>ustanov</w:t>
      </w:r>
      <w:proofErr w:type="spellEnd"/>
      <w:r w:rsidR="00A76235" w:rsidRPr="00A76235">
        <w:t xml:space="preserve"> je </w:t>
      </w:r>
      <w:proofErr w:type="spellStart"/>
      <w:r w:rsidR="00A76235" w:rsidRPr="00A76235">
        <w:t>zagotoviti</w:t>
      </w:r>
      <w:proofErr w:type="spellEnd"/>
      <w:r w:rsidR="00A76235" w:rsidRPr="00A76235">
        <w:t xml:space="preserve"> </w:t>
      </w:r>
      <w:proofErr w:type="spellStart"/>
      <w:r w:rsidR="00A76235" w:rsidRPr="00A76235">
        <w:t>kakovostno</w:t>
      </w:r>
      <w:proofErr w:type="spellEnd"/>
      <w:r w:rsidR="00A76235" w:rsidRPr="00A76235">
        <w:t xml:space="preserve"> </w:t>
      </w:r>
      <w:proofErr w:type="spellStart"/>
      <w:r w:rsidR="00A76235" w:rsidRPr="00A76235">
        <w:t>izobraževanje</w:t>
      </w:r>
      <w:proofErr w:type="spellEnd"/>
      <w:r w:rsidR="00A76235" w:rsidRPr="00A76235">
        <w:t xml:space="preserve"> </w:t>
      </w:r>
      <w:proofErr w:type="spellStart"/>
      <w:r w:rsidR="00A76235" w:rsidRPr="00A76235">
        <w:t>svojim</w:t>
      </w:r>
      <w:proofErr w:type="spellEnd"/>
      <w:r w:rsidR="00A76235" w:rsidRPr="00A76235">
        <w:t xml:space="preserve"> </w:t>
      </w:r>
      <w:proofErr w:type="spellStart"/>
      <w:r w:rsidR="00A76235">
        <w:t>učencem</w:t>
      </w:r>
      <w:proofErr w:type="spellEnd"/>
      <w:r w:rsidR="00A76235" w:rsidRPr="00A76235">
        <w:t xml:space="preserve">. Eden od </w:t>
      </w:r>
      <w:proofErr w:type="spellStart"/>
      <w:r w:rsidR="00A76235" w:rsidRPr="00A76235">
        <w:t>načinov</w:t>
      </w:r>
      <w:proofErr w:type="spellEnd"/>
      <w:r w:rsidR="00A76235" w:rsidRPr="00A76235">
        <w:t xml:space="preserve"> za </w:t>
      </w:r>
      <w:proofErr w:type="spellStart"/>
      <w:r w:rsidR="00A76235" w:rsidRPr="00A76235">
        <w:t>dosego</w:t>
      </w:r>
      <w:proofErr w:type="spellEnd"/>
      <w:r w:rsidR="00A76235" w:rsidRPr="00A76235">
        <w:t xml:space="preserve"> </w:t>
      </w:r>
      <w:proofErr w:type="spellStart"/>
      <w:r w:rsidR="00A76235" w:rsidRPr="00A76235">
        <w:t>tega</w:t>
      </w:r>
      <w:proofErr w:type="spellEnd"/>
      <w:r w:rsidR="00A76235" w:rsidRPr="00A76235">
        <w:t xml:space="preserve"> je </w:t>
      </w:r>
      <w:proofErr w:type="spellStart"/>
      <w:r w:rsidR="00A76235" w:rsidRPr="00A76235">
        <w:t>uvedba</w:t>
      </w:r>
      <w:proofErr w:type="spellEnd"/>
      <w:r w:rsidR="00A76235" w:rsidRPr="00A76235">
        <w:t xml:space="preserve"> </w:t>
      </w:r>
      <w:proofErr w:type="spellStart"/>
      <w:r w:rsidR="00A76235" w:rsidRPr="00A76235">
        <w:t>različnih</w:t>
      </w:r>
      <w:proofErr w:type="spellEnd"/>
      <w:r w:rsidR="00A76235" w:rsidRPr="00A76235">
        <w:t xml:space="preserve"> </w:t>
      </w:r>
      <w:proofErr w:type="spellStart"/>
      <w:r w:rsidR="00A76235" w:rsidRPr="00A76235">
        <w:t>pedagoških</w:t>
      </w:r>
      <w:proofErr w:type="spellEnd"/>
      <w:r w:rsidR="00A76235" w:rsidRPr="00A76235">
        <w:t xml:space="preserve"> </w:t>
      </w:r>
      <w:proofErr w:type="spellStart"/>
      <w:r w:rsidR="00A76235" w:rsidRPr="00A76235">
        <w:t>metod</w:t>
      </w:r>
      <w:proofErr w:type="spellEnd"/>
      <w:r w:rsidR="00A76235">
        <w:t xml:space="preserve"> in </w:t>
      </w:r>
      <w:proofErr w:type="spellStart"/>
      <w:r w:rsidR="00A76235">
        <w:t>učnih</w:t>
      </w:r>
      <w:proofErr w:type="spellEnd"/>
      <w:r w:rsidR="00A76235">
        <w:t xml:space="preserve"> </w:t>
      </w:r>
      <w:proofErr w:type="spellStart"/>
      <w:r w:rsidR="00A76235">
        <w:t>oblik</w:t>
      </w:r>
      <w:proofErr w:type="spellEnd"/>
      <w:r w:rsidR="00A76235" w:rsidRPr="00A76235">
        <w:t xml:space="preserve">, med </w:t>
      </w:r>
      <w:proofErr w:type="spellStart"/>
      <w:r w:rsidR="00A76235" w:rsidRPr="00A76235">
        <w:t>katerimi</w:t>
      </w:r>
      <w:proofErr w:type="spellEnd"/>
      <w:r w:rsidR="00A76235" w:rsidRPr="00A76235">
        <w:t xml:space="preserve"> je </w:t>
      </w:r>
      <w:proofErr w:type="spellStart"/>
      <w:r w:rsidR="00A76235" w:rsidRPr="00A76235">
        <w:t>tudi</w:t>
      </w:r>
      <w:proofErr w:type="spellEnd"/>
      <w:r w:rsidR="00A76235" w:rsidRPr="00A76235">
        <w:t xml:space="preserve"> </w:t>
      </w:r>
      <w:proofErr w:type="spellStart"/>
      <w:r w:rsidR="00A76235" w:rsidRPr="00A76235">
        <w:t>tand</w:t>
      </w:r>
      <w:r w:rsidR="00A76235">
        <w:t>e</w:t>
      </w:r>
      <w:r w:rsidR="00A76235" w:rsidRPr="00A76235">
        <w:t>msko</w:t>
      </w:r>
      <w:proofErr w:type="spellEnd"/>
      <w:r w:rsidR="00A76235" w:rsidRPr="00A76235">
        <w:t xml:space="preserve"> </w:t>
      </w:r>
      <w:proofErr w:type="spellStart"/>
      <w:r w:rsidR="00A76235" w:rsidRPr="00A76235">
        <w:t>učenje</w:t>
      </w:r>
      <w:proofErr w:type="spellEnd"/>
      <w:r w:rsidR="00A76235" w:rsidRPr="00A76235">
        <w:t xml:space="preserve">. </w:t>
      </w:r>
      <w:proofErr w:type="spellStart"/>
      <w:r w:rsidR="00A76235">
        <w:t>Vsakomur</w:t>
      </w:r>
      <w:proofErr w:type="spellEnd"/>
      <w:r w:rsidR="00A76235">
        <w:t xml:space="preserve"> ne </w:t>
      </w:r>
      <w:proofErr w:type="spellStart"/>
      <w:r w:rsidR="00A76235" w:rsidRPr="00A76235">
        <w:t>ustreza</w:t>
      </w:r>
      <w:proofErr w:type="spellEnd"/>
      <w:r w:rsidR="00A76235" w:rsidRPr="00A76235">
        <w:t xml:space="preserve"> </w:t>
      </w:r>
      <w:proofErr w:type="spellStart"/>
      <w:r w:rsidR="00A76235" w:rsidRPr="00A76235">
        <w:t>enotna</w:t>
      </w:r>
      <w:proofErr w:type="spellEnd"/>
      <w:r w:rsidR="00A76235" w:rsidRPr="00A76235">
        <w:t xml:space="preserve"> </w:t>
      </w:r>
      <w:proofErr w:type="spellStart"/>
      <w:r w:rsidR="00A76235" w:rsidRPr="00A76235">
        <w:t>metoda</w:t>
      </w:r>
      <w:proofErr w:type="spellEnd"/>
      <w:r w:rsidR="00A76235">
        <w:t>,</w:t>
      </w:r>
      <w:r w:rsidR="00A76235" w:rsidRPr="00A76235">
        <w:t xml:space="preserve"> </w:t>
      </w:r>
      <w:proofErr w:type="spellStart"/>
      <w:r w:rsidR="00A76235" w:rsidRPr="00A76235">
        <w:t>zato</w:t>
      </w:r>
      <w:proofErr w:type="spellEnd"/>
      <w:r w:rsidR="00A76235" w:rsidRPr="00A76235">
        <w:t xml:space="preserve"> je </w:t>
      </w:r>
      <w:proofErr w:type="spellStart"/>
      <w:r w:rsidR="00A76235" w:rsidRPr="00A76235">
        <w:t>ključno</w:t>
      </w:r>
      <w:proofErr w:type="spellEnd"/>
      <w:r w:rsidR="00A76235" w:rsidRPr="00A76235">
        <w:t xml:space="preserve"> za </w:t>
      </w:r>
      <w:proofErr w:type="spellStart"/>
      <w:r w:rsidR="00A76235" w:rsidRPr="00A76235">
        <w:t>izobraževalne</w:t>
      </w:r>
      <w:proofErr w:type="spellEnd"/>
      <w:r w:rsidR="00A76235" w:rsidRPr="00A76235">
        <w:t xml:space="preserve"> </w:t>
      </w:r>
      <w:proofErr w:type="spellStart"/>
      <w:r w:rsidR="00A76235" w:rsidRPr="00A76235">
        <w:t>ustanove</w:t>
      </w:r>
      <w:proofErr w:type="spellEnd"/>
      <w:r w:rsidR="00A76235" w:rsidRPr="00A76235">
        <w:t xml:space="preserve"> </w:t>
      </w:r>
      <w:proofErr w:type="spellStart"/>
      <w:r w:rsidR="00A76235" w:rsidRPr="00A76235">
        <w:t>razkriti</w:t>
      </w:r>
      <w:proofErr w:type="spellEnd"/>
      <w:r w:rsidR="00A76235" w:rsidRPr="00A76235">
        <w:t xml:space="preserve"> </w:t>
      </w:r>
      <w:proofErr w:type="spellStart"/>
      <w:r w:rsidR="00A76235" w:rsidRPr="00A76235">
        <w:t>vpoglede</w:t>
      </w:r>
      <w:proofErr w:type="spellEnd"/>
      <w:r w:rsidR="00A76235" w:rsidRPr="00A76235">
        <w:t xml:space="preserve"> za </w:t>
      </w:r>
      <w:proofErr w:type="spellStart"/>
      <w:r w:rsidR="00A76235" w:rsidRPr="00A76235">
        <w:t>izbiro</w:t>
      </w:r>
      <w:proofErr w:type="spellEnd"/>
      <w:r w:rsidR="00A76235" w:rsidRPr="00A76235">
        <w:t xml:space="preserve"> </w:t>
      </w:r>
      <w:proofErr w:type="spellStart"/>
      <w:r w:rsidR="00A76235" w:rsidRPr="00A76235">
        <w:t>napovednega</w:t>
      </w:r>
      <w:proofErr w:type="spellEnd"/>
      <w:r w:rsidR="00A76235" w:rsidRPr="00A76235">
        <w:t xml:space="preserve"> </w:t>
      </w:r>
      <w:proofErr w:type="spellStart"/>
      <w:r w:rsidR="00A76235" w:rsidRPr="00A76235">
        <w:t>modela</w:t>
      </w:r>
      <w:proofErr w:type="spellEnd"/>
      <w:r w:rsidR="00A76235" w:rsidRPr="00A76235">
        <w:t xml:space="preserve">, </w:t>
      </w:r>
      <w:proofErr w:type="spellStart"/>
      <w:r w:rsidR="00A76235" w:rsidRPr="00A76235">
        <w:t>prilagojenega</w:t>
      </w:r>
      <w:proofErr w:type="spellEnd"/>
      <w:r w:rsidR="00A76235" w:rsidRPr="00A76235">
        <w:t xml:space="preserve"> </w:t>
      </w:r>
      <w:proofErr w:type="spellStart"/>
      <w:r w:rsidR="00A76235" w:rsidRPr="00A76235">
        <w:t>posameznim</w:t>
      </w:r>
      <w:proofErr w:type="spellEnd"/>
      <w:r w:rsidR="00A76235" w:rsidRPr="00A76235">
        <w:t xml:space="preserve"> </w:t>
      </w:r>
      <w:proofErr w:type="spellStart"/>
      <w:r w:rsidR="00A76235" w:rsidRPr="00A76235">
        <w:t>študentom</w:t>
      </w:r>
      <w:proofErr w:type="spellEnd"/>
      <w:r w:rsidR="00A76235" w:rsidRPr="00A76235">
        <w:t xml:space="preserve"> </w:t>
      </w:r>
      <w:proofErr w:type="spellStart"/>
      <w:r w:rsidR="009A6940">
        <w:t>oziroma</w:t>
      </w:r>
      <w:proofErr w:type="spellEnd"/>
      <w:r w:rsidR="009A6940">
        <w:t xml:space="preserve"> </w:t>
      </w:r>
      <w:proofErr w:type="spellStart"/>
      <w:r w:rsidR="009A6940">
        <w:t>razredu</w:t>
      </w:r>
      <w:proofErr w:type="spellEnd"/>
      <w:r w:rsidR="00A76235" w:rsidRPr="00A76235">
        <w:t xml:space="preserve">. </w:t>
      </w:r>
      <w:proofErr w:type="spellStart"/>
      <w:r w:rsidR="00A76235" w:rsidRPr="00A76235">
        <w:t>Znanje</w:t>
      </w:r>
      <w:proofErr w:type="spellEnd"/>
      <w:r w:rsidR="00A76235" w:rsidRPr="00A76235">
        <w:t xml:space="preserve"> je </w:t>
      </w:r>
      <w:proofErr w:type="spellStart"/>
      <w:r w:rsidR="00A76235" w:rsidRPr="00A76235">
        <w:t>skrito</w:t>
      </w:r>
      <w:proofErr w:type="spellEnd"/>
      <w:r w:rsidR="00A76235" w:rsidRPr="00A76235">
        <w:t xml:space="preserve"> med </w:t>
      </w:r>
      <w:proofErr w:type="spellStart"/>
      <w:r w:rsidR="00A76235" w:rsidRPr="00A76235">
        <w:t>izobraževalnimi</w:t>
      </w:r>
      <w:proofErr w:type="spellEnd"/>
      <w:r w:rsidR="00A76235" w:rsidRPr="00A76235">
        <w:t xml:space="preserve"> </w:t>
      </w:r>
      <w:proofErr w:type="spellStart"/>
      <w:r w:rsidR="00A76235" w:rsidRPr="00A76235">
        <w:t>podatki</w:t>
      </w:r>
      <w:proofErr w:type="spellEnd"/>
      <w:r w:rsidR="00A76235" w:rsidRPr="00A76235">
        <w:t xml:space="preserve"> in je </w:t>
      </w:r>
      <w:proofErr w:type="spellStart"/>
      <w:r w:rsidR="00A76235" w:rsidRPr="00A76235">
        <w:t>izvlečljivo</w:t>
      </w:r>
      <w:proofErr w:type="spellEnd"/>
      <w:r w:rsidR="00A76235" w:rsidRPr="00A76235">
        <w:t xml:space="preserve"> s </w:t>
      </w:r>
      <w:proofErr w:type="spellStart"/>
      <w:r w:rsidR="00A76235" w:rsidRPr="00A76235">
        <w:t>tehnikami</w:t>
      </w:r>
      <w:proofErr w:type="spellEnd"/>
      <w:r w:rsidR="00A76235" w:rsidRPr="00A76235">
        <w:t xml:space="preserve"> </w:t>
      </w:r>
      <w:proofErr w:type="spellStart"/>
      <w:r w:rsidR="00A76235" w:rsidRPr="00A76235">
        <w:t>rudarjenja</w:t>
      </w:r>
      <w:proofErr w:type="spellEnd"/>
      <w:r w:rsidR="00A76235" w:rsidRPr="00A76235">
        <w:t xml:space="preserve"> </w:t>
      </w:r>
      <w:proofErr w:type="spellStart"/>
      <w:r w:rsidR="00A76235" w:rsidRPr="00A76235">
        <w:t>podatkov</w:t>
      </w:r>
      <w:proofErr w:type="spellEnd"/>
      <w:r w:rsidR="00A76235" w:rsidRPr="00A76235">
        <w:t>.</w:t>
      </w:r>
    </w:p>
    <w:p w14:paraId="3FED1E88" w14:textId="1CA09F69" w:rsidR="002124AA" w:rsidRDefault="002124AA" w:rsidP="00A76235">
      <w:r>
        <w:t xml:space="preserve">Poleg </w:t>
      </w:r>
      <w:proofErr w:type="spellStart"/>
      <w:r>
        <w:t>širših</w:t>
      </w:r>
      <w:proofErr w:type="spellEnd"/>
      <w:r>
        <w:t xml:space="preserve"> </w:t>
      </w:r>
      <w:proofErr w:type="spellStart"/>
      <w:r>
        <w:t>uporab</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 xml:space="preserve">, se </w:t>
      </w:r>
      <w:proofErr w:type="spellStart"/>
      <w:r>
        <w:t>slednje</w:t>
      </w:r>
      <w:proofErr w:type="spellEnd"/>
      <w:r>
        <w:t xml:space="preserve"> </w:t>
      </w:r>
      <w:proofErr w:type="spellStart"/>
      <w:r>
        <w:t>uporablja</w:t>
      </w:r>
      <w:proofErr w:type="spellEnd"/>
      <w:r>
        <w:t xml:space="preserve"> </w:t>
      </w:r>
      <w:proofErr w:type="spellStart"/>
      <w:r>
        <w:t>tudi</w:t>
      </w:r>
      <w:proofErr w:type="spellEnd"/>
      <w:r>
        <w:t xml:space="preserve"> za </w:t>
      </w:r>
      <w:proofErr w:type="spellStart"/>
      <w:r>
        <w:t>predikcijo</w:t>
      </w:r>
      <w:proofErr w:type="spellEnd"/>
      <w:r>
        <w:t xml:space="preserve"> </w:t>
      </w:r>
      <w:proofErr w:type="spellStart"/>
      <w:r>
        <w:t>uspeha</w:t>
      </w:r>
      <w:proofErr w:type="spellEnd"/>
      <w:r>
        <w:t xml:space="preserve"> in </w:t>
      </w:r>
      <w:proofErr w:type="spellStart"/>
      <w:r>
        <w:t>identifikacijo</w:t>
      </w:r>
      <w:proofErr w:type="spellEnd"/>
      <w:r>
        <w:t xml:space="preserve"> </w:t>
      </w:r>
      <w:proofErr w:type="spellStart"/>
      <w:r>
        <w:t>pomembnih</w:t>
      </w:r>
      <w:proofErr w:type="spellEnd"/>
      <w:r>
        <w:t xml:space="preserve"> </w:t>
      </w:r>
      <w:proofErr w:type="spellStart"/>
      <w:r>
        <w:t>spremenljivk</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opazovan</w:t>
      </w:r>
      <w:proofErr w:type="spellEnd"/>
      <w:r>
        <w:t xml:space="preserve"> </w:t>
      </w:r>
      <w:proofErr w:type="spellStart"/>
      <w:r>
        <w:t>uspeh</w:t>
      </w:r>
      <w:proofErr w:type="spellEnd"/>
      <w:r>
        <w:t>.</w:t>
      </w:r>
    </w:p>
    <w:p w14:paraId="50579CAE" w14:textId="46A1ED39" w:rsidR="00964A65" w:rsidRDefault="00EC6961" w:rsidP="00431CE2">
      <w:r>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64E50F81" w14:textId="4290AB38" w:rsidR="00C55ADF" w:rsidRPr="00C55ADF" w:rsidRDefault="00C55ADF">
      <w:pPr>
        <w:jc w:val="left"/>
        <w:rPr>
          <w:b/>
          <w:bCs/>
          <w:lang w:val="sl-SI"/>
        </w:rPr>
      </w:pPr>
      <w:proofErr w:type="spellStart"/>
      <w:r w:rsidRPr="00C55ADF">
        <w:rPr>
          <w:b/>
          <w:bCs/>
          <w:lang w:val="sl-SI"/>
        </w:rPr>
        <w:t>Temeljnja</w:t>
      </w:r>
      <w:proofErr w:type="spellEnd"/>
      <w:r w:rsidRPr="00C55ADF">
        <w:rPr>
          <w:b/>
          <w:bCs/>
          <w:lang w:val="sl-SI"/>
        </w:rPr>
        <w:t xml:space="preserve"> literatura</w:t>
      </w:r>
      <w:r>
        <w:rPr>
          <w:b/>
          <w:bCs/>
          <w:lang w:val="sl-SI"/>
        </w:rPr>
        <w:t xml:space="preserve">: </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1018E79E" w14:textId="02543457"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Pr>
          <w:lang w:val="sl-SI"/>
        </w:rPr>
        <w:fldChar w:fldCharType="begin"/>
      </w:r>
      <w:r w:rsidR="00A31DED">
        <w:rPr>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Pr>
          <w:lang w:val="sl-SI"/>
        </w:rPr>
        <w:fldChar w:fldCharType="separate"/>
      </w:r>
      <w:r w:rsidR="00A31DED" w:rsidRPr="00A31DED">
        <w:rPr>
          <w:rFonts w:ascii="Calibri" w:hAnsi="Calibri" w:cs="Calibri"/>
          <w:kern w:val="0"/>
          <w:sz w:val="22"/>
        </w:rPr>
        <w:t>(Arias &amp; Peralta, 2011; Blažič idr., 2003)</w:t>
      </w:r>
      <w:r w:rsidR="002D4A89">
        <w:rPr>
          <w:lang w:val="sl-SI"/>
        </w:rPr>
        <w:fldChar w:fldCharType="end"/>
      </w:r>
      <w:r w:rsidRPr="007D5B00">
        <w:rPr>
          <w:lang w:val="sl-SI"/>
        </w:rPr>
        <w:t xml:space="preserve">. V luči teh novih praks so številni raziskovalci predlagali uporabo </w:t>
      </w:r>
      <w:r w:rsidRPr="007D5B00">
        <w:rPr>
          <w:lang w:val="sl-SI"/>
        </w:rPr>
        <w:lastRenderedPageBreak/>
        <w:t xml:space="preserve">različnih oblik učenja v majhnih skupinah </w:t>
      </w:r>
      <w:r w:rsidR="002D4A89">
        <w:rPr>
          <w:lang w:val="sl-SI"/>
        </w:rPr>
        <w:fldChar w:fldCharType="begin"/>
      </w:r>
      <w:r w:rsidR="00A31DED">
        <w:rPr>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Pr>
          <w:lang w:val="sl-SI"/>
        </w:rPr>
        <w:fldChar w:fldCharType="separate"/>
      </w:r>
      <w:r w:rsidR="00A31DED" w:rsidRPr="00A31DED">
        <w:rPr>
          <w:rFonts w:ascii="Calibri" w:hAnsi="Calibri" w:cs="Calibri"/>
          <w:sz w:val="22"/>
        </w:rPr>
        <w:t>(S. Wang idr., 2023)</w:t>
      </w:r>
      <w:r w:rsidR="002D4A89">
        <w:rPr>
          <w:lang w:val="sl-SI"/>
        </w:rPr>
        <w:fldChar w:fldCharType="end"/>
      </w:r>
      <w:r w:rsidRPr="007D5B00">
        <w:rPr>
          <w:lang w:val="sl-SI"/>
        </w:rPr>
        <w:t xml:space="preserve">, saj naj bi bile te bolj učinkovite pri spodbujanju večjih akademskih dosežkov </w:t>
      </w:r>
      <w:r w:rsidR="002D4A89">
        <w:rPr>
          <w:lang w:val="sl-SI"/>
        </w:rPr>
        <w:fldChar w:fldCharType="begin"/>
      </w:r>
      <w:r w:rsidR="002D4A89">
        <w:rPr>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Pr>
          <w:lang w:val="sl-SI"/>
        </w:rPr>
        <w:fldChar w:fldCharType="separate"/>
      </w:r>
      <w:r w:rsidR="002D4A89" w:rsidRPr="002D4A89">
        <w:rPr>
          <w:rFonts w:ascii="Calibri" w:hAnsi="Calibri" w:cs="Calibri"/>
          <w:sz w:val="22"/>
        </w:rPr>
        <w:t>(S. A. Kalaian &amp; Kasim, 2014)</w:t>
      </w:r>
      <w:r w:rsidR="002D4A89">
        <w:rPr>
          <w:lang w:val="sl-SI"/>
        </w:rPr>
        <w:fldChar w:fldCharType="end"/>
      </w:r>
      <w:r w:rsidRPr="007D5B00">
        <w:rPr>
          <w:lang w:val="sl-SI"/>
        </w:rPr>
        <w:t xml:space="preserve">, pozitivnejših stališč do učenja </w:t>
      </w:r>
      <w:r w:rsidR="002D4A89">
        <w:rPr>
          <w:lang w:val="sl-SI"/>
        </w:rPr>
        <w:fldChar w:fldCharType="begin"/>
      </w:r>
      <w:r w:rsidR="00A31DED">
        <w:rPr>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Pr>
          <w:lang w:val="sl-SI"/>
        </w:rPr>
        <w:fldChar w:fldCharType="separate"/>
      </w:r>
      <w:r w:rsidR="00A31DED" w:rsidRPr="00A31DED">
        <w:rPr>
          <w:rFonts w:ascii="Calibri" w:hAnsi="Calibri" w:cs="Calibri"/>
          <w:sz w:val="22"/>
        </w:rPr>
        <w:t>(Gaudet idr., 2010; Hillyard idr., 2010)</w:t>
      </w:r>
      <w:r w:rsidR="002D4A89">
        <w:rPr>
          <w:lang w:val="sl-SI"/>
        </w:rPr>
        <w:fldChar w:fldCharType="end"/>
      </w:r>
      <w:r w:rsidRPr="007D5B00">
        <w:rPr>
          <w:lang w:val="sl-SI"/>
        </w:rPr>
        <w:t xml:space="preserve"> ter povečane vztrajnosti pri predmetih in programih STEM </w:t>
      </w:r>
      <w:r w:rsidR="002D4A89">
        <w:rPr>
          <w:lang w:val="sl-SI"/>
        </w:rPr>
        <w:fldChar w:fldCharType="begin"/>
      </w:r>
      <w:r w:rsidR="00A31DED">
        <w:rPr>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Pr>
          <w:lang w:val="sl-SI"/>
        </w:rPr>
        <w:fldChar w:fldCharType="separate"/>
      </w:r>
      <w:r w:rsidR="00A31DED" w:rsidRPr="00A31DED">
        <w:rPr>
          <w:rFonts w:ascii="Calibri" w:hAnsi="Calibri" w:cs="Calibri"/>
          <w:sz w:val="22"/>
        </w:rPr>
        <w:t>(S. Kalaian idr., 2018; Micari idr., 2010; Wieselmann idr., 2020; S. B. Wilson &amp; Varma-Nelson, 2016)</w:t>
      </w:r>
      <w:r w:rsidR="002D4A89">
        <w:rPr>
          <w:lang w:val="sl-SI"/>
        </w:rPr>
        <w:fldChar w:fldCharType="end"/>
      </w:r>
      <w:r w:rsidRPr="007D5B00">
        <w:rPr>
          <w:lang w:val="sl-SI"/>
        </w:rPr>
        <w:t>.</w:t>
      </w:r>
      <w:r w:rsidR="008518A1" w:rsidRPr="007D5B00">
        <w:rPr>
          <w:lang w:val="sl-SI"/>
        </w:rPr>
        <w:t xml:space="preserve"> Individualni odzivi na enotno metodo poučevanja niso enaki pri vseh</w:t>
      </w:r>
      <w:r w:rsidR="008518A1">
        <w:rPr>
          <w:lang w:val="sl-SI"/>
        </w:rPr>
        <w:t xml:space="preserve"> </w:t>
      </w:r>
      <w:r w:rsidR="0097302F">
        <w:rPr>
          <w:lang w:val="sl-SI"/>
        </w:rPr>
        <w:fldChar w:fldCharType="begin"/>
      </w:r>
      <w:r w:rsidR="0097302F">
        <w:rPr>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Pr>
          <w:lang w:val="sl-SI"/>
        </w:rPr>
        <w:fldChar w:fldCharType="separate"/>
      </w:r>
      <w:r w:rsidR="0097302F" w:rsidRPr="0097302F">
        <w:rPr>
          <w:rFonts w:ascii="Calibri" w:hAnsi="Calibri" w:cs="Calibri"/>
        </w:rPr>
        <w:t>(Crisianita &amp; Mandasari, 2022)</w:t>
      </w:r>
      <w:r w:rsidR="0097302F">
        <w:rPr>
          <w:lang w:val="sl-SI"/>
        </w:rPr>
        <w:fldChar w:fldCharType="end"/>
      </w:r>
      <w:r w:rsidR="008518A1" w:rsidRPr="007D5B00">
        <w:rPr>
          <w:lang w:val="sl-SI"/>
        </w:rPr>
        <w:t>, kar poudarja potrebo po odkrivanju ustreznih modelov poučevanja, prilagojenih posameznim učencem ali učilnicam.</w:t>
      </w:r>
    </w:p>
    <w:p w14:paraId="6C2FB464" w14:textId="6C236323"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sidR="002D4A89">
        <w:rPr>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002D4A89" w:rsidRPr="002D4A89">
        <w:rPr>
          <w:rFonts w:ascii="Calibri" w:hAnsi="Calibri" w:cs="Calibri"/>
          <w:kern w:val="0"/>
          <w:sz w:val="22"/>
        </w:rPr>
        <w:t>(Stickler &amp; Emke, 2011; Tomić, 2002; G. L.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A31DED">
        <w:rPr>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A31DED" w:rsidRPr="00A31DED">
        <w:rPr>
          <w:rFonts w:ascii="Calibri" w:hAnsi="Calibri" w:cs="Calibri"/>
          <w:kern w:val="0"/>
        </w:rPr>
        <w:t>(Blažič idr., 2003)</w:t>
      </w:r>
      <w:r w:rsidR="00F35C98">
        <w:rPr>
          <w:lang w:val="sl-SI"/>
        </w:rPr>
        <w:fldChar w:fldCharType="end"/>
      </w:r>
      <w:r w:rsidR="00F35C98">
        <w:rPr>
          <w:lang w:val="sl-SI"/>
        </w:rPr>
        <w:t>.</w:t>
      </w:r>
    </w:p>
    <w:p w14:paraId="2D325E2C" w14:textId="72C93E3E" w:rsidR="00703E0C" w:rsidRDefault="009E5B9A" w:rsidP="007D5B00">
      <w:pPr>
        <w:rPr>
          <w:lang w:val="sl-SI"/>
        </w:rPr>
      </w:pPr>
      <w:r>
        <w:rPr>
          <w:lang w:val="sl-SI"/>
        </w:rPr>
        <w:t xml:space="preserve">Mnogo sodobnih pedagogov, psihologov, </w:t>
      </w:r>
      <w:proofErr w:type="spellStart"/>
      <w:r>
        <w:rPr>
          <w:lang w:val="sl-SI"/>
        </w:rPr>
        <w:t>siocilogov</w:t>
      </w:r>
      <w:proofErr w:type="spellEnd"/>
      <w:r>
        <w:rPr>
          <w:lang w:val="sl-SI"/>
        </w:rPr>
        <w:t xml:space="preserve"> in teoretikov v edukacijskih vedah se strinja, da je individualna oseba v moderni družbi pripadnik mnogo skupin, zato je pomembno, da učenci že tekom vzgojno-izobraževalnega procesa razvijejo pomembne veščine socializiranja</w:t>
      </w:r>
      <w:r w:rsidR="002D4A89">
        <w:rPr>
          <w:lang w:val="sl-SI"/>
        </w:rPr>
        <w:t xml:space="preserve"> </w:t>
      </w:r>
      <w:r>
        <w:rPr>
          <w:lang w:val="sl-SI"/>
        </w:rPr>
        <w:fldChar w:fldCharType="begin"/>
      </w:r>
      <w:r w:rsidR="00A31DED">
        <w:rPr>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00A31DED" w:rsidRPr="00A31DED">
        <w:rPr>
          <w:rFonts w:ascii="Calibri" w:hAnsi="Calibri" w:cs="Calibri"/>
          <w:kern w:val="0"/>
        </w:rPr>
        <w:t>(Elliott idr., 2001; Johns idr., 2017; Selimović idr.,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A31DED">
        <w:rPr>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A31DED" w:rsidRPr="00A31DED">
        <w:rPr>
          <w:rFonts w:ascii="Calibri" w:hAnsi="Calibri" w:cs="Calibri"/>
        </w:rPr>
        <w:t>(Johnson idr.,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A31DED">
        <w:rPr>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A31DED" w:rsidRPr="00A31DED">
        <w:rPr>
          <w:rFonts w:ascii="Calibri" w:hAnsi="Calibri" w:cs="Calibri"/>
        </w:rPr>
        <w:t>(Slavin idr.,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w:t>
      </w:r>
      <w:proofErr w:type="spellStart"/>
      <w:r w:rsidR="00B821FA">
        <w:rPr>
          <w:lang w:val="sl-SI"/>
        </w:rPr>
        <w:t>razdelovalni</w:t>
      </w:r>
      <w:proofErr w:type="spellEnd"/>
      <w:r w:rsidR="00B821FA">
        <w:rPr>
          <w:lang w:val="sl-SI"/>
        </w:rPr>
        <w:t xml:space="preserve"> vidik. Zadnje dva se nanašata predvsem na interakcijo med </w:t>
      </w:r>
      <w:proofErr w:type="spellStart"/>
      <w:r w:rsidR="00B821FA">
        <w:rPr>
          <w:lang w:val="sl-SI"/>
        </w:rPr>
        <w:t>članomi</w:t>
      </w:r>
      <w:proofErr w:type="spellEnd"/>
      <w:r w:rsidR="00B821FA">
        <w:rPr>
          <w:lang w:val="sl-SI"/>
        </w:rPr>
        <w:t xml:space="preserve"> skupin. Te štiri </w:t>
      </w:r>
      <w:proofErr w:type="spellStart"/>
      <w:r w:rsidR="00B821FA">
        <w:rPr>
          <w:lang w:val="sl-SI"/>
        </w:rPr>
        <w:t>peespektive</w:t>
      </w:r>
      <w:proofErr w:type="spellEnd"/>
      <w:r w:rsidR="00B821FA">
        <w:rPr>
          <w:lang w:val="sl-SI"/>
        </w:rPr>
        <w:t xml:space="preserve"> pa se med sabo prepletajo in dopolnjujejo.</w:t>
      </w:r>
      <w:r w:rsidR="00703E0C">
        <w:rPr>
          <w:lang w:val="sl-SI"/>
        </w:rPr>
        <w:t xml:space="preserve"> </w:t>
      </w:r>
      <w:r w:rsidR="00D3634E">
        <w:rPr>
          <w:lang w:val="sl-SI"/>
        </w:rPr>
        <w:t>Slovenski u</w:t>
      </w:r>
      <w:r w:rsidR="00703E0C">
        <w:rPr>
          <w:lang w:val="sl-SI"/>
        </w:rPr>
        <w:t xml:space="preserve">čni načrt za matematiko v gimnaziji izpostavi skupinsko delo kot eno od procesnih znanj </w:t>
      </w:r>
      <w:r w:rsidR="00703E0C">
        <w:rPr>
          <w:lang w:val="sl-SI"/>
        </w:rPr>
        <w:fldChar w:fldCharType="begin"/>
      </w:r>
      <w:r w:rsidR="00A31DED">
        <w:rPr>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A31DED" w:rsidRPr="00A31DED">
        <w:rPr>
          <w:rFonts w:ascii="Calibri" w:hAnsi="Calibri" w:cs="Calibri"/>
          <w:kern w:val="0"/>
        </w:rPr>
        <w:t>(Žakelj idr., 2008)</w:t>
      </w:r>
      <w:r w:rsidR="00703E0C">
        <w:rPr>
          <w:lang w:val="sl-SI"/>
        </w:rPr>
        <w:fldChar w:fldCharType="end"/>
      </w:r>
      <w:r w:rsidR="00703E0C">
        <w:rPr>
          <w:lang w:val="sl-SI"/>
        </w:rPr>
        <w:t>.</w:t>
      </w:r>
    </w:p>
    <w:p w14:paraId="01119FE2" w14:textId="669CF675" w:rsidR="00977A00" w:rsidRDefault="00977A00" w:rsidP="007D5B00">
      <w:pPr>
        <w:rPr>
          <w:lang w:val="sl-SI"/>
        </w:rPr>
      </w:pPr>
      <w:r>
        <w:rPr>
          <w:lang w:val="sl-SI"/>
        </w:rPr>
        <w:t xml:space="preserve">Delo v skupini ima tako prednosti kot slabosti, ki so zbrane v </w:t>
      </w:r>
      <w:r w:rsidR="00C74BC3">
        <w:rPr>
          <w:lang w:val="sl-SI"/>
        </w:rPr>
        <w:t>t</w:t>
      </w:r>
      <w:r>
        <w:rPr>
          <w:lang w:val="sl-SI"/>
        </w:rPr>
        <w:t xml:space="preserve">abeli </w:t>
      </w:r>
      <w:r w:rsidR="00C74BC3">
        <w:rPr>
          <w:lang w:val="sl-SI"/>
        </w:rPr>
        <w:t>1</w:t>
      </w:r>
      <w:r>
        <w:rPr>
          <w:lang w:val="sl-SI"/>
        </w:rPr>
        <w:t>.</w:t>
      </w:r>
    </w:p>
    <w:p w14:paraId="6AED9E97" w14:textId="2EAFD70A" w:rsidR="00D3634E" w:rsidRDefault="00D3634E" w:rsidP="00D3634E">
      <w:pPr>
        <w:pStyle w:val="Caption"/>
        <w:keepNext/>
      </w:pPr>
      <w:proofErr w:type="spellStart"/>
      <w:r>
        <w:t>Tabela</w:t>
      </w:r>
      <w:proofErr w:type="spellEnd"/>
      <w:r>
        <w:t xml:space="preserve"> </w:t>
      </w:r>
      <w:r w:rsidR="00000000">
        <w:fldChar w:fldCharType="begin"/>
      </w:r>
      <w:r w:rsidR="00000000">
        <w:instrText xml:space="preserve"> SEQ Tabela \* ARABIC </w:instrText>
      </w:r>
      <w:r w:rsidR="00000000">
        <w:fldChar w:fldCharType="separate"/>
      </w:r>
      <w:r w:rsidR="009B5230">
        <w:rPr>
          <w:noProof/>
        </w:rPr>
        <w:t>1</w:t>
      </w:r>
      <w:r w:rsidR="00000000">
        <w:rPr>
          <w:noProof/>
        </w:rPr>
        <w:fldChar w:fldCharType="end"/>
      </w:r>
      <w:r>
        <w:t xml:space="preserve">: </w:t>
      </w:r>
      <w:proofErr w:type="spellStart"/>
      <w:r>
        <w:t>Prednosti</w:t>
      </w:r>
      <w:proofErr w:type="spellEnd"/>
      <w:r>
        <w:t xml:space="preserve"> in </w:t>
      </w:r>
      <w:proofErr w:type="spellStart"/>
      <w:r>
        <w:t>slabosti</w:t>
      </w:r>
      <w:proofErr w:type="spellEnd"/>
      <w:r>
        <w:t xml:space="preserve"> dela v </w:t>
      </w:r>
      <w:proofErr w:type="spellStart"/>
      <w:r>
        <w:t>skupini</w:t>
      </w:r>
      <w:proofErr w:type="spellEnd"/>
      <w:r>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(Moreno-Guerrero idr.,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(Pateşan idr.,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lastRenderedPageBreak/>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(Goreyshi idr.,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(Slavin idr.,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4F046865"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1A89BF17" w14:textId="07861571"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(Slavin idr., 2003; Van Der Laan Smith &amp; Spindle, 2007)</w:t>
      </w:r>
      <w:r>
        <w:rPr>
          <w:lang w:val="sl-SI"/>
        </w:rPr>
        <w:fldChar w:fldCharType="end"/>
      </w:r>
      <w:r>
        <w:rPr>
          <w:lang w:val="sl-SI"/>
        </w:rPr>
        <w:t xml:space="preserve">, medtem ko spol domnevno ima vpliv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(Gnesdilow idr., 2013; Rodger idr., 2007)</w:t>
      </w:r>
      <w:r>
        <w:rPr>
          <w:lang w:val="sl-SI"/>
        </w:rPr>
        <w:fldChar w:fldCharType="end"/>
      </w:r>
      <w:r>
        <w:rPr>
          <w:lang w:val="sl-SI"/>
        </w:rPr>
        <w:t xml:space="preserve">. Raziskave, kako pripadajoč razred in učeči profesor vplivata so </w:t>
      </w:r>
      <w:proofErr w:type="spellStart"/>
      <w:r>
        <w:rPr>
          <w:lang w:val="sl-SI"/>
        </w:rPr>
        <w:t>šrbinaste</w:t>
      </w:r>
      <w:proofErr w:type="spellEnd"/>
      <w:r>
        <w:rPr>
          <w:lang w:val="sl-SI"/>
        </w:rPr>
        <w:t xml:space="preserv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(Li idr.,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(EI), zaznavanje-intuicija (SN), čutenje-</w:t>
      </w:r>
      <w:proofErr w:type="spellStart"/>
      <w:r w:rsidR="00B279D0" w:rsidRPr="000B76E0">
        <w:t>mišljenje</w:t>
      </w:r>
      <w:proofErr w:type="spellEnd"/>
      <w:r w:rsidR="00B279D0" w:rsidRPr="000B76E0">
        <w:t xml:space="preserve"> (TF) in </w:t>
      </w:r>
      <w:proofErr w:type="spellStart"/>
      <w:r w:rsidR="00B279D0" w:rsidRPr="000B76E0">
        <w:t>presojanje-opazovanje</w:t>
      </w:r>
      <w:proofErr w:type="spellEnd"/>
      <w:r w:rsidR="00B279D0" w:rsidRPr="000B76E0">
        <w:t xml:space="preserve"> (JP) </w:t>
      </w:r>
      <w:r w:rsidR="00B279D0" w:rsidRPr="000B76E0">
        <w:fldChar w:fldCharType="begin"/>
      </w:r>
      <w:r w:rsidR="00A31DED" w:rsidRPr="000B76E0">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A31DED" w:rsidRPr="000B76E0">
        <w:t>(Ramsay idr.,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EI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3839B7" w:rsidRPr="000B76E0">
        <w:t>tandemskega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0B76E0" w:rsidRPr="000B76E0">
        <w:instrText xml:space="preserve"> ADDIN ZOTERO_ITEM CSL_CITATION {"citationID":"a1m41t9qu9","properties":{"formattedCitation":"\\uldash{(Farooqi, 2021; Ramsay idr., 2000; Smith &amp; Irey, 1974)}","plainCitation":"(Farooqi, 2021; Ramsay idr.,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0B76E0" w:rsidRPr="000B76E0">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A31DED" w:rsidRPr="000B76E0">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A31DED" w:rsidRPr="000B76E0">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(Klados idr., 2019)</w:t>
      </w:r>
      <w:r w:rsidR="00CC7A0F">
        <w:rPr>
          <w:lang w:val="sl-SI"/>
        </w:rPr>
        <w:fldChar w:fldCharType="end"/>
      </w:r>
      <w:r w:rsidR="00CC7A0F">
        <w:rPr>
          <w:lang w:val="sl-SI"/>
        </w:rPr>
        <w:t xml:space="preserve">. V okoljih skupinskega dela, kjer pa je interakcija kvantitativno višja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(Batton, 2010; Rafiei Taba Zavareh idr., 2022)</w:t>
      </w:r>
      <w:r w:rsidR="00CC7A0F">
        <w:rPr>
          <w:lang w:val="sl-SI"/>
        </w:rPr>
        <w:fldChar w:fldCharType="end"/>
      </w:r>
      <w:r w:rsidR="00CC7A0F">
        <w:rPr>
          <w:lang w:val="sl-SI"/>
        </w:rPr>
        <w:t xml:space="preserve">. </w:t>
      </w:r>
      <w:r w:rsidR="00084967">
        <w:rPr>
          <w:lang w:val="sl-SI"/>
        </w:rPr>
        <w:t xml:space="preserve"> Matematična motivacija pa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w:t>
      </w:r>
      <w:r w:rsidR="00084967">
        <w:rPr>
          <w:lang w:val="sl-SI"/>
        </w:rPr>
        <w:lastRenderedPageBreak/>
        <w:t xml:space="preserve">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64907A1C" w14:textId="16975139" w:rsidR="00084967" w:rsidRDefault="00A602A4" w:rsidP="00CC7A0F">
      <w:pPr>
        <w:rPr>
          <w:lang w:val="sl-SI"/>
        </w:rPr>
      </w:pPr>
      <w:r>
        <w:rPr>
          <w:lang w:val="sl-SI"/>
        </w:rPr>
        <w:t>Do sedaj smo razmišljali o sami kompoziciji dela v skupini, pred tem pa moramo vzeti v ozir, kako skupine (oziroma tandem) formulirati. Predlaganih je več kriterijev razvrščanja , ki lahko dinamično oblikujejo heterogene, homogene in mešane skupine. Zbrani so v Tab</w:t>
      </w:r>
      <w:r w:rsidR="00C74BC3">
        <w:rPr>
          <w:lang w:val="sl-SI"/>
        </w:rPr>
        <w:t>eli 2</w:t>
      </w:r>
      <w:r>
        <w:rPr>
          <w:lang w:val="sl-SI"/>
        </w:rPr>
        <w:t xml:space="preserve">, 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oziroma </w:t>
      </w:r>
      <w:proofErr w:type="spellStart"/>
      <w:r w:rsidR="00C81C5E">
        <w:rPr>
          <w:lang w:val="sl-SI"/>
        </w:rPr>
        <w:t>heterogeniziranja</w:t>
      </w:r>
      <w:proofErr w:type="spellEnd"/>
      <w:r w:rsidR="00C81C5E">
        <w:rPr>
          <w:lang w:val="sl-SI"/>
        </w:rPr>
        <w:t xml:space="preserve"> skupin glede na različne metrike kot so starost </w:t>
      </w:r>
      <w:r w:rsidR="00C81C5E">
        <w:rPr>
          <w:lang w:val="sl-SI"/>
        </w:rPr>
        <w:fldChar w:fldCharType="begin"/>
      </w:r>
      <w:r w:rsidR="00C81C5E">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Pr>
          <w:lang w:val="sl-SI"/>
        </w:rPr>
        <w:fldChar w:fldCharType="separate"/>
      </w:r>
      <w:r w:rsidR="00C81C5E" w:rsidRPr="00C81C5E">
        <w:rPr>
          <w:rFonts w:ascii="Calibri" w:hAnsi="Calibri" w:cs="Calibri"/>
          <w:kern w:val="0"/>
        </w:rPr>
        <w:t>(Magnusson &amp; Bäckman, 2022)</w:t>
      </w:r>
      <w:r w:rsidR="00C81C5E">
        <w:rPr>
          <w:lang w:val="sl-SI"/>
        </w:rPr>
        <w:fldChar w:fldCharType="end"/>
      </w:r>
      <w:r w:rsidR="00C81C5E">
        <w:rPr>
          <w:lang w:val="sl-SI"/>
        </w:rPr>
        <w:t xml:space="preserve">, tip osebnosti </w:t>
      </w:r>
      <w:r w:rsidR="00C81C5E">
        <w:rPr>
          <w:lang w:val="sl-SI"/>
        </w:rPr>
        <w:fldChar w:fldCharType="begin"/>
      </w:r>
      <w:r w:rsidR="00A31DED">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Pr>
          <w:lang w:val="sl-SI"/>
        </w:rPr>
        <w:fldChar w:fldCharType="separate"/>
      </w:r>
      <w:r w:rsidR="00A31DED" w:rsidRPr="00A31DED">
        <w:rPr>
          <w:rFonts w:ascii="Calibri" w:hAnsi="Calibri" w:cs="Calibri"/>
        </w:rPr>
        <w:t>(Zhang idr., 2022)</w:t>
      </w:r>
      <w:r w:rsidR="00C81C5E">
        <w:rPr>
          <w:lang w:val="sl-SI"/>
        </w:rPr>
        <w:fldChar w:fldCharType="end"/>
      </w:r>
      <w:r w:rsidR="00C81C5E">
        <w:rPr>
          <w:lang w:val="sl-SI"/>
        </w:rPr>
        <w:t xml:space="preserve">, spol </w:t>
      </w:r>
      <w:r w:rsidR="00C81C5E">
        <w:rPr>
          <w:lang w:val="sl-SI"/>
        </w:rPr>
        <w:fldChar w:fldCharType="begin"/>
      </w:r>
      <w:r w:rsidR="00A31DED">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Pr>
          <w:lang w:val="sl-SI"/>
        </w:rPr>
        <w:fldChar w:fldCharType="separate"/>
      </w:r>
      <w:r w:rsidR="00A31DED" w:rsidRPr="00A31DED">
        <w:rPr>
          <w:rFonts w:ascii="Calibri" w:hAnsi="Calibri" w:cs="Calibri"/>
        </w:rPr>
        <w:t>(Yu-Tzu Lin idr., 2020)</w:t>
      </w:r>
      <w:r w:rsidR="00C81C5E">
        <w:rPr>
          <w:lang w:val="sl-SI"/>
        </w:rPr>
        <w:fldChar w:fldCharType="end"/>
      </w:r>
      <w:r w:rsidR="00C74BC3">
        <w:rPr>
          <w:lang w:val="sl-SI"/>
        </w:rPr>
        <w:t xml:space="preserve"> in</w:t>
      </w:r>
      <w:r w:rsidR="00C81C5E">
        <w:rPr>
          <w:lang w:val="sl-SI"/>
        </w:rPr>
        <w:t xml:space="preserve"> akademski uspeh </w:t>
      </w:r>
      <w:r w:rsidR="00C81C5E">
        <w:rPr>
          <w:lang w:val="sl-SI"/>
        </w:rPr>
        <w:fldChar w:fldCharType="begin"/>
      </w:r>
      <w:r w:rsidR="00C81C5E">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Pr>
          <w:lang w:val="sl-SI"/>
        </w:rPr>
        <w:fldChar w:fldCharType="separate"/>
      </w:r>
      <w:r w:rsidR="00C81C5E" w:rsidRPr="00C81C5E">
        <w:rPr>
          <w:rFonts w:ascii="Calibri" w:hAnsi="Calibri" w:cs="Calibri"/>
        </w:rPr>
        <w:t>(Wyman &amp; Watson, 2020)</w:t>
      </w:r>
      <w:r w:rsidR="00C81C5E">
        <w:rPr>
          <w:lang w:val="sl-SI"/>
        </w:rPr>
        <w:fldChar w:fldCharType="end"/>
      </w:r>
      <w:r w:rsidR="00C81C5E">
        <w:rPr>
          <w:lang w:val="sl-SI"/>
        </w:rPr>
        <w:t xml:space="preserve">. Obravnavane prednosti in slabosti so se merile tako na podlagi uspeha metode, socialnega učenja in drugih aktivnosti ter interakcij. Različni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(Amara idr., 2021)</w:t>
      </w:r>
      <w:r w:rsidR="00C81C5E">
        <w:rPr>
          <w:lang w:val="sl-SI"/>
        </w:rPr>
        <w:fldChar w:fldCharType="end"/>
      </w:r>
      <w:r w:rsidR="00C81C5E">
        <w:rPr>
          <w:lang w:val="sl-SI"/>
        </w:rPr>
        <w:t xml:space="preserve">. Stvar debate je tudi velikost skupine,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09B5DD12" w14:textId="17AA0862" w:rsidR="00C74BC3" w:rsidRDefault="00C74BC3" w:rsidP="00C74BC3">
      <w:pPr>
        <w:pStyle w:val="Caption"/>
        <w:keepNext/>
      </w:pPr>
      <w:proofErr w:type="spellStart"/>
      <w:r>
        <w:t>Tabela</w:t>
      </w:r>
      <w:proofErr w:type="spellEnd"/>
      <w:r>
        <w:t xml:space="preserve"> </w:t>
      </w:r>
      <w:r w:rsidR="00000000">
        <w:fldChar w:fldCharType="begin"/>
      </w:r>
      <w:r w:rsidR="00000000">
        <w:instrText xml:space="preserve"> SEQ Tabela \* ARABIC </w:instrText>
      </w:r>
      <w:r w:rsidR="00000000">
        <w:fldChar w:fldCharType="separate"/>
      </w:r>
      <w:r w:rsidR="009B5230">
        <w:rPr>
          <w:noProof/>
        </w:rPr>
        <w:t>2</w:t>
      </w:r>
      <w:r w:rsidR="00000000">
        <w:rPr>
          <w:noProof/>
        </w:rPr>
        <w:fldChar w:fldCharType="end"/>
      </w:r>
      <w:r>
        <w:t xml:space="preserve">: </w:t>
      </w:r>
      <w:proofErr w:type="spellStart"/>
      <w:r>
        <w:t>Kriteriji</w:t>
      </w:r>
      <w:proofErr w:type="spellEnd"/>
      <w:r>
        <w:t xml:space="preserve"> </w:t>
      </w:r>
      <w:proofErr w:type="spellStart"/>
      <w:r>
        <w:t>razvršanja</w:t>
      </w:r>
      <w:proofErr w:type="spellEnd"/>
      <w:r>
        <w:t xml:space="preserve"> v </w:t>
      </w:r>
      <w:proofErr w:type="spellStart"/>
      <w:r>
        <w:t>skupine</w:t>
      </w:r>
      <w:proofErr w:type="spellEnd"/>
      <w:r>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Default="00CB1A6B" w:rsidP="00CC7A0F">
            <w:pPr>
              <w:rPr>
                <w:lang w:val="sl-SI"/>
              </w:rPr>
            </w:pPr>
            <w:r>
              <w:rPr>
                <w:lang w:val="sl-SI"/>
              </w:rPr>
              <w:t>Osebna karakteristika</w:t>
            </w:r>
          </w:p>
        </w:tc>
        <w:tc>
          <w:tcPr>
            <w:tcW w:w="3021" w:type="dxa"/>
          </w:tcPr>
          <w:p w14:paraId="3696C0E4" w14:textId="73DCB99A" w:rsidR="00CB1A6B" w:rsidRDefault="00CB1A6B" w:rsidP="00CC7A0F">
            <w:pPr>
              <w:rPr>
                <w:lang w:val="sl-SI"/>
              </w:rPr>
            </w:pPr>
            <w:r>
              <w:rPr>
                <w:lang w:val="sl-SI"/>
              </w:rPr>
              <w:t>Učno vedenje</w:t>
            </w:r>
          </w:p>
        </w:tc>
        <w:tc>
          <w:tcPr>
            <w:tcW w:w="3021" w:type="dxa"/>
          </w:tcPr>
          <w:p w14:paraId="5072BEE6" w14:textId="21F4D601" w:rsidR="00CB1A6B" w:rsidRDefault="00CB1A6B" w:rsidP="00CC7A0F">
            <w:pPr>
              <w:rPr>
                <w:lang w:val="sl-SI"/>
              </w:rPr>
            </w:pPr>
            <w:r>
              <w:rPr>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Pr>
          <w:lang w:val="sl-SI"/>
        </w:rPr>
        <w:t>association</w:t>
      </w:r>
      <w:proofErr w:type="spellEnd"/>
      <w:r w:rsidR="00F15B7D">
        <w:rPr>
          <w:lang w:val="sl-SI"/>
        </w:rPr>
        <w:t xml:space="preserve"> rule </w:t>
      </w:r>
      <w:proofErr w:type="spellStart"/>
      <w:r w:rsidR="00F15B7D">
        <w:rPr>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(Candanedo idr.,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w:t>
      </w:r>
      <w:r w:rsidR="00750CD9">
        <w:rPr>
          <w:lang w:val="sl-SI"/>
        </w:rPr>
        <w:lastRenderedPageBreak/>
        <w:t xml:space="preserve">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(Shaik idr., 2023)</w:t>
      </w:r>
      <w:r w:rsidR="00750CD9">
        <w:rPr>
          <w:lang w:val="sl-SI"/>
        </w:rPr>
        <w:fldChar w:fldCharType="end"/>
      </w:r>
      <w:r w:rsidR="00750CD9">
        <w:rPr>
          <w:lang w:val="sl-SI"/>
        </w:rPr>
        <w:t>.</w:t>
      </w:r>
    </w:p>
    <w:p w14:paraId="0AB8AFEA" w14:textId="2884ADD3" w:rsidR="00223DE2" w:rsidRDefault="001B76A8" w:rsidP="007D5B00">
      <w:pPr>
        <w:rPr>
          <w:lang w:val="sl-SI"/>
        </w:rPr>
      </w:pPr>
      <w:r>
        <w:rPr>
          <w:lang w:val="sl-SI"/>
        </w:rPr>
        <w:t>Klasifikacija</w:t>
      </w:r>
      <w:r w:rsidR="006E1B1B">
        <w:rPr>
          <w:lang w:val="sl-SI"/>
        </w:rPr>
        <w:t xml:space="preserve"> in </w:t>
      </w:r>
      <w:proofErr w:type="spellStart"/>
      <w:r w:rsidR="00223DE2">
        <w:rPr>
          <w:lang w:val="sl-SI"/>
        </w:rPr>
        <w:t>Feature</w:t>
      </w:r>
      <w:proofErr w:type="spellEnd"/>
      <w:r w:rsidR="00223DE2">
        <w:rPr>
          <w:lang w:val="sl-SI"/>
        </w:rPr>
        <w:t xml:space="preserve"> </w:t>
      </w:r>
      <w:proofErr w:type="spellStart"/>
      <w:r w:rsidR="00223DE2">
        <w:rPr>
          <w:lang w:val="sl-SI"/>
        </w:rPr>
        <w:t>selection</w:t>
      </w:r>
      <w:proofErr w:type="spellEnd"/>
      <w:r w:rsidR="00A956AD">
        <w:rPr>
          <w:lang w:val="sl-SI"/>
        </w:rPr>
        <w:t>... ali to v dispoziciji izpustimo?</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Pr>
          <w:lang w:val="sl-SI"/>
        </w:rPr>
        <w:t xml:space="preserve">at </w:t>
      </w:r>
      <w:proofErr w:type="spellStart"/>
      <w:r w:rsidR="00937274">
        <w:rPr>
          <w:lang w:val="sl-SI"/>
        </w:rPr>
        <w:t>risk</w:t>
      </w:r>
      <w:proofErr w:type="spellEnd"/>
      <w:r w:rsidR="00937274">
        <w:rPr>
          <w:lang w:val="sl-SI"/>
        </w:rPr>
        <w:t xml:space="preserve"> </w:t>
      </w:r>
      <w:proofErr w:type="spellStart"/>
      <w:r w:rsidR="00937274">
        <w:rPr>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(Luan &amp; Tsai, 2021; Stimpson &amp; Cummings, 2014; Tsai idr.,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(Lu idr.,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5784D2CD"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w:t>
      </w:r>
      <w:proofErr w:type="spellStart"/>
      <w:r w:rsidR="000D03F6">
        <w:rPr>
          <w:lang w:val="sl-SI"/>
        </w:rPr>
        <w:t>zastarelo,a</w:t>
      </w:r>
      <w:proofErr w:type="spellEnd"/>
      <w:r w:rsidR="000D03F6">
        <w:rPr>
          <w:lang w:val="sl-SI"/>
        </w:rPr>
        <w:t xml:space="preserve"> vseeno zgovorno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(Razdevšek-Pučko, 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(Tomić, 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 xml:space="preserve">Strojno učenje je vse bolj uporabljeno za raziskave, tudi na naših tleh, je pa področje edukacije tisto, kjer je uporabo treba morda še spodbuditi. Se pa o tem že govori, na primer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(Govekar-Okoliš idr., 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0C9E9A14" w:rsidR="007437B8" w:rsidRDefault="00C83BF2" w:rsidP="00901EBB">
      <w:proofErr w:type="spellStart"/>
      <w:r>
        <w:t>Disertacija</w:t>
      </w:r>
      <w:proofErr w:type="spellEnd"/>
      <w:r>
        <w:t xml:space="preserve">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lastRenderedPageBreak/>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08132DC"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42FBB19" w:rsidR="00585EA5" w:rsidRDefault="00585EA5" w:rsidP="00F67956">
      <w:proofErr w:type="spellStart"/>
      <w:r>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2366C052"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14F11428" w:rsidR="00BB3011" w:rsidRDefault="00BB3011" w:rsidP="00CF3060">
      <w:r>
        <w:lastRenderedPageBreak/>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w:t>
      </w:r>
      <w:r w:rsidR="009B5230">
        <w:t>3</w:t>
      </w:r>
      <w:r w:rsidR="00E11712">
        <w:t>.</w:t>
      </w:r>
    </w:p>
    <w:p w14:paraId="6A9F4D02" w14:textId="70B1A855" w:rsidR="009B5230" w:rsidRDefault="009B5230" w:rsidP="009B5230">
      <w:pPr>
        <w:pStyle w:val="Caption"/>
        <w:keepNext/>
      </w:pPr>
      <w:proofErr w:type="spellStart"/>
      <w:r>
        <w:t>Tabela</w:t>
      </w:r>
      <w:proofErr w:type="spellEnd"/>
      <w:r>
        <w:t xml:space="preserve"> </w:t>
      </w:r>
      <w:r w:rsidR="00000000">
        <w:fldChar w:fldCharType="begin"/>
      </w:r>
      <w:r w:rsidR="00000000">
        <w:instrText xml:space="preserve"> SEQ Tabela \* ARABIC </w:instrText>
      </w:r>
      <w:r w:rsidR="00000000">
        <w:fldChar w:fldCharType="separate"/>
      </w:r>
      <w:r>
        <w:rPr>
          <w:noProof/>
        </w:rPr>
        <w:t>3</w:t>
      </w:r>
      <w:r w:rsidR="00000000">
        <w:rPr>
          <w:noProof/>
        </w:rPr>
        <w:fldChar w:fldCharType="end"/>
      </w:r>
      <w:r>
        <w:t xml:space="preserve">: </w:t>
      </w:r>
      <w:proofErr w:type="spellStart"/>
      <w:r>
        <w:t>Predvidene</w:t>
      </w:r>
      <w:proofErr w:type="spellEnd"/>
      <w:r>
        <w:t xml:space="preserve"> </w:t>
      </w:r>
      <w:proofErr w:type="spellStart"/>
      <w:r>
        <w:t>spremenljivke</w:t>
      </w:r>
      <w:proofErr w:type="spellEnd"/>
      <w:r>
        <w:t xml:space="preserve">, ki </w:t>
      </w:r>
      <w:proofErr w:type="spellStart"/>
      <w:r>
        <w:t>jih</w:t>
      </w:r>
      <w:proofErr w:type="spellEnd"/>
      <w:r>
        <w:t xml:space="preserve"> </w:t>
      </w:r>
      <w:proofErr w:type="spellStart"/>
      <w:r>
        <w:t>bomo</w:t>
      </w:r>
      <w:proofErr w:type="spellEnd"/>
      <w:r>
        <w:t xml:space="preserve"> </w:t>
      </w:r>
      <w:proofErr w:type="spellStart"/>
      <w:r>
        <w:t>zajeli</w:t>
      </w:r>
      <w:proofErr w:type="spellEnd"/>
      <w:r>
        <w:t xml:space="preserve"> v </w:t>
      </w:r>
      <w:proofErr w:type="spellStart"/>
      <w:r>
        <w:t>raziskavi</w:t>
      </w:r>
      <w:proofErr w:type="spellEnd"/>
      <w:r>
        <w:t>.</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584A5DEC"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w:t>
            </w:r>
            <w:proofErr w:type="spellStart"/>
            <w:r w:rsidR="00017F4A">
              <w:t>Moški</w:t>
            </w:r>
            <w:proofErr w:type="spellEnd"/>
            <w:r w:rsidRPr="00E11712">
              <w:t xml:space="preserve">, </w:t>
            </w:r>
            <w:proofErr w:type="spellStart"/>
            <w:r w:rsidR="00017F4A">
              <w:t>ženska</w:t>
            </w:r>
            <w:proofErr w:type="spellEnd"/>
            <w:r w:rsidRPr="00E11712">
              <w:t>)</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3CF1876F" w:rsidR="00213E0C" w:rsidRPr="00E11712" w:rsidRDefault="00A31DED" w:rsidP="00E11712">
            <w:pPr>
              <w:spacing w:after="160" w:line="259" w:lineRule="auto"/>
              <w:rPr>
                <w:b w:val="0"/>
                <w:bCs w:val="0"/>
              </w:rPr>
            </w:pPr>
            <w:r>
              <w:t>EI</w:t>
            </w:r>
          </w:p>
        </w:tc>
        <w:tc>
          <w:tcPr>
            <w:tcW w:w="2596" w:type="dxa"/>
          </w:tcPr>
          <w:p w14:paraId="74C268D4" w14:textId="030DDC1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0FCDACAF" w:rsidR="00213E0C" w:rsidRPr="00E11712" w:rsidRDefault="00A31DED" w:rsidP="00E11712">
            <w:pPr>
              <w:spacing w:after="160" w:line="259" w:lineRule="auto"/>
            </w:pPr>
            <w:r>
              <w:t>TF</w:t>
            </w:r>
          </w:p>
        </w:tc>
        <w:tc>
          <w:tcPr>
            <w:tcW w:w="2596" w:type="dxa"/>
          </w:tcPr>
          <w:p w14:paraId="1CC0EF19" w14:textId="1011461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73931DD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 xml:space="preserve"> – </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780F604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t>
            </w:r>
            <w:proofErr w:type="spellStart"/>
            <w:r w:rsidR="00A31DED">
              <w:t>malo</w:t>
            </w:r>
            <w:proofErr w:type="spellEnd"/>
            <w:r w:rsidR="00A31DED">
              <w:t xml:space="preserve"> </w:t>
            </w:r>
            <w:proofErr w:type="spellStart"/>
            <w:r w:rsidR="00A31DED">
              <w:t>interakcije</w:t>
            </w:r>
            <w:proofErr w:type="spellEnd"/>
            <w:r w:rsidR="00A31DED">
              <w:t xml:space="preserve"> – </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lastRenderedPageBreak/>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4644A1A1"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(Carlson, 1985; 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proofErr w:type="spellStart"/>
      <w:r>
        <w:t>Teoretični</w:t>
      </w:r>
      <w:proofErr w:type="spellEnd"/>
      <w:r>
        <w:t xml:space="preserve"> del</w:t>
      </w:r>
    </w:p>
    <w:p w14:paraId="06E0C24A" w14:textId="1A3123F5" w:rsidR="009F4AE0" w:rsidRDefault="009F4AE0" w:rsidP="009F4AE0">
      <w:pPr>
        <w:pStyle w:val="ListParagraph"/>
        <w:numPr>
          <w:ilvl w:val="1"/>
          <w:numId w:val="9"/>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9F4AE0">
      <w:pPr>
        <w:pStyle w:val="ListParagraph"/>
        <w:numPr>
          <w:ilvl w:val="2"/>
          <w:numId w:val="9"/>
        </w:numPr>
      </w:pPr>
      <w:proofErr w:type="spellStart"/>
      <w:r>
        <w:t>Kratko</w:t>
      </w:r>
      <w:proofErr w:type="spellEnd"/>
      <w:r>
        <w:t xml:space="preserve"> o </w:t>
      </w:r>
      <w:proofErr w:type="spellStart"/>
      <w:r>
        <w:t>pouku</w:t>
      </w:r>
      <w:proofErr w:type="spellEnd"/>
    </w:p>
    <w:p w14:paraId="4992C650" w14:textId="35D7151C" w:rsidR="009F4AE0" w:rsidRDefault="009F4AE0" w:rsidP="009F4AE0">
      <w:pPr>
        <w:pStyle w:val="ListParagraph"/>
        <w:numPr>
          <w:ilvl w:val="2"/>
          <w:numId w:val="9"/>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03C93C4A" w14:textId="5464829E" w:rsidR="00C55ADF" w:rsidRDefault="00C55ADF" w:rsidP="00C55ADF">
      <w:pPr>
        <w:pStyle w:val="ListParagraph"/>
        <w:numPr>
          <w:ilvl w:val="2"/>
          <w:numId w:val="9"/>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6FC97286" w:rsidR="00C55ADF" w:rsidRDefault="00C55ADF" w:rsidP="00C55ADF">
      <w:pPr>
        <w:ind w:left="720"/>
      </w:pPr>
      <w:r>
        <w:t xml:space="preserve">2.2. </w:t>
      </w: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5307790E" w:rsidR="00C55ADF" w:rsidRDefault="00C55ADF" w:rsidP="00C55ADF">
      <w:pPr>
        <w:ind w:left="720" w:firstLine="720"/>
      </w:pPr>
      <w:r>
        <w:t xml:space="preserve">2.2.1. </w:t>
      </w:r>
      <w:proofErr w:type="spellStart"/>
      <w:r>
        <w:t>Matematična</w:t>
      </w:r>
      <w:proofErr w:type="spellEnd"/>
      <w:r>
        <w:t xml:space="preserve"> </w:t>
      </w:r>
      <w:proofErr w:type="spellStart"/>
      <w:r>
        <w:t>anksioznost</w:t>
      </w:r>
      <w:proofErr w:type="spellEnd"/>
    </w:p>
    <w:p w14:paraId="22AF0CEE" w14:textId="6447CEFA" w:rsidR="00C55ADF" w:rsidRDefault="00C55ADF" w:rsidP="00C55ADF">
      <w:pPr>
        <w:ind w:left="720" w:firstLine="720"/>
      </w:pPr>
      <w:r>
        <w:t xml:space="preserve">2.2.2. </w:t>
      </w:r>
      <w:proofErr w:type="spellStart"/>
      <w:r>
        <w:t>Motivacija</w:t>
      </w:r>
      <w:proofErr w:type="spellEnd"/>
      <w:r>
        <w:t xml:space="preserve"> za </w:t>
      </w:r>
      <w:proofErr w:type="spellStart"/>
      <w:r>
        <w:t>matematiko</w:t>
      </w:r>
      <w:proofErr w:type="spellEnd"/>
    </w:p>
    <w:p w14:paraId="684D95D6" w14:textId="3F8E0732" w:rsidR="00C55ADF" w:rsidRDefault="00C55ADF" w:rsidP="00C55ADF">
      <w:pPr>
        <w:ind w:left="720" w:firstLine="720"/>
      </w:pPr>
      <w:r>
        <w:t xml:space="preserve">2.2.3. Tip </w:t>
      </w:r>
      <w:proofErr w:type="spellStart"/>
      <w:r>
        <w:t>osebnosti</w:t>
      </w:r>
      <w:proofErr w:type="spellEnd"/>
    </w:p>
    <w:p w14:paraId="2F790B07" w14:textId="74B2EB5E" w:rsidR="009F4AE0" w:rsidRDefault="009F4AE0" w:rsidP="009F4AE0">
      <w:pPr>
        <w:pStyle w:val="ListParagraph"/>
        <w:numPr>
          <w:ilvl w:val="1"/>
          <w:numId w:val="9"/>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9F4AE0">
      <w:pPr>
        <w:pStyle w:val="ListParagraph"/>
        <w:numPr>
          <w:ilvl w:val="2"/>
          <w:numId w:val="9"/>
        </w:numPr>
      </w:pPr>
      <w:proofErr w:type="spellStart"/>
      <w:r>
        <w:lastRenderedPageBreak/>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9F4AE0">
      <w:pPr>
        <w:pStyle w:val="ListParagraph"/>
        <w:numPr>
          <w:ilvl w:val="2"/>
          <w:numId w:val="9"/>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9F4AE0">
      <w:pPr>
        <w:pStyle w:val="ListParagraph"/>
        <w:numPr>
          <w:ilvl w:val="2"/>
          <w:numId w:val="9"/>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9F4AE0">
      <w:pPr>
        <w:pStyle w:val="ListParagraph"/>
        <w:numPr>
          <w:ilvl w:val="2"/>
          <w:numId w:val="9"/>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9F4AE0">
      <w:pPr>
        <w:pStyle w:val="ListParagraph"/>
        <w:numPr>
          <w:ilvl w:val="2"/>
          <w:numId w:val="9"/>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9F4AE0">
      <w:pPr>
        <w:pStyle w:val="ListParagraph"/>
        <w:numPr>
          <w:ilvl w:val="2"/>
          <w:numId w:val="9"/>
        </w:numPr>
      </w:pPr>
      <w:proofErr w:type="spellStart"/>
      <w:r>
        <w:t>Formiranje</w:t>
      </w:r>
      <w:proofErr w:type="spellEnd"/>
      <w:r>
        <w:t xml:space="preserve"> </w:t>
      </w:r>
      <w:proofErr w:type="spellStart"/>
      <w:r>
        <w:t>skupin</w:t>
      </w:r>
      <w:proofErr w:type="spellEnd"/>
    </w:p>
    <w:p w14:paraId="73FCDE69" w14:textId="75FFE94E" w:rsidR="00C55ADF" w:rsidRDefault="00C55ADF" w:rsidP="009F4AE0">
      <w:pPr>
        <w:pStyle w:val="ListParagraph"/>
        <w:numPr>
          <w:ilvl w:val="2"/>
          <w:numId w:val="9"/>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9F4AE0">
      <w:pPr>
        <w:pStyle w:val="ListParagraph"/>
        <w:numPr>
          <w:ilvl w:val="1"/>
          <w:numId w:val="9"/>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9F4AE0">
      <w:pPr>
        <w:pStyle w:val="ListParagraph"/>
        <w:numPr>
          <w:ilvl w:val="2"/>
          <w:numId w:val="9"/>
        </w:numPr>
      </w:pPr>
      <w:proofErr w:type="spellStart"/>
      <w:r>
        <w:t>Uvod</w:t>
      </w:r>
      <w:proofErr w:type="spellEnd"/>
      <w:r>
        <w:t xml:space="preserve">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9F4AE0">
      <w:pPr>
        <w:pStyle w:val="ListParagraph"/>
        <w:numPr>
          <w:ilvl w:val="2"/>
          <w:numId w:val="9"/>
        </w:numPr>
      </w:pPr>
      <w:proofErr w:type="spellStart"/>
      <w:r>
        <w:t>Strojno</w:t>
      </w:r>
      <w:proofErr w:type="spellEnd"/>
      <w:r>
        <w:t xml:space="preserve"> </w:t>
      </w:r>
      <w:proofErr w:type="spellStart"/>
      <w:r>
        <w:t>učenje</w:t>
      </w:r>
      <w:proofErr w:type="spellEnd"/>
    </w:p>
    <w:p w14:paraId="21AAD814" w14:textId="6CBA5272" w:rsidR="00C55ADF" w:rsidRDefault="000D0863" w:rsidP="00C55ADF">
      <w:pPr>
        <w:pStyle w:val="ListParagraph"/>
        <w:numPr>
          <w:ilvl w:val="2"/>
          <w:numId w:val="9"/>
        </w:numPr>
      </w:pPr>
      <w:proofErr w:type="spellStart"/>
      <w:r>
        <w:t>Naloga</w:t>
      </w:r>
      <w:proofErr w:type="spellEnd"/>
      <w:r>
        <w:t xml:space="preserve"> </w:t>
      </w:r>
      <w:proofErr w:type="spellStart"/>
      <w:r>
        <w:t>klasifikacije</w:t>
      </w:r>
      <w:proofErr w:type="spellEnd"/>
      <w:r>
        <w:t xml:space="preserve"> in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05668C56" w14:textId="438E1FA0" w:rsidR="00C55ADF" w:rsidRDefault="00C55ADF" w:rsidP="00C55ADF">
      <w:pPr>
        <w:pStyle w:val="ListParagraph"/>
        <w:numPr>
          <w:ilvl w:val="2"/>
          <w:numId w:val="9"/>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7F6EBA18" w14:textId="2043F695" w:rsidR="000D0863" w:rsidRDefault="000D0863" w:rsidP="000D0863">
      <w:pPr>
        <w:pStyle w:val="ListParagraph"/>
        <w:numPr>
          <w:ilvl w:val="0"/>
          <w:numId w:val="9"/>
        </w:numPr>
      </w:pPr>
      <w:proofErr w:type="spellStart"/>
      <w:r>
        <w:t>Empirični</w:t>
      </w:r>
      <w:proofErr w:type="spellEnd"/>
      <w:r>
        <w:t xml:space="preserve"> del</w:t>
      </w:r>
    </w:p>
    <w:p w14:paraId="3890BE13" w14:textId="1174010A" w:rsidR="000D0863" w:rsidRDefault="000D0863" w:rsidP="000D0863">
      <w:pPr>
        <w:pStyle w:val="ListParagraph"/>
        <w:numPr>
          <w:ilvl w:val="1"/>
          <w:numId w:val="9"/>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0D0863">
      <w:pPr>
        <w:pStyle w:val="ListParagraph"/>
        <w:numPr>
          <w:ilvl w:val="1"/>
          <w:numId w:val="9"/>
        </w:numPr>
      </w:pPr>
      <w:proofErr w:type="spellStart"/>
      <w:r>
        <w:t>Raziskovalne</w:t>
      </w:r>
      <w:proofErr w:type="spellEnd"/>
      <w:r>
        <w:t xml:space="preserve"> </w:t>
      </w:r>
      <w:proofErr w:type="spellStart"/>
      <w:r>
        <w:t>hipoteze</w:t>
      </w:r>
      <w:proofErr w:type="spellEnd"/>
    </w:p>
    <w:p w14:paraId="5612BEE6" w14:textId="3DCEB556" w:rsidR="000D0863" w:rsidRDefault="000D0863" w:rsidP="000D0863">
      <w:pPr>
        <w:pStyle w:val="ListParagraph"/>
        <w:numPr>
          <w:ilvl w:val="1"/>
          <w:numId w:val="9"/>
        </w:numPr>
      </w:pPr>
      <w:proofErr w:type="spellStart"/>
      <w:r>
        <w:t>Metodologija</w:t>
      </w:r>
      <w:proofErr w:type="spellEnd"/>
    </w:p>
    <w:p w14:paraId="7125D72A" w14:textId="41648D85" w:rsidR="000D0863" w:rsidRDefault="000D0863" w:rsidP="000D0863">
      <w:pPr>
        <w:pStyle w:val="ListParagraph"/>
        <w:numPr>
          <w:ilvl w:val="2"/>
          <w:numId w:val="9"/>
        </w:numPr>
      </w:pPr>
      <w:proofErr w:type="spellStart"/>
      <w:r>
        <w:t>Vzorec</w:t>
      </w:r>
      <w:proofErr w:type="spellEnd"/>
    </w:p>
    <w:p w14:paraId="5BA0C2F8" w14:textId="200AE432" w:rsidR="000D0863" w:rsidRDefault="000D0863" w:rsidP="000D0863">
      <w:pPr>
        <w:pStyle w:val="ListParagraph"/>
        <w:numPr>
          <w:ilvl w:val="2"/>
          <w:numId w:val="9"/>
        </w:numPr>
      </w:pPr>
      <w:proofErr w:type="spellStart"/>
      <w:r>
        <w:t>Zbiranje</w:t>
      </w:r>
      <w:proofErr w:type="spellEnd"/>
      <w:r>
        <w:t xml:space="preserve"> </w:t>
      </w:r>
      <w:proofErr w:type="spellStart"/>
      <w:r>
        <w:t>podatkov</w:t>
      </w:r>
      <w:proofErr w:type="spellEnd"/>
    </w:p>
    <w:p w14:paraId="44148309" w14:textId="2F114943" w:rsidR="000D0863" w:rsidRDefault="000D0863" w:rsidP="000D0863">
      <w:pPr>
        <w:pStyle w:val="ListParagraph"/>
        <w:numPr>
          <w:ilvl w:val="2"/>
          <w:numId w:val="9"/>
        </w:numPr>
      </w:pPr>
      <w:proofErr w:type="spellStart"/>
      <w:r>
        <w:t>Obdelava</w:t>
      </w:r>
      <w:proofErr w:type="spellEnd"/>
      <w:r>
        <w:t xml:space="preserve"> </w:t>
      </w:r>
      <w:proofErr w:type="spellStart"/>
      <w:r>
        <w:t>podatkov</w:t>
      </w:r>
      <w:proofErr w:type="spellEnd"/>
    </w:p>
    <w:p w14:paraId="026F364F" w14:textId="3B7957DD" w:rsidR="00A31DED" w:rsidRDefault="000D0863" w:rsidP="00A31DED">
      <w:pPr>
        <w:pStyle w:val="ListParagraph"/>
        <w:numPr>
          <w:ilvl w:val="1"/>
          <w:numId w:val="9"/>
        </w:numPr>
      </w:pPr>
      <w:r>
        <w:t xml:space="preserve">Rezultati in </w:t>
      </w:r>
      <w:proofErr w:type="spellStart"/>
      <w:r>
        <w:t>interpretacija</w:t>
      </w:r>
      <w:proofErr w:type="spellEnd"/>
    </w:p>
    <w:p w14:paraId="7FC9F0A3" w14:textId="122D7F85" w:rsidR="00A31DED" w:rsidRDefault="00A31DED" w:rsidP="000D0863">
      <w:pPr>
        <w:pStyle w:val="ListParagraph"/>
        <w:numPr>
          <w:ilvl w:val="2"/>
          <w:numId w:val="9"/>
        </w:numPr>
      </w:pPr>
      <w:proofErr w:type="spellStart"/>
      <w:r>
        <w:t>Deskriptivna</w:t>
      </w:r>
      <w:proofErr w:type="spellEnd"/>
      <w:r>
        <w:t xml:space="preserve"> </w:t>
      </w:r>
      <w:proofErr w:type="spellStart"/>
      <w:r>
        <w:t>statistika</w:t>
      </w:r>
      <w:proofErr w:type="spellEnd"/>
    </w:p>
    <w:p w14:paraId="672A9606" w14:textId="392C9E84" w:rsidR="000D0863" w:rsidRDefault="000D0863" w:rsidP="000D0863">
      <w:pPr>
        <w:pStyle w:val="ListParagraph"/>
        <w:numPr>
          <w:ilvl w:val="2"/>
          <w:numId w:val="9"/>
        </w:numPr>
      </w:pPr>
      <w:r>
        <w:t xml:space="preserve">Test </w:t>
      </w:r>
      <w:proofErr w:type="spellStart"/>
      <w:r>
        <w:t>zanesljivosti</w:t>
      </w:r>
      <w:proofErr w:type="spellEnd"/>
    </w:p>
    <w:p w14:paraId="70772663" w14:textId="04623D8D" w:rsidR="000D0863" w:rsidRDefault="000D0863" w:rsidP="000D0863">
      <w:pPr>
        <w:pStyle w:val="ListParagraph"/>
        <w:numPr>
          <w:ilvl w:val="2"/>
          <w:numId w:val="9"/>
        </w:numPr>
      </w:pPr>
      <w:r>
        <w:t xml:space="preserve">Test </w:t>
      </w:r>
      <w:proofErr w:type="spellStart"/>
      <w:r>
        <w:t>normalnosti</w:t>
      </w:r>
      <w:proofErr w:type="spellEnd"/>
    </w:p>
    <w:p w14:paraId="77902823" w14:textId="652D6CD9" w:rsidR="000D0863" w:rsidRDefault="000D0863" w:rsidP="000D0863">
      <w:pPr>
        <w:pStyle w:val="ListParagraph"/>
        <w:numPr>
          <w:ilvl w:val="2"/>
          <w:numId w:val="9"/>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0D0863">
      <w:pPr>
        <w:pStyle w:val="ListParagraph"/>
        <w:numPr>
          <w:ilvl w:val="2"/>
          <w:numId w:val="9"/>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0D0863">
      <w:pPr>
        <w:pStyle w:val="ListParagraph"/>
        <w:numPr>
          <w:ilvl w:val="2"/>
          <w:numId w:val="9"/>
        </w:numPr>
      </w:pPr>
      <w:r>
        <w:t xml:space="preserve">Test </w:t>
      </w:r>
      <w:proofErr w:type="spellStart"/>
      <w:r>
        <w:t>predikcije</w:t>
      </w:r>
      <w:proofErr w:type="spellEnd"/>
    </w:p>
    <w:p w14:paraId="5D1CD4EC" w14:textId="75354990" w:rsidR="000D0863" w:rsidRDefault="000D0863" w:rsidP="000D0863">
      <w:pPr>
        <w:pStyle w:val="ListParagraph"/>
        <w:numPr>
          <w:ilvl w:val="2"/>
          <w:numId w:val="9"/>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C55ADF">
      <w:pPr>
        <w:pStyle w:val="ListParagraph"/>
        <w:numPr>
          <w:ilvl w:val="0"/>
          <w:numId w:val="9"/>
        </w:numPr>
      </w:pPr>
      <w:proofErr w:type="spellStart"/>
      <w:r>
        <w:t>Diskusija</w:t>
      </w:r>
      <w:proofErr w:type="spellEnd"/>
    </w:p>
    <w:p w14:paraId="0AB09050" w14:textId="4590D4AD" w:rsidR="000D0863" w:rsidRDefault="000D0863" w:rsidP="000D0863">
      <w:pPr>
        <w:pStyle w:val="ListParagraph"/>
        <w:numPr>
          <w:ilvl w:val="0"/>
          <w:numId w:val="9"/>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0D0863">
      <w:pPr>
        <w:pStyle w:val="ListParagraph"/>
        <w:numPr>
          <w:ilvl w:val="0"/>
          <w:numId w:val="9"/>
        </w:numPr>
      </w:pPr>
      <w:proofErr w:type="spellStart"/>
      <w:r>
        <w:t>Literatura</w:t>
      </w:r>
      <w:proofErr w:type="spellEnd"/>
      <w:r>
        <w:t xml:space="preserve"> in </w:t>
      </w:r>
      <w:proofErr w:type="spellStart"/>
      <w:r>
        <w:t>viri</w:t>
      </w:r>
      <w:proofErr w:type="spellEnd"/>
    </w:p>
    <w:p w14:paraId="3B210900" w14:textId="0C1A8DB6" w:rsidR="000D0863" w:rsidRDefault="000D0863" w:rsidP="000D0863">
      <w:pPr>
        <w:pStyle w:val="ListParagraph"/>
        <w:numPr>
          <w:ilvl w:val="0"/>
          <w:numId w:val="9"/>
        </w:numPr>
      </w:pPr>
      <w:proofErr w:type="spellStart"/>
      <w:r>
        <w:t>Prilog</w:t>
      </w:r>
      <w:r w:rsidR="009C5FF9">
        <w:t>e</w:t>
      </w:r>
      <w:proofErr w:type="spellEnd"/>
    </w:p>
    <w:p w14:paraId="45E10A32" w14:textId="6CE35AAA" w:rsidR="00C55ADF" w:rsidRDefault="00C55ADF" w:rsidP="00C55ADF">
      <w:pPr>
        <w:pStyle w:val="ListParagraph"/>
      </w:pPr>
      <w:r>
        <w:t xml:space="preserve">7.1. </w:t>
      </w:r>
      <w:proofErr w:type="spellStart"/>
      <w:r>
        <w:t>Vprašalnik</w:t>
      </w:r>
      <w:proofErr w:type="spellEnd"/>
    </w:p>
    <w:p w14:paraId="2B65F614" w14:textId="152EAB66" w:rsidR="00C55ADF" w:rsidRDefault="00C55ADF" w:rsidP="00C55ADF">
      <w:pPr>
        <w:pStyle w:val="ListParagraph"/>
      </w:pPr>
      <w:r>
        <w:t xml:space="preserve">7.2. Koda </w:t>
      </w:r>
      <w:proofErr w:type="spellStart"/>
      <w:r>
        <w:t>strojnega</w:t>
      </w:r>
      <w:proofErr w:type="spellEnd"/>
      <w:r>
        <w:t xml:space="preserve"> </w:t>
      </w:r>
      <w:proofErr w:type="spellStart"/>
      <w:r>
        <w:t>učenja</w:t>
      </w:r>
      <w:proofErr w:type="spellEnd"/>
    </w:p>
    <w:p w14:paraId="4AD87110" w14:textId="74E8C1F0" w:rsidR="00C55ADF" w:rsidRDefault="00C55ADF" w:rsidP="00C55ADF">
      <w:pPr>
        <w:pStyle w:val="ListParagraph"/>
      </w:pPr>
      <w:r>
        <w:t xml:space="preserve">7.3. 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0ED0FCE0" w14:textId="6E0E48D0" w:rsidR="00423309" w:rsidRDefault="00812CAE" w:rsidP="00F743CF">
      <w:r>
        <w:fldChar w:fldCharType="begin"/>
      </w:r>
      <w:r w:rsidR="00A31DED">
        <w:instrText xml:space="preserve"> ADDIN ZOTERO_BIBL {"uncited":[],"omitted":[],"custom":[]} CSL_BIBLIOGRAPHY </w:instrText>
      </w:r>
      <w:r>
        <w:fldChar w:fldCharType="separate"/>
      </w:r>
      <w:r w:rsidR="000B76E0">
        <w:t>Automatic citation updates are disabled. To see the bibliography, click Refresh in the Zotero tab.</w:t>
      </w:r>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0" w:name="_Ref150947220"/>
      <w:bookmarkStart w:id="1" w:name="_Ref150947223"/>
      <w:bookmarkStart w:id="2" w:name="_Toc154474419"/>
      <w:bookmarkStart w:id="3" w:name="_Toc155777886"/>
      <w:r w:rsidRPr="00F42574">
        <w:rPr>
          <w:sz w:val="40"/>
          <w:szCs w:val="40"/>
        </w:rPr>
        <w:t>Prilog</w:t>
      </w:r>
      <w:bookmarkEnd w:id="0"/>
      <w:bookmarkEnd w:id="1"/>
      <w:r w:rsidR="00B77D6E" w:rsidRPr="00F42574">
        <w:rPr>
          <w:sz w:val="40"/>
          <w:szCs w:val="40"/>
        </w:rPr>
        <w:t>a</w:t>
      </w:r>
      <w:r w:rsidR="00383408" w:rsidRPr="00F42574">
        <w:rPr>
          <w:sz w:val="40"/>
          <w:szCs w:val="40"/>
        </w:rPr>
        <w:t xml:space="preserve">: </w:t>
      </w:r>
      <w:proofErr w:type="spellStart"/>
      <w:r w:rsidR="00383408" w:rsidRPr="00F42574">
        <w:rPr>
          <w:sz w:val="40"/>
          <w:szCs w:val="40"/>
        </w:rPr>
        <w:t>Vprašalnik</w:t>
      </w:r>
      <w:bookmarkEnd w:id="2"/>
      <w:bookmarkEnd w:id="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5"/>
        <w:gridCol w:w="460"/>
        <w:gridCol w:w="4539"/>
        <w:gridCol w:w="2554"/>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5FB20E27" w:rsidR="009051B6" w:rsidRDefault="009051B6" w:rsidP="009051B6">
            <w:r w:rsidRPr="002443E4">
              <w:rPr>
                <w:lang w:val="sl"/>
              </w:rPr>
              <w:t>Na</w:t>
            </w:r>
            <w:r w:rsidR="00686170">
              <w:rPr>
                <w:lang w:val="sl"/>
              </w:rPr>
              <w:t>č</w:t>
            </w:r>
            <w:r w:rsidRPr="002443E4">
              <w:rPr>
                <w:lang w:val="sl"/>
              </w:rPr>
              <w:t>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948FB17" w:rsidR="00C45E18" w:rsidRPr="002443E4" w:rsidRDefault="00EB7EFE" w:rsidP="009051B6">
            <w:pPr>
              <w:rPr>
                <w:lang w:val="sl"/>
              </w:rPr>
            </w:pPr>
            <w:r>
              <w:rPr>
                <w:lang w:val="sl"/>
              </w:rPr>
              <w:t>Zlijem se z okolico</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59"/>
        <w:gridCol w:w="460"/>
        <w:gridCol w:w="460"/>
        <w:gridCol w:w="6019"/>
        <w:gridCol w:w="1620"/>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6CB7074D" w:rsidR="005E48D9" w:rsidRDefault="007C7087" w:rsidP="005E48D9">
            <w:r>
              <w:t>7</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7DB64D3" w:rsidR="005E48D9" w:rsidRDefault="007C7087" w:rsidP="005E48D9">
            <w:r>
              <w:t>4</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65102" w14:textId="77777777" w:rsidR="001C316B" w:rsidRDefault="001C316B" w:rsidP="00AE29F3">
      <w:pPr>
        <w:spacing w:after="0" w:line="240" w:lineRule="auto"/>
      </w:pPr>
      <w:r>
        <w:separator/>
      </w:r>
    </w:p>
  </w:endnote>
  <w:endnote w:type="continuationSeparator" w:id="0">
    <w:p w14:paraId="36E46350" w14:textId="77777777" w:rsidR="001C316B" w:rsidRDefault="001C316B"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36329" w14:textId="77777777" w:rsidR="001C316B" w:rsidRDefault="001C316B" w:rsidP="00AE29F3">
      <w:pPr>
        <w:spacing w:after="0" w:line="240" w:lineRule="auto"/>
      </w:pPr>
      <w:r>
        <w:separator/>
      </w:r>
    </w:p>
  </w:footnote>
  <w:footnote w:type="continuationSeparator" w:id="0">
    <w:p w14:paraId="1E7837EE" w14:textId="77777777" w:rsidR="001C316B" w:rsidRDefault="001C316B"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6"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7"/>
  </w:num>
  <w:num w:numId="2" w16cid:durableId="549921021">
    <w:abstractNumId w:val="9"/>
  </w:num>
  <w:num w:numId="3" w16cid:durableId="1381906178">
    <w:abstractNumId w:val="0"/>
  </w:num>
  <w:num w:numId="4" w16cid:durableId="235284400">
    <w:abstractNumId w:val="3"/>
  </w:num>
  <w:num w:numId="5" w16cid:durableId="1908301273">
    <w:abstractNumId w:val="8"/>
  </w:num>
  <w:num w:numId="6" w16cid:durableId="1023170121">
    <w:abstractNumId w:val="4"/>
  </w:num>
  <w:num w:numId="7" w16cid:durableId="195436294">
    <w:abstractNumId w:val="5"/>
  </w:num>
  <w:num w:numId="8" w16cid:durableId="1101948179">
    <w:abstractNumId w:val="1"/>
  </w:num>
  <w:num w:numId="9" w16cid:durableId="1710259532">
    <w:abstractNumId w:val="6"/>
  </w:num>
  <w:num w:numId="10" w16cid:durableId="1258909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6752"/>
    <w:rsid w:val="000506A8"/>
    <w:rsid w:val="00084967"/>
    <w:rsid w:val="00085879"/>
    <w:rsid w:val="00086352"/>
    <w:rsid w:val="00095B8C"/>
    <w:rsid w:val="000A55F5"/>
    <w:rsid w:val="000B5558"/>
    <w:rsid w:val="000B753B"/>
    <w:rsid w:val="000B76E0"/>
    <w:rsid w:val="000D03F6"/>
    <w:rsid w:val="000D0863"/>
    <w:rsid w:val="000D6412"/>
    <w:rsid w:val="000E06F8"/>
    <w:rsid w:val="000F20F0"/>
    <w:rsid w:val="000F3BCC"/>
    <w:rsid w:val="000F713B"/>
    <w:rsid w:val="00103489"/>
    <w:rsid w:val="00111EF0"/>
    <w:rsid w:val="00114F5B"/>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316B"/>
    <w:rsid w:val="001C527C"/>
    <w:rsid w:val="001E171A"/>
    <w:rsid w:val="001E75C6"/>
    <w:rsid w:val="0020372B"/>
    <w:rsid w:val="00205556"/>
    <w:rsid w:val="002124AA"/>
    <w:rsid w:val="00212D54"/>
    <w:rsid w:val="00213E0C"/>
    <w:rsid w:val="002227FE"/>
    <w:rsid w:val="00223DE2"/>
    <w:rsid w:val="002258EE"/>
    <w:rsid w:val="002318AF"/>
    <w:rsid w:val="002443E4"/>
    <w:rsid w:val="002444DD"/>
    <w:rsid w:val="00277008"/>
    <w:rsid w:val="002977CB"/>
    <w:rsid w:val="002D4A89"/>
    <w:rsid w:val="002D5CC3"/>
    <w:rsid w:val="002E1057"/>
    <w:rsid w:val="002E4830"/>
    <w:rsid w:val="002F14BE"/>
    <w:rsid w:val="002F2504"/>
    <w:rsid w:val="002F76DE"/>
    <w:rsid w:val="003119C8"/>
    <w:rsid w:val="00320E2A"/>
    <w:rsid w:val="00341457"/>
    <w:rsid w:val="003640D6"/>
    <w:rsid w:val="00376770"/>
    <w:rsid w:val="003824F2"/>
    <w:rsid w:val="00383408"/>
    <w:rsid w:val="003839B7"/>
    <w:rsid w:val="00384AD4"/>
    <w:rsid w:val="003A0D68"/>
    <w:rsid w:val="003B2D49"/>
    <w:rsid w:val="003E0EF2"/>
    <w:rsid w:val="00403957"/>
    <w:rsid w:val="00414611"/>
    <w:rsid w:val="00423309"/>
    <w:rsid w:val="00425AA9"/>
    <w:rsid w:val="00430EBA"/>
    <w:rsid w:val="00431CE2"/>
    <w:rsid w:val="004330F4"/>
    <w:rsid w:val="004412E4"/>
    <w:rsid w:val="00444656"/>
    <w:rsid w:val="00463753"/>
    <w:rsid w:val="00467737"/>
    <w:rsid w:val="00481011"/>
    <w:rsid w:val="00483D35"/>
    <w:rsid w:val="00492258"/>
    <w:rsid w:val="004A71D2"/>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3DB"/>
    <w:rsid w:val="00555396"/>
    <w:rsid w:val="00585EA5"/>
    <w:rsid w:val="00587D33"/>
    <w:rsid w:val="00593B76"/>
    <w:rsid w:val="005C45BE"/>
    <w:rsid w:val="005E10D3"/>
    <w:rsid w:val="005E32B1"/>
    <w:rsid w:val="005E48D9"/>
    <w:rsid w:val="005E48EC"/>
    <w:rsid w:val="005F5F0A"/>
    <w:rsid w:val="00632E89"/>
    <w:rsid w:val="00641F94"/>
    <w:rsid w:val="0065197D"/>
    <w:rsid w:val="006619C3"/>
    <w:rsid w:val="006631EF"/>
    <w:rsid w:val="00671762"/>
    <w:rsid w:val="00683648"/>
    <w:rsid w:val="00686170"/>
    <w:rsid w:val="00687CD0"/>
    <w:rsid w:val="006A4D27"/>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70A8B"/>
    <w:rsid w:val="00777F02"/>
    <w:rsid w:val="00790137"/>
    <w:rsid w:val="00791502"/>
    <w:rsid w:val="00793985"/>
    <w:rsid w:val="0079575F"/>
    <w:rsid w:val="007A135E"/>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67DC"/>
    <w:rsid w:val="00901EBB"/>
    <w:rsid w:val="009051B6"/>
    <w:rsid w:val="00915E31"/>
    <w:rsid w:val="0091685F"/>
    <w:rsid w:val="00926866"/>
    <w:rsid w:val="00937274"/>
    <w:rsid w:val="00940BB7"/>
    <w:rsid w:val="00943AC8"/>
    <w:rsid w:val="009478DD"/>
    <w:rsid w:val="00954894"/>
    <w:rsid w:val="00955856"/>
    <w:rsid w:val="00964A65"/>
    <w:rsid w:val="0097302F"/>
    <w:rsid w:val="00977A00"/>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527"/>
    <w:rsid w:val="00A150CA"/>
    <w:rsid w:val="00A1566F"/>
    <w:rsid w:val="00A2678E"/>
    <w:rsid w:val="00A31DED"/>
    <w:rsid w:val="00A34714"/>
    <w:rsid w:val="00A37C3C"/>
    <w:rsid w:val="00A41D78"/>
    <w:rsid w:val="00A4683F"/>
    <w:rsid w:val="00A53F28"/>
    <w:rsid w:val="00A56A7C"/>
    <w:rsid w:val="00A602A4"/>
    <w:rsid w:val="00A76235"/>
    <w:rsid w:val="00A86059"/>
    <w:rsid w:val="00A956AD"/>
    <w:rsid w:val="00A963E5"/>
    <w:rsid w:val="00AA3588"/>
    <w:rsid w:val="00AB1234"/>
    <w:rsid w:val="00AB1E64"/>
    <w:rsid w:val="00AE0FEF"/>
    <w:rsid w:val="00AE29F3"/>
    <w:rsid w:val="00AE42D7"/>
    <w:rsid w:val="00B07ECC"/>
    <w:rsid w:val="00B2661E"/>
    <w:rsid w:val="00B26D1C"/>
    <w:rsid w:val="00B279D0"/>
    <w:rsid w:val="00B4649C"/>
    <w:rsid w:val="00B50AE9"/>
    <w:rsid w:val="00B529C8"/>
    <w:rsid w:val="00B562BC"/>
    <w:rsid w:val="00B6256C"/>
    <w:rsid w:val="00B66A6B"/>
    <w:rsid w:val="00B72418"/>
    <w:rsid w:val="00B77D6E"/>
    <w:rsid w:val="00B821FA"/>
    <w:rsid w:val="00BA1A86"/>
    <w:rsid w:val="00BA33F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81C5E"/>
    <w:rsid w:val="00C81C66"/>
    <w:rsid w:val="00C83BF2"/>
    <w:rsid w:val="00CA4C2B"/>
    <w:rsid w:val="00CA4FB5"/>
    <w:rsid w:val="00CB1A6B"/>
    <w:rsid w:val="00CC1ED0"/>
    <w:rsid w:val="00CC7A0F"/>
    <w:rsid w:val="00CD4EDB"/>
    <w:rsid w:val="00CD5C30"/>
    <w:rsid w:val="00CE44F4"/>
    <w:rsid w:val="00CF3060"/>
    <w:rsid w:val="00D01D27"/>
    <w:rsid w:val="00D05BC8"/>
    <w:rsid w:val="00D11CFA"/>
    <w:rsid w:val="00D147F8"/>
    <w:rsid w:val="00D3634E"/>
    <w:rsid w:val="00D41662"/>
    <w:rsid w:val="00D41C8E"/>
    <w:rsid w:val="00D45104"/>
    <w:rsid w:val="00D6375C"/>
    <w:rsid w:val="00D7033E"/>
    <w:rsid w:val="00D72A7B"/>
    <w:rsid w:val="00D8479C"/>
    <w:rsid w:val="00DA62F8"/>
    <w:rsid w:val="00DB5B09"/>
    <w:rsid w:val="00DC1DEC"/>
    <w:rsid w:val="00DD1153"/>
    <w:rsid w:val="00DD3282"/>
    <w:rsid w:val="00E11712"/>
    <w:rsid w:val="00E17278"/>
    <w:rsid w:val="00E25123"/>
    <w:rsid w:val="00E31527"/>
    <w:rsid w:val="00E36DB5"/>
    <w:rsid w:val="00E414E4"/>
    <w:rsid w:val="00E5111D"/>
    <w:rsid w:val="00E56758"/>
    <w:rsid w:val="00E61DD1"/>
    <w:rsid w:val="00E839EA"/>
    <w:rsid w:val="00E841E0"/>
    <w:rsid w:val="00E87F6B"/>
    <w:rsid w:val="00E91CC1"/>
    <w:rsid w:val="00E94972"/>
    <w:rsid w:val="00EB3DFF"/>
    <w:rsid w:val="00EB7EFE"/>
    <w:rsid w:val="00EC6961"/>
    <w:rsid w:val="00EC6B87"/>
    <w:rsid w:val="00ED3F2D"/>
    <w:rsid w:val="00EE030D"/>
    <w:rsid w:val="00EE0E42"/>
    <w:rsid w:val="00EE1309"/>
    <w:rsid w:val="00EE53C1"/>
    <w:rsid w:val="00F02E01"/>
    <w:rsid w:val="00F15B7D"/>
    <w:rsid w:val="00F20EA9"/>
    <w:rsid w:val="00F35C98"/>
    <w:rsid w:val="00F42574"/>
    <w:rsid w:val="00F45AB6"/>
    <w:rsid w:val="00F50E8A"/>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13</Pages>
  <Words>29930</Words>
  <Characters>170606</Characters>
  <Application>Microsoft Office Word</Application>
  <DocSecurity>0</DocSecurity>
  <Lines>1421</Lines>
  <Paragraphs>400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226</cp:revision>
  <cp:lastPrinted>2023-09-30T17:21:00Z</cp:lastPrinted>
  <dcterms:created xsi:type="dcterms:W3CDTF">2023-09-23T17:00:00Z</dcterms:created>
  <dcterms:modified xsi:type="dcterms:W3CDTF">2024-06-03T10:35:00Z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id="P54OK6I4"/&gt;&lt;style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