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7C97" w14:textId="77777777" w:rsidR="00C82440" w:rsidRDefault="00C82440" w:rsidP="00573B0C">
      <w:pPr>
        <w:pStyle w:val="Heading1"/>
      </w:pPr>
      <w:r w:rsidRPr="00C82440">
        <w:t>Enhancing PISA 2022 Mathematics Performance in Slovenia: A Cluster Analysis Approach to Additional Instruction Methods</w:t>
      </w:r>
    </w:p>
    <w:p w14:paraId="70DBAE3B" w14:textId="4D603E6D" w:rsidR="00573B0C" w:rsidRPr="00573B0C" w:rsidRDefault="00573B0C" w:rsidP="00573B0C"/>
    <w:p w14:paraId="16994936" w14:textId="3BAB0B0B" w:rsidR="00431CE2" w:rsidRDefault="00431CE2" w:rsidP="00573B0C">
      <w:pPr>
        <w:pStyle w:val="Heading3"/>
        <w:rPr>
          <w:lang w:val="en-US"/>
        </w:rPr>
      </w:pPr>
      <w:r w:rsidRPr="00372C2B">
        <w:rPr>
          <w:lang w:val="en-US"/>
        </w:rPr>
        <w:t>Abstract</w:t>
      </w:r>
    </w:p>
    <w:p w14:paraId="46F0B82D" w14:textId="1692FDC9" w:rsidR="00C82440" w:rsidRPr="00C82440" w:rsidRDefault="00573B0C" w:rsidP="00C82440">
      <w:pPr>
        <w:rPr>
          <w:lang w:val="en-US"/>
        </w:rPr>
      </w:pPr>
      <w:r>
        <w:rPr>
          <w:lang w:val="en-US"/>
        </w:rPr>
        <w:t>...</w:t>
      </w:r>
    </w:p>
    <w:p w14:paraId="2B3C85A1" w14:textId="533B1C34" w:rsidR="00431CE2" w:rsidRPr="008C3573" w:rsidRDefault="00431CE2" w:rsidP="00573B0C">
      <w:pPr>
        <w:pStyle w:val="Heading3"/>
        <w:rPr>
          <w:lang w:val="en-US"/>
        </w:rPr>
      </w:pPr>
      <w:r w:rsidRPr="008C3573">
        <w:rPr>
          <w:lang w:val="en-US"/>
        </w:rPr>
        <w:t>Keywords</w:t>
      </w:r>
    </w:p>
    <w:p w14:paraId="10829AD3" w14:textId="32ACF885"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xml:space="preserve">, </w:t>
      </w:r>
      <w:r w:rsidR="00C82440">
        <w:rPr>
          <w:lang w:val="en-US"/>
        </w:rPr>
        <w:t>instruction</w:t>
      </w:r>
      <w:r w:rsidR="00895354" w:rsidRPr="001217F3">
        <w:rPr>
          <w:lang w:val="en-US"/>
        </w:rPr>
        <w:t xml:space="preserve"> methods</w:t>
      </w:r>
      <w:r w:rsidR="00C82440">
        <w:rPr>
          <w:lang w:val="en-US"/>
        </w:rPr>
        <w:t>, cluster analysis</w:t>
      </w:r>
    </w:p>
    <w:p w14:paraId="3C04158F" w14:textId="1477ACF6" w:rsidR="004F238E" w:rsidRPr="009B775D" w:rsidRDefault="005F1862" w:rsidP="009345A5">
      <w:pPr>
        <w:pStyle w:val="Heading2"/>
        <w:numPr>
          <w:ilvl w:val="0"/>
          <w:numId w:val="11"/>
        </w:numPr>
        <w:rPr>
          <w:lang w:val="en-US"/>
        </w:rPr>
      </w:pPr>
      <w:r w:rsidRPr="009B775D">
        <w:rPr>
          <w:lang w:val="en-US"/>
        </w:rPr>
        <w:t>Introduction</w:t>
      </w:r>
    </w:p>
    <w:p w14:paraId="5BE0B554" w14:textId="2C426406" w:rsidR="00896308" w:rsidRDefault="00F806C5" w:rsidP="00331855">
      <w:pPr>
        <w:spacing w:line="360" w:lineRule="auto"/>
      </w:pPr>
      <w:r w:rsidRPr="00F806C5">
        <w:t>As nations strive to elevate educational standards and outcomes, the assessment of student performance on an international scale becomes increasingly pivotal. The Programme for International Student Assessment (PISA), coordinated by the Organisation for Economic Co-operation and Development (OECD), serves as a crucial benchmark in evaluating the efficacy of educational systems worldwide</w:t>
      </w:r>
      <w:r w:rsidR="005B66A5">
        <w:t xml:space="preserve"> </w:t>
      </w:r>
      <w:r w:rsidR="005B66A5">
        <w:fldChar w:fldCharType="begin"/>
      </w:r>
      <w:r w:rsidR="005B66A5">
        <w:instrText xml:space="preserve"> ADDIN ZOTERO_ITEM CSL_CITATION {"citationID":"qhFJE9Oi","properties":{"formattedCitation":"(Hopfenbeck et al., 2018)","plainCitation":"(Hopfenbeck et al., 2018)","noteIndex":0},"citationItems":[{"id":879,"uris":["http://zotero.org/users/local/1Uxvmohd/items/NDGW8DD6"],"itemData":{"id":879,"type":"article-journal","container-title":"Scandinavian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fldChar w:fldCharType="separate"/>
      </w:r>
      <w:r w:rsidR="005B66A5" w:rsidRPr="005B66A5">
        <w:rPr>
          <w:rFonts w:ascii="Calibri" w:hAnsi="Calibri" w:cs="Calibri"/>
        </w:rPr>
        <w:t>(Hopfenbeck et al., 2018)</w:t>
      </w:r>
      <w:r w:rsidR="005B66A5">
        <w:fldChar w:fldCharType="end"/>
      </w:r>
      <w:r w:rsidRPr="00F806C5">
        <w:t>. This triennial assessment measures 15-year-old students' abilities in reading, mathematics, and science, providing valuable insights into how educational policies and practices can be refined to better support student learning.</w:t>
      </w:r>
    </w:p>
    <w:p w14:paraId="4D9287C6" w14:textId="571F6EF7" w:rsidR="00F806C5" w:rsidRPr="00F806C5" w:rsidRDefault="00F806C5" w:rsidP="00F806C5">
      <w:pPr>
        <w:spacing w:line="360" w:lineRule="auto"/>
        <w:rPr>
          <w:lang w:val="sl-SI"/>
        </w:rPr>
      </w:pPr>
      <w:proofErr w:type="spellStart"/>
      <w:r w:rsidRPr="00F806C5">
        <w:rPr>
          <w:lang w:val="sl-SI"/>
        </w:rPr>
        <w:t>The</w:t>
      </w:r>
      <w:proofErr w:type="spellEnd"/>
      <w:r w:rsidRPr="00F806C5">
        <w:rPr>
          <w:lang w:val="sl-SI"/>
        </w:rPr>
        <w:t xml:space="preserve"> </w:t>
      </w:r>
      <w:proofErr w:type="spellStart"/>
      <w:r w:rsidRPr="00F806C5">
        <w:rPr>
          <w:lang w:val="sl-SI"/>
        </w:rPr>
        <w:t>significance</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extends</w:t>
      </w:r>
      <w:proofErr w:type="spellEnd"/>
      <w:r w:rsidRPr="00F806C5">
        <w:rPr>
          <w:lang w:val="sl-SI"/>
        </w:rPr>
        <w:t xml:space="preserve"> </w:t>
      </w:r>
      <w:proofErr w:type="spellStart"/>
      <w:r w:rsidRPr="00F806C5">
        <w:rPr>
          <w:lang w:val="sl-SI"/>
        </w:rPr>
        <w:t>beyond</w:t>
      </w:r>
      <w:proofErr w:type="spellEnd"/>
      <w:r w:rsidRPr="00F806C5">
        <w:rPr>
          <w:lang w:val="sl-SI"/>
        </w:rPr>
        <w:t xml:space="preserve"> mere </w:t>
      </w:r>
      <w:proofErr w:type="spellStart"/>
      <w:r w:rsidRPr="00F806C5">
        <w:rPr>
          <w:lang w:val="sl-SI"/>
        </w:rPr>
        <w:t>assessment</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value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results</w:t>
      </w:r>
      <w:proofErr w:type="spellEnd"/>
      <w:r w:rsidRPr="00F806C5">
        <w:rPr>
          <w:lang w:val="sl-SI"/>
        </w:rPr>
        <w:t xml:space="preserve"> so </w:t>
      </w:r>
      <w:proofErr w:type="spellStart"/>
      <w:r w:rsidRPr="00F806C5">
        <w:rPr>
          <w:lang w:val="sl-SI"/>
        </w:rPr>
        <w:t>highly</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they</w:t>
      </w:r>
      <w:proofErr w:type="spellEnd"/>
      <w:r w:rsidRPr="00F806C5">
        <w:rPr>
          <w:lang w:val="sl-SI"/>
        </w:rPr>
        <w:t xml:space="preserve"> </w:t>
      </w:r>
      <w:proofErr w:type="spellStart"/>
      <w:r w:rsidRPr="00F806C5">
        <w:rPr>
          <w:lang w:val="sl-SI"/>
        </w:rPr>
        <w:t>have</w:t>
      </w:r>
      <w:proofErr w:type="spellEnd"/>
      <w:r w:rsidRPr="00F806C5">
        <w:rPr>
          <w:lang w:val="sl-SI"/>
        </w:rPr>
        <w:t xml:space="preserve"> </w:t>
      </w:r>
      <w:proofErr w:type="spellStart"/>
      <w:r w:rsidRPr="00F806C5">
        <w:rPr>
          <w:lang w:val="sl-SI"/>
        </w:rPr>
        <w:t>prompted</w:t>
      </w:r>
      <w:proofErr w:type="spellEnd"/>
      <w:r w:rsidRPr="00F806C5">
        <w:rPr>
          <w:lang w:val="sl-SI"/>
        </w:rPr>
        <w:t xml:space="preserve"> </w:t>
      </w:r>
      <w:proofErr w:type="spellStart"/>
      <w:r w:rsidRPr="00F806C5">
        <w:rPr>
          <w:lang w:val="sl-SI"/>
        </w:rPr>
        <w:t>changes</w:t>
      </w:r>
      <w:proofErr w:type="spellEnd"/>
      <w:r w:rsidRPr="00F806C5">
        <w:rPr>
          <w:lang w:val="sl-SI"/>
        </w:rPr>
        <w:t xml:space="preserve"> in </w:t>
      </w:r>
      <w:proofErr w:type="spellStart"/>
      <w:r w:rsidRPr="00F806C5">
        <w:rPr>
          <w:lang w:val="sl-SI"/>
        </w:rPr>
        <w:t>school</w:t>
      </w:r>
      <w:proofErr w:type="spellEnd"/>
      <w:r w:rsidRPr="00F806C5">
        <w:rPr>
          <w:lang w:val="sl-SI"/>
        </w:rPr>
        <w:t xml:space="preserve"> </w:t>
      </w:r>
      <w:proofErr w:type="spellStart"/>
      <w:r w:rsidRPr="00F806C5">
        <w:rPr>
          <w:lang w:val="sl-SI"/>
        </w:rPr>
        <w:t>network</w:t>
      </w:r>
      <w:proofErr w:type="spellEnd"/>
      <w:r w:rsidRPr="00F806C5">
        <w:rPr>
          <w:lang w:val="sl-SI"/>
        </w:rPr>
        <w:t xml:space="preserve"> </w:t>
      </w:r>
      <w:proofErr w:type="spellStart"/>
      <w:r w:rsidRPr="00F806C5">
        <w:rPr>
          <w:lang w:val="sl-SI"/>
        </w:rPr>
        <w:t>legislation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policy</w:t>
      </w:r>
      <w:proofErr w:type="spellEnd"/>
      <w:r w:rsidRPr="00F806C5">
        <w:rPr>
          <w:lang w:val="sl-SI"/>
        </w:rPr>
        <w:t xml:space="preserve"> </w:t>
      </w:r>
      <w:proofErr w:type="spellStart"/>
      <w:r w:rsidRPr="00F806C5">
        <w:rPr>
          <w:lang w:val="sl-SI"/>
        </w:rPr>
        <w:t>adjustments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outcomes</w:t>
      </w:r>
      <w:proofErr w:type="spellEnd"/>
      <w:r w:rsidR="005B66A5">
        <w:rPr>
          <w:lang w:val="sl-SI"/>
        </w:rPr>
        <w:t xml:space="preserve"> </w:t>
      </w:r>
      <w:r w:rsidR="005B66A5">
        <w:rPr>
          <w:lang w:val="sl-SI"/>
        </w:rPr>
        <w:fldChar w:fldCharType="begin"/>
      </w:r>
      <w:r w:rsidR="005B66A5">
        <w:rPr>
          <w:lang w:val="sl-SI"/>
        </w:rPr>
        <w:instrText xml:space="preserve"> ADDIN ZOTERO_ITEM CSL_CITATION {"citationID":"eziFoBzi","properties":{"formattedCitation":"(Bieber &amp; Martens, 2011; Hopfenbeck et al., 2018)","plainCitation":"(Bieber &amp; Martens, 2011; Hopfenbeck et al., 2018)","noteIndex":0},"citationItems":[{"id":881,"uris":["http://zotero.org/users/local/1Uxvmohd/items/9GF6TFWX"],"itemData":{"id":881,"type":"article-journal","abstract":"Although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Pr>
          <w:lang w:val="sl-SI"/>
        </w:rPr>
        <w:fldChar w:fldCharType="separate"/>
      </w:r>
      <w:r w:rsidR="005B66A5" w:rsidRPr="005B66A5">
        <w:rPr>
          <w:rFonts w:ascii="Calibri" w:hAnsi="Calibri" w:cs="Calibri"/>
        </w:rPr>
        <w:t>(Bieber &amp; Martens, 2011; Hopfenbeck et al., 2018)</w:t>
      </w:r>
      <w:r w:rsidR="005B66A5">
        <w:rPr>
          <w:lang w:val="sl-SI"/>
        </w:rPr>
        <w:fldChar w:fldCharType="end"/>
      </w:r>
      <w:r w:rsidRPr="00F806C5">
        <w:rPr>
          <w:lang w:val="sl-SI"/>
        </w:rPr>
        <w:t xml:space="preserve">. </w:t>
      </w:r>
      <w:proofErr w:type="spellStart"/>
      <w:r w:rsidRPr="00F806C5">
        <w:rPr>
          <w:lang w:val="sl-SI"/>
        </w:rPr>
        <w:t>Slovenia</w:t>
      </w:r>
      <w:proofErr w:type="spellEnd"/>
      <w:r w:rsidRPr="00F806C5">
        <w:rPr>
          <w:lang w:val="sl-SI"/>
        </w:rPr>
        <w:t xml:space="preserve">, like </w:t>
      </w:r>
      <w:proofErr w:type="spellStart"/>
      <w:r w:rsidRPr="00F806C5">
        <w:rPr>
          <w:lang w:val="sl-SI"/>
        </w:rPr>
        <w:t>many</w:t>
      </w:r>
      <w:proofErr w:type="spellEnd"/>
      <w:r w:rsidRPr="00F806C5">
        <w:rPr>
          <w:lang w:val="sl-SI"/>
        </w:rPr>
        <w:t xml:space="preserve"> </w:t>
      </w:r>
      <w:proofErr w:type="spellStart"/>
      <w:r w:rsidRPr="00F806C5">
        <w:rPr>
          <w:lang w:val="sl-SI"/>
        </w:rPr>
        <w:t>other</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participates</w:t>
      </w:r>
      <w:proofErr w:type="spellEnd"/>
      <w:r w:rsidRPr="00F806C5">
        <w:rPr>
          <w:lang w:val="sl-SI"/>
        </w:rPr>
        <w:t xml:space="preserve"> in PISA to </w:t>
      </w:r>
      <w:proofErr w:type="spellStart"/>
      <w:r w:rsidRPr="00F806C5">
        <w:rPr>
          <w:lang w:val="sl-SI"/>
        </w:rPr>
        <w:t>gauge</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progress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identify</w:t>
      </w:r>
      <w:proofErr w:type="spellEnd"/>
      <w:r w:rsidRPr="00F806C5">
        <w:rPr>
          <w:lang w:val="sl-SI"/>
        </w:rPr>
        <w:t xml:space="preserve"> </w:t>
      </w:r>
      <w:proofErr w:type="spellStart"/>
      <w:r w:rsidRPr="00F806C5">
        <w:rPr>
          <w:lang w:val="sl-SI"/>
        </w:rPr>
        <w:t>areas</w:t>
      </w:r>
      <w:proofErr w:type="spellEnd"/>
      <w:r w:rsidRPr="00F806C5">
        <w:rPr>
          <w:lang w:val="sl-SI"/>
        </w:rPr>
        <w:t xml:space="preserve"> </w:t>
      </w:r>
      <w:proofErr w:type="spellStart"/>
      <w:r w:rsidRPr="00F806C5">
        <w:rPr>
          <w:lang w:val="sl-SI"/>
        </w:rPr>
        <w:t>needing</w:t>
      </w:r>
      <w:proofErr w:type="spellEnd"/>
      <w:r w:rsidRPr="00F806C5">
        <w:rPr>
          <w:lang w:val="sl-SI"/>
        </w:rPr>
        <w:t xml:space="preserve"> </w:t>
      </w:r>
      <w:proofErr w:type="spellStart"/>
      <w:r w:rsidRPr="00F806C5">
        <w:rPr>
          <w:lang w:val="sl-SI"/>
        </w:rPr>
        <w:t>improvement</w:t>
      </w:r>
      <w:proofErr w:type="spellEnd"/>
      <w:r w:rsidRPr="00F806C5">
        <w:rPr>
          <w:lang w:val="sl-SI"/>
        </w:rPr>
        <w:t xml:space="preserve">. </w:t>
      </w:r>
      <w:proofErr w:type="spellStart"/>
      <w:r w:rsidRPr="00F806C5">
        <w:rPr>
          <w:lang w:val="sl-SI"/>
        </w:rPr>
        <w:t>Particularly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education</w:t>
      </w:r>
      <w:proofErr w:type="spellEnd"/>
      <w:r w:rsidRPr="00F806C5">
        <w:rPr>
          <w:lang w:val="sl-SI"/>
        </w:rPr>
        <w:t xml:space="preserve"> </w:t>
      </w:r>
      <w:proofErr w:type="spellStart"/>
      <w:r w:rsidRPr="00F806C5">
        <w:rPr>
          <w:lang w:val="sl-SI"/>
        </w:rPr>
        <w:t>has</w:t>
      </w:r>
      <w:proofErr w:type="spellEnd"/>
      <w:r w:rsidRPr="00F806C5">
        <w:rPr>
          <w:lang w:val="sl-SI"/>
        </w:rPr>
        <w:t xml:space="preserve"> </w:t>
      </w:r>
      <w:proofErr w:type="spellStart"/>
      <w:r w:rsidRPr="00F806C5">
        <w:rPr>
          <w:lang w:val="sl-SI"/>
        </w:rPr>
        <w:t>been</w:t>
      </w:r>
      <w:proofErr w:type="spellEnd"/>
      <w:r w:rsidRPr="00F806C5">
        <w:rPr>
          <w:lang w:val="sl-SI"/>
        </w:rPr>
        <w:t xml:space="preserve"> </w:t>
      </w:r>
      <w:proofErr w:type="spellStart"/>
      <w:r w:rsidRPr="00F806C5">
        <w:rPr>
          <w:lang w:val="sl-SI"/>
        </w:rPr>
        <w:t>an</w:t>
      </w:r>
      <w:proofErr w:type="spellEnd"/>
      <w:r w:rsidRPr="00F806C5">
        <w:rPr>
          <w:lang w:val="sl-SI"/>
        </w:rPr>
        <w:t xml:space="preserve"> area </w:t>
      </w:r>
      <w:proofErr w:type="spellStart"/>
      <w:r w:rsidRPr="00F806C5">
        <w:rPr>
          <w:lang w:val="sl-SI"/>
        </w:rPr>
        <w:t>of</w:t>
      </w:r>
      <w:proofErr w:type="spellEnd"/>
      <w:r w:rsidRPr="00F806C5">
        <w:rPr>
          <w:lang w:val="sl-SI"/>
        </w:rPr>
        <w:t xml:space="preserve"> </w:t>
      </w:r>
      <w:proofErr w:type="spellStart"/>
      <w:r w:rsidRPr="00F806C5">
        <w:rPr>
          <w:lang w:val="sl-SI"/>
        </w:rPr>
        <w:t>focus</w:t>
      </w:r>
      <w:proofErr w:type="spellEnd"/>
      <w:r w:rsidRPr="00F806C5">
        <w:rPr>
          <w:lang w:val="sl-SI"/>
        </w:rPr>
        <w:t xml:space="preserve"> </w:t>
      </w:r>
      <w:proofErr w:type="spellStart"/>
      <w:r w:rsidRPr="00F806C5">
        <w:rPr>
          <w:lang w:val="sl-SI"/>
        </w:rPr>
        <w:t>due</w:t>
      </w:r>
      <w:proofErr w:type="spellEnd"/>
      <w:r w:rsidRPr="00F806C5">
        <w:rPr>
          <w:lang w:val="sl-SI"/>
        </w:rPr>
        <w:t xml:space="preserve"> to </w:t>
      </w:r>
      <w:proofErr w:type="spellStart"/>
      <w:r w:rsidRPr="00F806C5">
        <w:rPr>
          <w:lang w:val="sl-SI"/>
        </w:rPr>
        <w:t>its</w:t>
      </w:r>
      <w:proofErr w:type="spellEnd"/>
      <w:r w:rsidRPr="00F806C5">
        <w:rPr>
          <w:lang w:val="sl-SI"/>
        </w:rPr>
        <w:t xml:space="preserve"> </w:t>
      </w:r>
      <w:proofErr w:type="spellStart"/>
      <w:r w:rsidRPr="00F806C5">
        <w:rPr>
          <w:lang w:val="sl-SI"/>
        </w:rPr>
        <w:t>critical</w:t>
      </w:r>
      <w:proofErr w:type="spellEnd"/>
      <w:r w:rsidRPr="00F806C5">
        <w:rPr>
          <w:lang w:val="sl-SI"/>
        </w:rPr>
        <w:t xml:space="preserve"> role in </w:t>
      </w:r>
      <w:proofErr w:type="spellStart"/>
      <w:r w:rsidRPr="00F806C5">
        <w:rPr>
          <w:lang w:val="sl-SI"/>
        </w:rPr>
        <w:t>fostering</w:t>
      </w:r>
      <w:proofErr w:type="spellEnd"/>
      <w:r w:rsidRPr="00F806C5">
        <w:rPr>
          <w:lang w:val="sl-SI"/>
        </w:rPr>
        <w:t xml:space="preserve"> </w:t>
      </w:r>
      <w:proofErr w:type="spellStart"/>
      <w:r w:rsidRPr="00F806C5">
        <w:rPr>
          <w:lang w:val="sl-SI"/>
        </w:rPr>
        <w:t>analytical</w:t>
      </w:r>
      <w:proofErr w:type="spellEnd"/>
      <w:r w:rsidRPr="00F806C5">
        <w:rPr>
          <w:lang w:val="sl-SI"/>
        </w:rPr>
        <w:t xml:space="preserve"> </w:t>
      </w:r>
      <w:proofErr w:type="spellStart"/>
      <w:r w:rsidRPr="00F806C5">
        <w:rPr>
          <w:lang w:val="sl-SI"/>
        </w:rPr>
        <w:t>and</w:t>
      </w:r>
      <w:proofErr w:type="spellEnd"/>
      <w:r w:rsidRPr="00F806C5">
        <w:rPr>
          <w:lang w:val="sl-SI"/>
        </w:rPr>
        <w:t xml:space="preserve"> problem-</w:t>
      </w:r>
      <w:proofErr w:type="spellStart"/>
      <w:r w:rsidRPr="00F806C5">
        <w:rPr>
          <w:lang w:val="sl-SI"/>
        </w:rPr>
        <w:t>solving</w:t>
      </w:r>
      <w:proofErr w:type="spellEnd"/>
      <w:r w:rsidRPr="00F806C5">
        <w:rPr>
          <w:lang w:val="sl-SI"/>
        </w:rPr>
        <w:t xml:space="preserve"> </w:t>
      </w:r>
      <w:proofErr w:type="spellStart"/>
      <w:r w:rsidRPr="00F806C5">
        <w:rPr>
          <w:lang w:val="sl-SI"/>
        </w:rPr>
        <w:t>skills</w:t>
      </w:r>
      <w:proofErr w:type="spellEnd"/>
      <w:r w:rsidRPr="00F806C5">
        <w:rPr>
          <w:lang w:val="sl-SI"/>
        </w:rPr>
        <w:t xml:space="preserve"> </w:t>
      </w:r>
      <w:proofErr w:type="spellStart"/>
      <w:r w:rsidRPr="00F806C5">
        <w:rPr>
          <w:lang w:val="sl-SI"/>
        </w:rPr>
        <w:t>essential</w:t>
      </w:r>
      <w:proofErr w:type="spellEnd"/>
      <w:r w:rsidRPr="00F806C5">
        <w:rPr>
          <w:lang w:val="sl-SI"/>
        </w:rPr>
        <w:t xml:space="preserve"> </w:t>
      </w:r>
      <w:proofErr w:type="spellStart"/>
      <w:r w:rsidRPr="00F806C5">
        <w:rPr>
          <w:lang w:val="sl-SI"/>
        </w:rPr>
        <w:t>for</w:t>
      </w:r>
      <w:proofErr w:type="spellEnd"/>
      <w:r w:rsidRPr="00F806C5">
        <w:rPr>
          <w:lang w:val="sl-SI"/>
        </w:rPr>
        <w:t xml:space="preserve"> </w:t>
      </w:r>
      <w:proofErr w:type="spellStart"/>
      <w:r w:rsidRPr="00F806C5">
        <w:rPr>
          <w:lang w:val="sl-SI"/>
        </w:rPr>
        <w:t>the</w:t>
      </w:r>
      <w:proofErr w:type="spellEnd"/>
      <w:r w:rsidRPr="00F806C5">
        <w:rPr>
          <w:lang w:val="sl-SI"/>
        </w:rPr>
        <w:t xml:space="preserve"> 21st </w:t>
      </w:r>
      <w:proofErr w:type="spellStart"/>
      <w:r w:rsidRPr="00F806C5">
        <w:rPr>
          <w:lang w:val="sl-SI"/>
        </w:rPr>
        <w:t>century</w:t>
      </w:r>
      <w:proofErr w:type="spellEnd"/>
      <w:r w:rsidR="00944EB8">
        <w:rPr>
          <w:lang w:val="sl-SI"/>
        </w:rPr>
        <w:t xml:space="preserve"> </w:t>
      </w:r>
      <w:r w:rsidR="003454BD">
        <w:rPr>
          <w:lang w:val="sl-SI"/>
        </w:rPr>
        <w:fldChar w:fldCharType="begin"/>
      </w:r>
      <w:r w:rsidR="003454BD">
        <w:rPr>
          <w:lang w:val="sl-SI"/>
        </w:rPr>
        <w:instrText xml:space="preserve"> ADDIN ZOTERO_ITEM CSL_CITATION {"citationID":"6SiZs1j4","properties":{"formattedCitation":"(Cuder et al., 2023; Piccirilli et al., 2023)","plainCitation":"(Cuder et al., 2023; Piccirilli et al.,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Pr>
          <w:lang w:val="sl-SI"/>
        </w:rPr>
        <w:fldChar w:fldCharType="separate"/>
      </w:r>
      <w:r w:rsidR="003454BD" w:rsidRPr="003454BD">
        <w:rPr>
          <w:rFonts w:ascii="Calibri" w:hAnsi="Calibri" w:cs="Calibri"/>
        </w:rPr>
        <w:t>(Cuder et al., 2023; Piccirilli et al., 2023)</w:t>
      </w:r>
      <w:r w:rsidR="003454BD">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2022 PISA </w:t>
      </w:r>
      <w:proofErr w:type="spellStart"/>
      <w:r w:rsidRPr="00F806C5">
        <w:rPr>
          <w:lang w:val="sl-SI"/>
        </w:rPr>
        <w:t>results</w:t>
      </w:r>
      <w:proofErr w:type="spellEnd"/>
      <w:r w:rsidRPr="00F806C5">
        <w:rPr>
          <w:lang w:val="sl-SI"/>
        </w:rPr>
        <w:t xml:space="preserve"> </w:t>
      </w:r>
      <w:proofErr w:type="spellStart"/>
      <w:r w:rsidRPr="00F806C5">
        <w:rPr>
          <w:lang w:val="sl-SI"/>
        </w:rPr>
        <w:t>offer</w:t>
      </w:r>
      <w:proofErr w:type="spellEnd"/>
      <w:r w:rsidRPr="00F806C5">
        <w:rPr>
          <w:lang w:val="sl-SI"/>
        </w:rPr>
        <w:t xml:space="preserve"> a </w:t>
      </w:r>
      <w:proofErr w:type="spellStart"/>
      <w:r w:rsidRPr="00F806C5">
        <w:rPr>
          <w:lang w:val="sl-SI"/>
        </w:rPr>
        <w:t>fresh</w:t>
      </w:r>
      <w:proofErr w:type="spellEnd"/>
      <w:r w:rsidRPr="00F806C5">
        <w:rPr>
          <w:lang w:val="sl-SI"/>
        </w:rPr>
        <w:t xml:space="preserve"> </w:t>
      </w:r>
      <w:proofErr w:type="spellStart"/>
      <w:r w:rsidRPr="00F806C5">
        <w:rPr>
          <w:lang w:val="sl-SI"/>
        </w:rPr>
        <w:t>dataset</w:t>
      </w:r>
      <w:proofErr w:type="spellEnd"/>
      <w:r w:rsidRPr="00F806C5">
        <w:rPr>
          <w:lang w:val="sl-SI"/>
        </w:rPr>
        <w:t xml:space="preserve"> to </w:t>
      </w:r>
      <w:proofErr w:type="spellStart"/>
      <w:r w:rsidRPr="00F806C5">
        <w:rPr>
          <w:lang w:val="sl-SI"/>
        </w:rPr>
        <w:t>explore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impacts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strategies</w:t>
      </w:r>
      <w:proofErr w:type="spellEnd"/>
      <w:r w:rsidRPr="00F806C5">
        <w:rPr>
          <w:lang w:val="sl-SI"/>
        </w:rPr>
        <w:t xml:space="preserve"> </w:t>
      </w:r>
      <w:proofErr w:type="spellStart"/>
      <w:r w:rsidRPr="00F806C5">
        <w:rPr>
          <w:lang w:val="sl-SI"/>
        </w:rPr>
        <w:t>implemented</w:t>
      </w:r>
      <w:proofErr w:type="spellEnd"/>
      <w:r w:rsidRPr="00F806C5">
        <w:rPr>
          <w:lang w:val="sl-SI"/>
        </w:rPr>
        <w:t xml:space="preserve"> </w:t>
      </w:r>
      <w:proofErr w:type="spellStart"/>
      <w:r w:rsidRPr="00F806C5">
        <w:rPr>
          <w:lang w:val="sl-SI"/>
        </w:rPr>
        <w:t>across</w:t>
      </w:r>
      <w:proofErr w:type="spellEnd"/>
      <w:r w:rsidRPr="00F806C5">
        <w:rPr>
          <w:lang w:val="sl-SI"/>
        </w:rPr>
        <w:t xml:space="preserve"> </w:t>
      </w:r>
      <w:proofErr w:type="spellStart"/>
      <w:r w:rsidRPr="00F806C5">
        <w:rPr>
          <w:lang w:val="sl-SI"/>
        </w:rPr>
        <w:t>Slovenia</w:t>
      </w:r>
      <w:proofErr w:type="spellEnd"/>
      <w:r w:rsidRPr="00F806C5">
        <w:rPr>
          <w:lang w:val="sl-SI"/>
        </w:rPr>
        <w:t>.</w:t>
      </w:r>
    </w:p>
    <w:p w14:paraId="50B42FC9" w14:textId="26D80EF3" w:rsidR="00F806C5" w:rsidRPr="00F806C5" w:rsidRDefault="00F806C5" w:rsidP="00331855">
      <w:pPr>
        <w:spacing w:line="360" w:lineRule="auto"/>
        <w:rPr>
          <w:lang w:val="sl-SI"/>
        </w:rPr>
      </w:pPr>
      <w:proofErr w:type="spellStart"/>
      <w:r w:rsidRPr="00F806C5">
        <w:rPr>
          <w:lang w:val="sl-SI"/>
        </w:rPr>
        <w:t>However</w:t>
      </w:r>
      <w:proofErr w:type="spellEnd"/>
      <w:r w:rsidRPr="00F806C5">
        <w:rPr>
          <w:lang w:val="sl-SI"/>
        </w:rPr>
        <w:t xml:space="preserve">, </w:t>
      </w:r>
      <w:proofErr w:type="spellStart"/>
      <w:r w:rsidRPr="00F806C5">
        <w:rPr>
          <w:lang w:val="sl-SI"/>
        </w:rPr>
        <w:t>the</w:t>
      </w:r>
      <w:proofErr w:type="spellEnd"/>
      <w:r w:rsidRPr="00F806C5">
        <w:rPr>
          <w:lang w:val="sl-SI"/>
        </w:rPr>
        <w:t xml:space="preserve"> influence </w:t>
      </w:r>
      <w:proofErr w:type="spellStart"/>
      <w:r w:rsidRPr="00F806C5">
        <w:rPr>
          <w:lang w:val="sl-SI"/>
        </w:rPr>
        <w:t>of</w:t>
      </w:r>
      <w:proofErr w:type="spellEnd"/>
      <w:r w:rsidRPr="00F806C5">
        <w:rPr>
          <w:lang w:val="sl-SI"/>
        </w:rPr>
        <w:t xml:space="preserve"> PISA is not </w:t>
      </w:r>
      <w:proofErr w:type="spellStart"/>
      <w:r w:rsidRPr="00F806C5">
        <w:rPr>
          <w:lang w:val="sl-SI"/>
        </w:rPr>
        <w:t>without</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controversies</w:t>
      </w:r>
      <w:proofErr w:type="spellEnd"/>
      <w:r w:rsidR="002C169B">
        <w:rPr>
          <w:lang w:val="sl-SI"/>
        </w:rPr>
        <w:t xml:space="preserve"> </w:t>
      </w:r>
      <w:r w:rsidR="002C169B">
        <w:rPr>
          <w:lang w:val="sl-SI"/>
        </w:rPr>
        <w:fldChar w:fldCharType="begin"/>
      </w:r>
      <w:r w:rsidR="00EE0523">
        <w:rPr>
          <w:lang w:val="sl-SI"/>
        </w:rPr>
        <w:instrText xml:space="preserve"> ADDIN ZOTERO_ITEM CSL_CITATION {"citationID":"aCUSiIqe","properties":{"formattedCitation":"(Jerrim et al., 2024)","plainCitation":"(Jerrim et al., 2024)","dontUpdate":true,"noteIndex":0},"citationItems":[{"id":883,"uris":["http://zotero.org/users/local/1Uxvmohd/items/MAELRLPM"],"itemData":{"id":883,"type":"article-journal","container-title":"British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Pr>
          <w:lang w:val="sl-SI"/>
        </w:rPr>
        <w:fldChar w:fldCharType="separate"/>
      </w:r>
      <w:r w:rsidR="002C169B" w:rsidRPr="002C169B">
        <w:rPr>
          <w:rFonts w:ascii="Calibri" w:hAnsi="Calibri" w:cs="Calibri"/>
        </w:rPr>
        <w:t>(</w:t>
      </w:r>
      <w:r w:rsidR="002C169B">
        <w:rPr>
          <w:rFonts w:ascii="Calibri" w:hAnsi="Calibri" w:cs="Calibri"/>
        </w:rPr>
        <w:t xml:space="preserve">see </w:t>
      </w:r>
      <w:r w:rsidR="002C169B" w:rsidRPr="002C169B">
        <w:rPr>
          <w:rFonts w:ascii="Calibri" w:hAnsi="Calibri" w:cs="Calibri"/>
        </w:rPr>
        <w:t xml:space="preserve">Jerrim et al., </w:t>
      </w:r>
      <w:r w:rsidR="002C169B">
        <w:rPr>
          <w:rFonts w:ascii="Calibri" w:hAnsi="Calibri" w:cs="Calibri"/>
        </w:rPr>
        <w:t>(</w:t>
      </w:r>
      <w:r w:rsidR="002C169B" w:rsidRPr="002C169B">
        <w:rPr>
          <w:rFonts w:ascii="Calibri" w:hAnsi="Calibri" w:cs="Calibri"/>
        </w:rPr>
        <w:t>2024</w:t>
      </w:r>
      <w:r w:rsidR="002C169B">
        <w:rPr>
          <w:rFonts w:ascii="Calibri" w:hAnsi="Calibri" w:cs="Calibri"/>
        </w:rPr>
        <w:t>) for all of the below cons of such international assessments</w:t>
      </w:r>
      <w:r w:rsidR="002C169B" w:rsidRPr="002C169B">
        <w:rPr>
          <w:rFonts w:ascii="Calibri" w:hAnsi="Calibri" w:cs="Calibri"/>
        </w:rPr>
        <w:t>)</w:t>
      </w:r>
      <w:r w:rsidR="002C169B">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focus</w:t>
      </w:r>
      <w:proofErr w:type="spellEnd"/>
      <w:r w:rsidRPr="00F806C5">
        <w:rPr>
          <w:lang w:val="sl-SI"/>
        </w:rPr>
        <w:t xml:space="preserve"> on PISA </w:t>
      </w:r>
      <w:proofErr w:type="spellStart"/>
      <w:r w:rsidRPr="00F806C5">
        <w:rPr>
          <w:lang w:val="sl-SI"/>
        </w:rPr>
        <w:t>scores</w:t>
      </w:r>
      <w:proofErr w:type="spellEnd"/>
      <w:r w:rsidRPr="00F806C5">
        <w:rPr>
          <w:lang w:val="sl-SI"/>
        </w:rPr>
        <w:t xml:space="preserve"> </w:t>
      </w:r>
      <w:proofErr w:type="spellStart"/>
      <w:r w:rsidRPr="00F806C5">
        <w:rPr>
          <w:lang w:val="sl-SI"/>
        </w:rPr>
        <w:t>has</w:t>
      </w:r>
      <w:proofErr w:type="spellEnd"/>
      <w:r w:rsidRPr="00F806C5">
        <w:rPr>
          <w:lang w:val="sl-SI"/>
        </w:rPr>
        <w:t xml:space="preserve"> led some </w:t>
      </w:r>
      <w:proofErr w:type="spellStart"/>
      <w:r w:rsidRPr="00F806C5">
        <w:rPr>
          <w:lang w:val="sl-SI"/>
        </w:rPr>
        <w:t>countries</w:t>
      </w:r>
      <w:proofErr w:type="spellEnd"/>
      <w:r w:rsidRPr="00F806C5">
        <w:rPr>
          <w:lang w:val="sl-SI"/>
        </w:rPr>
        <w:t xml:space="preserve"> to </w:t>
      </w:r>
      <w:proofErr w:type="spellStart"/>
      <w:r w:rsidRPr="00F806C5">
        <w:rPr>
          <w:lang w:val="sl-SI"/>
        </w:rPr>
        <w:t>craft</w:t>
      </w:r>
      <w:proofErr w:type="spellEnd"/>
      <w:r w:rsidRPr="00F806C5">
        <w:rPr>
          <w:lang w:val="sl-SI"/>
        </w:rPr>
        <w:t xml:space="preserve"> </w:t>
      </w:r>
      <w:proofErr w:type="spellStart"/>
      <w:r w:rsidRPr="00F806C5">
        <w:rPr>
          <w:lang w:val="sl-SI"/>
        </w:rPr>
        <w:t>narratives</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may</w:t>
      </w:r>
      <w:proofErr w:type="spellEnd"/>
      <w:r w:rsidRPr="00F806C5">
        <w:rPr>
          <w:lang w:val="sl-SI"/>
        </w:rPr>
        <w:t xml:space="preserve"> not </w:t>
      </w:r>
      <w:proofErr w:type="spellStart"/>
      <w:r w:rsidRPr="00F806C5">
        <w:rPr>
          <w:lang w:val="sl-SI"/>
        </w:rPr>
        <w:t>fully</w:t>
      </w:r>
      <w:proofErr w:type="spellEnd"/>
      <w:r w:rsidRPr="00F806C5">
        <w:rPr>
          <w:lang w:val="sl-SI"/>
        </w:rPr>
        <w:t xml:space="preserve"> </w:t>
      </w:r>
      <w:proofErr w:type="spellStart"/>
      <w:r w:rsidRPr="00F806C5">
        <w:rPr>
          <w:lang w:val="sl-SI"/>
        </w:rPr>
        <w:t>reflect</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broader</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context</w:t>
      </w:r>
      <w:proofErr w:type="spellEnd"/>
      <w:r w:rsidRPr="00F806C5">
        <w:rPr>
          <w:lang w:val="sl-SI"/>
        </w:rPr>
        <w:t xml:space="preserve">, </w:t>
      </w:r>
      <w:proofErr w:type="spellStart"/>
      <w:r w:rsidRPr="00F806C5">
        <w:rPr>
          <w:lang w:val="sl-SI"/>
        </w:rPr>
        <w:t>potentially</w:t>
      </w:r>
      <w:proofErr w:type="spellEnd"/>
      <w:r w:rsidRPr="00F806C5">
        <w:rPr>
          <w:lang w:val="sl-SI"/>
        </w:rPr>
        <w:t xml:space="preserve"> </w:t>
      </w:r>
      <w:proofErr w:type="spellStart"/>
      <w:r w:rsidRPr="00F806C5">
        <w:rPr>
          <w:lang w:val="sl-SI"/>
        </w:rPr>
        <w:t>leading</w:t>
      </w:r>
      <w:proofErr w:type="spellEnd"/>
      <w:r w:rsidRPr="00F806C5">
        <w:rPr>
          <w:lang w:val="sl-SI"/>
        </w:rPr>
        <w:t xml:space="preserve"> to a </w:t>
      </w:r>
      <w:proofErr w:type="spellStart"/>
      <w:r w:rsidRPr="00F806C5">
        <w:rPr>
          <w:lang w:val="sl-SI"/>
        </w:rPr>
        <w:t>narrowed</w:t>
      </w:r>
      <w:proofErr w:type="spellEnd"/>
      <w:r w:rsidRPr="00F806C5">
        <w:rPr>
          <w:lang w:val="sl-SI"/>
        </w:rPr>
        <w:t xml:space="preserve"> </w:t>
      </w:r>
      <w:proofErr w:type="spellStart"/>
      <w:r w:rsidRPr="00F806C5">
        <w:rPr>
          <w:lang w:val="sl-SI"/>
        </w:rPr>
        <w:t>curriculum</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prioritizes</w:t>
      </w:r>
      <w:proofErr w:type="spellEnd"/>
      <w:r w:rsidRPr="00F806C5">
        <w:rPr>
          <w:lang w:val="sl-SI"/>
        </w:rPr>
        <w:t xml:space="preserve"> PISA-</w:t>
      </w:r>
      <w:proofErr w:type="spellStart"/>
      <w:r w:rsidRPr="00F806C5">
        <w:rPr>
          <w:lang w:val="sl-SI"/>
        </w:rPr>
        <w:t>related</w:t>
      </w:r>
      <w:proofErr w:type="spellEnd"/>
      <w:r w:rsidRPr="00F806C5">
        <w:rPr>
          <w:lang w:val="sl-SI"/>
        </w:rPr>
        <w:t xml:space="preserve"> </w:t>
      </w:r>
      <w:proofErr w:type="spellStart"/>
      <w:r w:rsidRPr="00F806C5">
        <w:rPr>
          <w:lang w:val="sl-SI"/>
        </w:rPr>
        <w:t>subjects</w:t>
      </w:r>
      <w:proofErr w:type="spellEnd"/>
      <w:r w:rsidRPr="00F806C5">
        <w:rPr>
          <w:lang w:val="sl-SI"/>
        </w:rPr>
        <w:t xml:space="preserve"> at </w:t>
      </w:r>
      <w:proofErr w:type="spellStart"/>
      <w:r w:rsidRPr="00F806C5">
        <w:rPr>
          <w:lang w:val="sl-SI"/>
        </w:rPr>
        <w:t>the</w:t>
      </w:r>
      <w:proofErr w:type="spellEnd"/>
      <w:r w:rsidRPr="00F806C5">
        <w:rPr>
          <w:lang w:val="sl-SI"/>
        </w:rPr>
        <w:t xml:space="preserve"> </w:t>
      </w:r>
      <w:proofErr w:type="spellStart"/>
      <w:r w:rsidRPr="00F806C5">
        <w:rPr>
          <w:lang w:val="sl-SI"/>
        </w:rPr>
        <w:t>expense</w:t>
      </w:r>
      <w:proofErr w:type="spellEnd"/>
      <w:r w:rsidRPr="00F806C5">
        <w:rPr>
          <w:lang w:val="sl-SI"/>
        </w:rPr>
        <w:t xml:space="preserve"> </w:t>
      </w:r>
      <w:proofErr w:type="spellStart"/>
      <w:r w:rsidRPr="00F806C5">
        <w:rPr>
          <w:lang w:val="sl-SI"/>
        </w:rPr>
        <w:t>of</w:t>
      </w:r>
      <w:proofErr w:type="spellEnd"/>
      <w:r w:rsidRPr="00F806C5">
        <w:rPr>
          <w:lang w:val="sl-SI"/>
        </w:rPr>
        <w:t xml:space="preserve"> a more </w:t>
      </w:r>
      <w:proofErr w:type="spellStart"/>
      <w:r w:rsidRPr="00F806C5">
        <w:rPr>
          <w:lang w:val="sl-SI"/>
        </w:rPr>
        <w:t>holistic</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approach</w:t>
      </w:r>
      <w:proofErr w:type="spellEnd"/>
      <w:r w:rsidRPr="00F806C5">
        <w:rPr>
          <w:lang w:val="sl-SI"/>
        </w:rPr>
        <w:t xml:space="preserve">. </w:t>
      </w:r>
      <w:proofErr w:type="spellStart"/>
      <w:r w:rsidRPr="00F806C5">
        <w:rPr>
          <w:lang w:val="sl-SI"/>
        </w:rPr>
        <w:t>Furthermore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involvement</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private</w:t>
      </w:r>
      <w:proofErr w:type="spellEnd"/>
      <w:r w:rsidRPr="00F806C5">
        <w:rPr>
          <w:lang w:val="sl-SI"/>
        </w:rPr>
        <w:t xml:space="preserve"> </w:t>
      </w:r>
      <w:proofErr w:type="spellStart"/>
      <w:r w:rsidRPr="00F806C5">
        <w:rPr>
          <w:lang w:val="sl-SI"/>
        </w:rPr>
        <w:t>companies</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administration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development</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assessments</w:t>
      </w:r>
      <w:proofErr w:type="spellEnd"/>
      <w:r w:rsidRPr="00F806C5">
        <w:rPr>
          <w:lang w:val="sl-SI"/>
        </w:rPr>
        <w:t xml:space="preserve"> </w:t>
      </w:r>
      <w:proofErr w:type="spellStart"/>
      <w:r w:rsidRPr="00F806C5">
        <w:rPr>
          <w:lang w:val="sl-SI"/>
        </w:rPr>
        <w:t>raises</w:t>
      </w:r>
      <w:proofErr w:type="spellEnd"/>
      <w:r w:rsidRPr="00F806C5">
        <w:rPr>
          <w:lang w:val="sl-SI"/>
        </w:rPr>
        <w:t xml:space="preserve"> </w:t>
      </w:r>
      <w:proofErr w:type="spellStart"/>
      <w:r w:rsidRPr="00F806C5">
        <w:rPr>
          <w:lang w:val="sl-SI"/>
        </w:rPr>
        <w:t>concerns</w:t>
      </w:r>
      <w:proofErr w:type="spellEnd"/>
      <w:r w:rsidRPr="00F806C5">
        <w:rPr>
          <w:lang w:val="sl-SI"/>
        </w:rPr>
        <w:t xml:space="preserve"> </w:t>
      </w:r>
      <w:proofErr w:type="spellStart"/>
      <w:r w:rsidRPr="00F806C5">
        <w:rPr>
          <w:lang w:val="sl-SI"/>
        </w:rPr>
        <w:t>about</w:t>
      </w:r>
      <w:proofErr w:type="spellEnd"/>
      <w:r w:rsidRPr="00F806C5">
        <w:rPr>
          <w:lang w:val="sl-SI"/>
        </w:rPr>
        <w:t xml:space="preserve"> </w:t>
      </w:r>
      <w:proofErr w:type="spellStart"/>
      <w:r w:rsidRPr="00F806C5">
        <w:rPr>
          <w:lang w:val="sl-SI"/>
        </w:rPr>
        <w:t>commercial</w:t>
      </w:r>
      <w:proofErr w:type="spellEnd"/>
      <w:r w:rsidRPr="00F806C5">
        <w:rPr>
          <w:lang w:val="sl-SI"/>
        </w:rPr>
        <w:t xml:space="preserve"> </w:t>
      </w:r>
      <w:proofErr w:type="spellStart"/>
      <w:r w:rsidRPr="00F806C5">
        <w:rPr>
          <w:lang w:val="sl-SI"/>
        </w:rPr>
        <w:t>interests</w:t>
      </w:r>
      <w:proofErr w:type="spellEnd"/>
      <w:r w:rsidRPr="00F806C5">
        <w:rPr>
          <w:lang w:val="sl-SI"/>
        </w:rPr>
        <w:t xml:space="preserve"> </w:t>
      </w:r>
      <w:proofErr w:type="spellStart"/>
      <w:r w:rsidRPr="00F806C5">
        <w:rPr>
          <w:lang w:val="sl-SI"/>
        </w:rPr>
        <w:t>possibly</w:t>
      </w:r>
      <w:proofErr w:type="spellEnd"/>
      <w:r w:rsidRPr="00F806C5">
        <w:rPr>
          <w:lang w:val="sl-SI"/>
        </w:rPr>
        <w:t xml:space="preserve"> </w:t>
      </w:r>
      <w:proofErr w:type="spellStart"/>
      <w:r w:rsidRPr="00F806C5">
        <w:rPr>
          <w:lang w:val="sl-SI"/>
        </w:rPr>
        <w:t>overriding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objectives</w:t>
      </w:r>
      <w:proofErr w:type="spellEnd"/>
      <w:r w:rsidRPr="00F806C5">
        <w:rPr>
          <w:lang w:val="sl-SI"/>
        </w:rPr>
        <w:t xml:space="preserve">. </w:t>
      </w:r>
      <w:proofErr w:type="spellStart"/>
      <w:r w:rsidRPr="00F806C5">
        <w:rPr>
          <w:lang w:val="sl-SI"/>
        </w:rPr>
        <w:t>This</w:t>
      </w:r>
      <w:proofErr w:type="spellEnd"/>
      <w:r w:rsidRPr="00F806C5">
        <w:rPr>
          <w:lang w:val="sl-SI"/>
        </w:rPr>
        <w:t xml:space="preserve">, </w:t>
      </w:r>
      <w:proofErr w:type="spellStart"/>
      <w:r w:rsidRPr="00F806C5">
        <w:rPr>
          <w:lang w:val="sl-SI"/>
        </w:rPr>
        <w:t>coupled</w:t>
      </w:r>
      <w:proofErr w:type="spellEnd"/>
      <w:r w:rsidRPr="00F806C5">
        <w:rPr>
          <w:lang w:val="sl-SI"/>
        </w:rPr>
        <w:t xml:space="preserve"> </w:t>
      </w:r>
      <w:proofErr w:type="spellStart"/>
      <w:r w:rsidRPr="00F806C5">
        <w:rPr>
          <w:lang w:val="sl-SI"/>
        </w:rPr>
        <w:t>with</w:t>
      </w:r>
      <w:proofErr w:type="spellEnd"/>
      <w:r w:rsidRPr="00F806C5">
        <w:rPr>
          <w:lang w:val="sl-SI"/>
        </w:rPr>
        <w:t xml:space="preserve"> a </w:t>
      </w:r>
      <w:proofErr w:type="spellStart"/>
      <w:r w:rsidRPr="00F806C5">
        <w:rPr>
          <w:lang w:val="sl-SI"/>
        </w:rPr>
        <w:t>lack</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transparency</w:t>
      </w:r>
      <w:proofErr w:type="spellEnd"/>
      <w:r w:rsidRPr="00F806C5">
        <w:rPr>
          <w:lang w:val="sl-SI"/>
        </w:rPr>
        <w:t xml:space="preserve"> in data </w:t>
      </w:r>
      <w:proofErr w:type="spellStart"/>
      <w:r w:rsidRPr="00F806C5">
        <w:rPr>
          <w:lang w:val="sl-SI"/>
        </w:rPr>
        <w:t>handling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result</w:t>
      </w:r>
      <w:proofErr w:type="spellEnd"/>
      <w:r w:rsidRPr="00F806C5">
        <w:rPr>
          <w:lang w:val="sl-SI"/>
        </w:rPr>
        <w:t xml:space="preserve"> </w:t>
      </w:r>
      <w:proofErr w:type="spellStart"/>
      <w:r w:rsidRPr="00F806C5">
        <w:rPr>
          <w:lang w:val="sl-SI"/>
        </w:rPr>
        <w:t>interpretation</w:t>
      </w:r>
      <w:proofErr w:type="spellEnd"/>
      <w:r w:rsidRPr="00F806C5">
        <w:rPr>
          <w:lang w:val="sl-SI"/>
        </w:rPr>
        <w:t xml:space="preserve">, </w:t>
      </w:r>
      <w:proofErr w:type="spellStart"/>
      <w:r w:rsidRPr="00F806C5">
        <w:rPr>
          <w:lang w:val="sl-SI"/>
        </w:rPr>
        <w:t>poses</w:t>
      </w:r>
      <w:proofErr w:type="spellEnd"/>
      <w:r w:rsidRPr="00F806C5">
        <w:rPr>
          <w:lang w:val="sl-SI"/>
        </w:rPr>
        <w:t xml:space="preserve"> </w:t>
      </w:r>
      <w:proofErr w:type="spellStart"/>
      <w:r w:rsidRPr="00F806C5">
        <w:rPr>
          <w:lang w:val="sl-SI"/>
        </w:rPr>
        <w:t>significant</w:t>
      </w:r>
      <w:proofErr w:type="spellEnd"/>
      <w:r w:rsidRPr="00F806C5">
        <w:rPr>
          <w:lang w:val="sl-SI"/>
        </w:rPr>
        <w:t xml:space="preserve"> </w:t>
      </w:r>
      <w:proofErr w:type="spellStart"/>
      <w:r w:rsidRPr="00F806C5">
        <w:rPr>
          <w:lang w:val="sl-SI"/>
        </w:rPr>
        <w:t>ethical</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operational</w:t>
      </w:r>
      <w:proofErr w:type="spellEnd"/>
      <w:r w:rsidRPr="00F806C5">
        <w:rPr>
          <w:lang w:val="sl-SI"/>
        </w:rPr>
        <w:t xml:space="preserve"> </w:t>
      </w:r>
      <w:proofErr w:type="spellStart"/>
      <w:r w:rsidRPr="00F806C5">
        <w:rPr>
          <w:lang w:val="sl-SI"/>
        </w:rPr>
        <w:t>challenges</w:t>
      </w:r>
      <w:proofErr w:type="spellEnd"/>
      <w:r w:rsidRPr="00F806C5">
        <w:rPr>
          <w:lang w:val="sl-SI"/>
        </w:rPr>
        <w:t>.</w:t>
      </w:r>
    </w:p>
    <w:p w14:paraId="529A79AC" w14:textId="5810392D" w:rsidR="00D120D4" w:rsidRDefault="00D120D4" w:rsidP="00D120D4">
      <w:pPr>
        <w:pStyle w:val="Heading3"/>
        <w:numPr>
          <w:ilvl w:val="1"/>
          <w:numId w:val="11"/>
        </w:numPr>
        <w:rPr>
          <w:lang w:val="en-US"/>
        </w:rPr>
      </w:pPr>
      <w:r>
        <w:rPr>
          <w:lang w:val="en-US"/>
        </w:rPr>
        <w:lastRenderedPageBreak/>
        <w:t>Instruction methods</w:t>
      </w:r>
    </w:p>
    <w:p w14:paraId="648BEF93" w14:textId="1DFFED27" w:rsidR="00F806C5" w:rsidRPr="00F806C5" w:rsidRDefault="00F806C5" w:rsidP="00F806C5">
      <w:pPr>
        <w:rPr>
          <w:lang w:val="en-US"/>
        </w:rPr>
      </w:pPr>
      <w:r w:rsidRPr="00F806C5">
        <w:rPr>
          <w:lang w:val="en-US"/>
        </w:rPr>
        <w:t>In the pursuit of educational excellence, educators continuously seek innovative instructional methods to enhance student learning outcomes</w:t>
      </w:r>
      <w:r w:rsidR="00E8566F">
        <w:rPr>
          <w:lang w:val="en-US"/>
        </w:rPr>
        <w:t xml:space="preserve"> </w:t>
      </w:r>
      <w:r w:rsidR="00E8566F">
        <w:rPr>
          <w:lang w:val="en-US"/>
        </w:rPr>
        <w:fldChar w:fldCharType="begin"/>
      </w:r>
      <w:r w:rsidR="00E8566F">
        <w:rPr>
          <w:lang w:val="en-US"/>
        </w:rPr>
        <w:instrText xml:space="preserve"> ADDIN ZOTERO_ITEM CSL_CITATION {"citationID":"4EF9csaQ","properties":{"formattedCitation":"(Raj Sharma et al., 2023)","plainCitation":"(Raj Sharma et al., 2023)","noteIndex":0},"citationItems":[{"id":884,"uris":["http://zotero.org/users/local/1Uxvmohd/items/VQRDSDKZ"],"itemData":{"id":884,"type":"article-journal","abstract":"The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Pr>
          <w:lang w:val="en-US"/>
        </w:rPr>
        <w:fldChar w:fldCharType="separate"/>
      </w:r>
      <w:r w:rsidR="00E8566F" w:rsidRPr="00E8566F">
        <w:rPr>
          <w:rFonts w:ascii="Calibri" w:hAnsi="Calibri" w:cs="Calibri"/>
        </w:rPr>
        <w:t>(Raj Sharma et al., 2023)</w:t>
      </w:r>
      <w:r w:rsidR="00E8566F">
        <w:rPr>
          <w:lang w:val="en-US"/>
        </w:rPr>
        <w:fldChar w:fldCharType="end"/>
      </w:r>
      <w:r w:rsidRPr="00F806C5">
        <w:rPr>
          <w:lang w:val="en-US"/>
        </w:rPr>
        <w:t>, particularly in subjects like mathematics</w:t>
      </w:r>
      <w:r w:rsidR="00E8566F">
        <w:rPr>
          <w:lang w:val="en-US"/>
        </w:rPr>
        <w:t xml:space="preserve"> </w:t>
      </w:r>
      <w:r w:rsidR="00E8566F">
        <w:rPr>
          <w:lang w:val="en-US"/>
        </w:rPr>
        <w:fldChar w:fldCharType="begin"/>
      </w:r>
      <w:r w:rsidR="00E8566F">
        <w:rPr>
          <w:lang w:val="en-US"/>
        </w:rPr>
        <w:instrText xml:space="preserve"> ADDIN ZOTERO_ITEM CSL_CITATION {"citationID":"ADpLFAFa","properties":{"formattedCitation":"(Ogbuehi &amp; Fraser, 2007)","plainCitation":"(Ogbuehi &amp; Fraser, 2007)","noteIndex":0},"citationItems":[{"id":886,"uris":["http://zotero.org/users/local/1Uxvmohd/items/ISLURJK3"],"itemData":{"id":886,"type":"article-journal","container-title":"Learning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Pr>
          <w:lang w:val="en-US"/>
        </w:rPr>
        <w:fldChar w:fldCharType="separate"/>
      </w:r>
      <w:r w:rsidR="00E8566F" w:rsidRPr="00E8566F">
        <w:rPr>
          <w:rFonts w:ascii="Calibri" w:hAnsi="Calibri" w:cs="Calibri"/>
        </w:rPr>
        <w:t>(Ogbuehi &amp; Fraser, 2007)</w:t>
      </w:r>
      <w:r w:rsidR="00E8566F">
        <w:rPr>
          <w:lang w:val="en-US"/>
        </w:rPr>
        <w:fldChar w:fldCharType="end"/>
      </w:r>
      <w:r w:rsidRPr="00F806C5">
        <w:rPr>
          <w:lang w:val="en-US"/>
        </w:rPr>
        <w:t>. Additional mathematics instruction plays a pivotal role in providing students with supplemental support and opportunities for enrichment beyond the traditional setting. These supplementary methods encompass a diverse range of approaches, from personalized one-on-one tutoring to collaborative group study sessions, facilitated by both human instructors and digital resources.</w:t>
      </w:r>
    </w:p>
    <w:p w14:paraId="03A1AD6D" w14:textId="6772D2CF" w:rsidR="00D120D4" w:rsidRDefault="00F806C5" w:rsidP="00F806C5">
      <w:pPr>
        <w:rPr>
          <w:lang w:val="en-US"/>
        </w:rPr>
      </w:pPr>
      <w:r w:rsidRPr="00F806C5">
        <w:rPr>
          <w:lang w:val="en-US"/>
        </w:rPr>
        <w:t>Understanding the effectiveness of these instructional methods is essential for educators and policymakers aiming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F806C5" w:rsidRDefault="00F806C5" w:rsidP="00F806C5">
      <w:pPr>
        <w:rPr>
          <w:lang w:val="sl-SI"/>
        </w:rPr>
      </w:pPr>
      <w:proofErr w:type="spellStart"/>
      <w:r w:rsidRPr="00F806C5">
        <w:rPr>
          <w:lang w:val="sl-SI"/>
        </w:rPr>
        <w:t>Additional</w:t>
      </w:r>
      <w:proofErr w:type="spellEnd"/>
      <w:r w:rsidRPr="00F806C5">
        <w:rPr>
          <w:lang w:val="sl-SI"/>
        </w:rPr>
        <w:t xml:space="preserve"> </w:t>
      </w:r>
      <w:proofErr w:type="spellStart"/>
      <w:r w:rsidRPr="00F806C5">
        <w:rPr>
          <w:lang w:val="sl-SI"/>
        </w:rPr>
        <w:t>instructional</w:t>
      </w:r>
      <w:proofErr w:type="spellEnd"/>
      <w:r w:rsidRPr="00F806C5">
        <w:rPr>
          <w:lang w:val="sl-SI"/>
        </w:rPr>
        <w:t xml:space="preserve"> </w:t>
      </w:r>
      <w:proofErr w:type="spellStart"/>
      <w:r w:rsidRPr="00F806C5">
        <w:rPr>
          <w:lang w:val="sl-SI"/>
        </w:rPr>
        <w:t>methods</w:t>
      </w:r>
      <w:proofErr w:type="spellEnd"/>
      <w:r w:rsidRPr="00F806C5">
        <w:rPr>
          <w:lang w:val="sl-SI"/>
        </w:rPr>
        <w:t xml:space="preserve"> in </w:t>
      </w:r>
      <w:proofErr w:type="spellStart"/>
      <w:r w:rsidRPr="00F806C5">
        <w:rPr>
          <w:lang w:val="sl-SI"/>
        </w:rPr>
        <w:t>mathematics</w:t>
      </w:r>
      <w:proofErr w:type="spellEnd"/>
      <w:r w:rsidRPr="00F806C5">
        <w:rPr>
          <w:lang w:val="sl-SI"/>
        </w:rPr>
        <w:t xml:space="preserve"> </w:t>
      </w:r>
      <w:proofErr w:type="spellStart"/>
      <w:r w:rsidRPr="00F806C5">
        <w:rPr>
          <w:lang w:val="sl-SI"/>
        </w:rPr>
        <w:t>encompass</w:t>
      </w:r>
      <w:proofErr w:type="spellEnd"/>
      <w:r w:rsidRPr="00F806C5">
        <w:rPr>
          <w:lang w:val="sl-SI"/>
        </w:rPr>
        <w:t xml:space="preserve"> a </w:t>
      </w:r>
      <w:proofErr w:type="spellStart"/>
      <w:r w:rsidRPr="00F806C5">
        <w:rPr>
          <w:lang w:val="sl-SI"/>
        </w:rPr>
        <w:t>variety</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approaches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understanding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proficiency</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subject</w:t>
      </w:r>
      <w:proofErr w:type="spellEnd"/>
      <w:r w:rsidRPr="00F806C5">
        <w:rPr>
          <w:lang w:val="sl-SI"/>
        </w:rPr>
        <w:t xml:space="preserve">. </w:t>
      </w:r>
      <w:proofErr w:type="spellStart"/>
      <w:r w:rsidRPr="00F806C5">
        <w:rPr>
          <w:lang w:val="sl-SI"/>
        </w:rPr>
        <w:t>These</w:t>
      </w:r>
      <w:proofErr w:type="spellEnd"/>
      <w:r w:rsidRPr="00F806C5">
        <w:rPr>
          <w:lang w:val="sl-SI"/>
        </w:rPr>
        <w:t xml:space="preserve"> </w:t>
      </w:r>
      <w:proofErr w:type="spellStart"/>
      <w:r w:rsidRPr="00F806C5">
        <w:rPr>
          <w:lang w:val="sl-SI"/>
        </w:rPr>
        <w:t>methods</w:t>
      </w:r>
      <w:proofErr w:type="spellEnd"/>
      <w:r w:rsidRPr="00F806C5">
        <w:rPr>
          <w:lang w:val="sl-SI"/>
        </w:rPr>
        <w:t xml:space="preserve"> </w:t>
      </w:r>
      <w:proofErr w:type="spellStart"/>
      <w:r w:rsidRPr="00F806C5">
        <w:rPr>
          <w:lang w:val="sl-SI"/>
        </w:rPr>
        <w:t>may</w:t>
      </w:r>
      <w:proofErr w:type="spellEnd"/>
      <w:r w:rsidRPr="00F806C5">
        <w:rPr>
          <w:lang w:val="sl-SI"/>
        </w:rPr>
        <w:t xml:space="preserve"> </w:t>
      </w:r>
      <w:proofErr w:type="spellStart"/>
      <w:r w:rsidRPr="00F806C5">
        <w:rPr>
          <w:lang w:val="sl-SI"/>
        </w:rPr>
        <w:t>include</w:t>
      </w:r>
      <w:proofErr w:type="spellEnd"/>
      <w:r w:rsidRPr="00F806C5">
        <w:rPr>
          <w:lang w:val="sl-SI"/>
        </w:rPr>
        <w:t>:</w:t>
      </w:r>
    </w:p>
    <w:p w14:paraId="175786C9" w14:textId="4BEA83EE" w:rsidR="00F806C5" w:rsidRPr="00F806C5" w:rsidRDefault="00F806C5" w:rsidP="00F806C5">
      <w:pPr>
        <w:numPr>
          <w:ilvl w:val="0"/>
          <w:numId w:val="13"/>
        </w:numPr>
        <w:rPr>
          <w:lang w:val="sl-SI"/>
        </w:rPr>
      </w:pPr>
      <w:r w:rsidRPr="00F806C5">
        <w:rPr>
          <w:lang w:val="sl-SI"/>
        </w:rPr>
        <w:t xml:space="preserve">One-on-one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person</w:t>
      </w:r>
      <w:r w:rsidR="00EE0523">
        <w:rPr>
          <w:lang w:val="sl-SI"/>
        </w:rPr>
        <w:t xml:space="preserve"> </w:t>
      </w:r>
      <w:r w:rsidR="00EE0523">
        <w:rPr>
          <w:lang w:val="sl-SI"/>
        </w:rPr>
        <w:fldChar w:fldCharType="begin"/>
      </w:r>
      <w:r w:rsidR="00EE0523">
        <w:rPr>
          <w:lang w:val="sl-SI"/>
        </w:rPr>
        <w:instrText xml:space="preserve"> ADDIN ZOTERO_ITEM CSL_CITATION {"citationID":"TzARVFhA","properties":{"formattedCitation":"(Kochmanski &amp; Cobb, 2023)","plainCitation":"(Kochmanski &amp; Cobb, 2023)","noteIndex":0},"citationItems":[{"id":887,"uris":["http://zotero.org/users/local/1Uxvmohd/items/JUTULRFX"],"itemData":{"id":887,"type":"article-journal","abstract":"A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Pr>
          <w:lang w:val="sl-SI"/>
        </w:rPr>
        <w:fldChar w:fldCharType="separate"/>
      </w:r>
      <w:r w:rsidR="00EE0523" w:rsidRPr="00EE0523">
        <w:rPr>
          <w:rFonts w:ascii="Calibri" w:hAnsi="Calibri" w:cs="Calibri"/>
        </w:rPr>
        <w:t>(Kochmanski &amp; Cobb, 2023)</w:t>
      </w:r>
      <w:r w:rsidR="00EE0523">
        <w:rPr>
          <w:lang w:val="sl-SI"/>
        </w:rPr>
        <w:fldChar w:fldCharType="end"/>
      </w:r>
      <w:r w:rsidRPr="00F806C5">
        <w:rPr>
          <w:lang w:val="sl-SI"/>
        </w:rPr>
        <w:t xml:space="preserve">: </w:t>
      </w:r>
      <w:proofErr w:type="spellStart"/>
      <w:r w:rsidRPr="00F806C5">
        <w:rPr>
          <w:lang w:val="sl-SI"/>
        </w:rPr>
        <w:t>Individualized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provided</w:t>
      </w:r>
      <w:proofErr w:type="spellEnd"/>
      <w:r w:rsidRPr="00F806C5">
        <w:rPr>
          <w:lang w:val="sl-SI"/>
        </w:rPr>
        <w:t xml:space="preserve"> </w:t>
      </w:r>
      <w:proofErr w:type="spellStart"/>
      <w:r w:rsidRPr="00F806C5">
        <w:rPr>
          <w:lang w:val="sl-SI"/>
        </w:rPr>
        <w:t>by</w:t>
      </w:r>
      <w:proofErr w:type="spellEnd"/>
      <w:r w:rsidRPr="00F806C5">
        <w:rPr>
          <w:lang w:val="sl-SI"/>
        </w:rPr>
        <w:t xml:space="preserve"> a tutor </w:t>
      </w:r>
      <w:proofErr w:type="spellStart"/>
      <w:r w:rsidRPr="00F806C5">
        <w:rPr>
          <w:lang w:val="sl-SI"/>
        </w:rPr>
        <w:t>tailored</w:t>
      </w:r>
      <w:proofErr w:type="spellEnd"/>
      <w:r w:rsidRPr="00F806C5">
        <w:rPr>
          <w:lang w:val="sl-SI"/>
        </w:rPr>
        <w:t xml:space="preserve"> to </w:t>
      </w:r>
      <w:proofErr w:type="spellStart"/>
      <w:r w:rsidRPr="00F806C5">
        <w:rPr>
          <w:lang w:val="sl-SI"/>
        </w:rPr>
        <w:t>the</w:t>
      </w:r>
      <w:proofErr w:type="spellEnd"/>
      <w:r w:rsidRPr="00F806C5">
        <w:rPr>
          <w:lang w:val="sl-SI"/>
        </w:rPr>
        <w:t xml:space="preserve"> </w:t>
      </w:r>
      <w:proofErr w:type="spellStart"/>
      <w:r w:rsidRPr="00F806C5">
        <w:rPr>
          <w:lang w:val="sl-SI"/>
        </w:rPr>
        <w:t>specific</w:t>
      </w:r>
      <w:proofErr w:type="spellEnd"/>
      <w:r w:rsidRPr="00F806C5">
        <w:rPr>
          <w:lang w:val="sl-SI"/>
        </w:rPr>
        <w:t xml:space="preserve"> </w:t>
      </w:r>
      <w:proofErr w:type="spellStart"/>
      <w:r w:rsidRPr="00F806C5">
        <w:rPr>
          <w:lang w:val="sl-SI"/>
        </w:rPr>
        <w:t>needs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styles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student</w:t>
      </w:r>
      <w:proofErr w:type="spellEnd"/>
      <w:r w:rsidRPr="00F806C5">
        <w:rPr>
          <w:lang w:val="sl-SI"/>
        </w:rPr>
        <w:t>.</w:t>
      </w:r>
    </w:p>
    <w:p w14:paraId="13DA7A47" w14:textId="53415A2C" w:rsidR="00F806C5" w:rsidRPr="00F806C5" w:rsidRDefault="00F806C5" w:rsidP="00F806C5">
      <w:pPr>
        <w:numPr>
          <w:ilvl w:val="0"/>
          <w:numId w:val="13"/>
        </w:numPr>
        <w:rPr>
          <w:lang w:val="sl-SI"/>
        </w:rPr>
      </w:pPr>
      <w:r w:rsidRPr="00F806C5">
        <w:rPr>
          <w:lang w:val="sl-SI"/>
        </w:rPr>
        <w:t xml:space="preserve">Internet </w:t>
      </w:r>
      <w:proofErr w:type="spellStart"/>
      <w:r w:rsidRPr="00F806C5">
        <w:rPr>
          <w:lang w:val="sl-SI"/>
        </w:rPr>
        <w:t>or</w:t>
      </w:r>
      <w:proofErr w:type="spellEnd"/>
      <w:r w:rsidRPr="00F806C5">
        <w:rPr>
          <w:lang w:val="sl-SI"/>
        </w:rPr>
        <w:t xml:space="preserve"> </w:t>
      </w:r>
      <w:proofErr w:type="spellStart"/>
      <w:r w:rsidRPr="00F806C5">
        <w:rPr>
          <w:lang w:val="sl-SI"/>
        </w:rPr>
        <w:t>computer</w:t>
      </w:r>
      <w:proofErr w:type="spellEnd"/>
      <w:r w:rsidRPr="00F806C5">
        <w:rPr>
          <w:lang w:val="sl-SI"/>
        </w:rPr>
        <w:t xml:space="preserv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program </w:t>
      </w:r>
      <w:proofErr w:type="spellStart"/>
      <w:r w:rsidRPr="00F806C5">
        <w:rPr>
          <w:lang w:val="sl-SI"/>
        </w:rPr>
        <w:t>or</w:t>
      </w:r>
      <w:proofErr w:type="spellEnd"/>
      <w:r w:rsidRPr="00F806C5">
        <w:rPr>
          <w:lang w:val="sl-SI"/>
        </w:rPr>
        <w:t xml:space="preserve"> </w:t>
      </w:r>
      <w:proofErr w:type="spellStart"/>
      <w:r w:rsidRPr="00F806C5">
        <w:rPr>
          <w:lang w:val="sl-SI"/>
        </w:rPr>
        <w:t>application</w:t>
      </w:r>
      <w:proofErr w:type="spellEnd"/>
      <w:r w:rsidR="00C4343E">
        <w:rPr>
          <w:lang w:val="sl-SI"/>
        </w:rPr>
        <w:t xml:space="preserve"> </w:t>
      </w:r>
      <w:r w:rsidR="00C4343E">
        <w:rPr>
          <w:lang w:val="sl-SI"/>
        </w:rPr>
        <w:fldChar w:fldCharType="begin"/>
      </w:r>
      <w:r w:rsidR="00C4343E">
        <w:rPr>
          <w:lang w:val="sl-SI"/>
        </w:rPr>
        <w:instrText xml:space="preserve"> ADDIN ZOTERO_ITEM CSL_CITATION {"citationID":"I1e47KuY","properties":{"formattedCitation":"(Hussein et al., 2022; Saha et al., 2020)","plainCitation":"(Hussein et al., 2022; Saha et al., 2020)","noteIndex":0},"citationItems":[{"id":890,"uris":["http://zotero.org/users/local/1Uxvmohd/items/ZZH2SZTW"],"itemData":{"id":890,"type":"article-journal","container-title":"Education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O."}],"issued":{"date-parts":[["2022",3]]}}},{"id":888,"uris":["http://zotero.org/users/local/1Uxvmohd/items/KBKSDKRS"],"itemData":{"id":888,"type":"article-journal","abstract":"The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Pr>
          <w:lang w:val="sl-SI"/>
        </w:rPr>
        <w:fldChar w:fldCharType="separate"/>
      </w:r>
      <w:r w:rsidR="00C4343E" w:rsidRPr="00C4343E">
        <w:rPr>
          <w:rFonts w:ascii="Calibri" w:hAnsi="Calibri" w:cs="Calibri"/>
        </w:rPr>
        <w:t>(Hussein et al., 2022; Saha et al., 2020)</w:t>
      </w:r>
      <w:r w:rsidR="00C4343E">
        <w:rPr>
          <w:lang w:val="sl-SI"/>
        </w:rPr>
        <w:fldChar w:fldCharType="end"/>
      </w:r>
      <w:r w:rsidRPr="00F806C5">
        <w:rPr>
          <w:lang w:val="sl-SI"/>
        </w:rPr>
        <w:t xml:space="preserve">: </w:t>
      </w:r>
      <w:proofErr w:type="spellStart"/>
      <w:r w:rsidRPr="00F806C5">
        <w:rPr>
          <w:lang w:val="sl-SI"/>
        </w:rPr>
        <w:t>Utilization</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online</w:t>
      </w:r>
      <w:proofErr w:type="spellEnd"/>
      <w:r w:rsidRPr="00F806C5">
        <w:rPr>
          <w:lang w:val="sl-SI"/>
        </w:rPr>
        <w:t xml:space="preserve"> </w:t>
      </w:r>
      <w:proofErr w:type="spellStart"/>
      <w:r w:rsidRPr="00F806C5">
        <w:rPr>
          <w:lang w:val="sl-SI"/>
        </w:rPr>
        <w:t>platforms</w:t>
      </w:r>
      <w:proofErr w:type="spellEnd"/>
      <w:r w:rsidRPr="00F806C5">
        <w:rPr>
          <w:lang w:val="sl-SI"/>
        </w:rPr>
        <w:t xml:space="preserve"> </w:t>
      </w:r>
      <w:proofErr w:type="spellStart"/>
      <w:r w:rsidRPr="00F806C5">
        <w:rPr>
          <w:lang w:val="sl-SI"/>
        </w:rPr>
        <w:t>or</w:t>
      </w:r>
      <w:proofErr w:type="spellEnd"/>
      <w:r w:rsidRPr="00F806C5">
        <w:rPr>
          <w:lang w:val="sl-SI"/>
        </w:rPr>
        <w:t xml:space="preserve"> software </w:t>
      </w:r>
      <w:proofErr w:type="spellStart"/>
      <w:r w:rsidRPr="00F806C5">
        <w:rPr>
          <w:lang w:val="sl-SI"/>
        </w:rPr>
        <w:t>designed</w:t>
      </w:r>
      <w:proofErr w:type="spellEnd"/>
      <w:r w:rsidRPr="00F806C5">
        <w:rPr>
          <w:lang w:val="sl-SI"/>
        </w:rPr>
        <w:t xml:space="preserve"> to </w:t>
      </w:r>
      <w:proofErr w:type="spellStart"/>
      <w:r w:rsidRPr="00F806C5">
        <w:rPr>
          <w:lang w:val="sl-SI"/>
        </w:rPr>
        <w:t>deliver</w:t>
      </w:r>
      <w:proofErr w:type="spellEnd"/>
      <w:r w:rsidRPr="00F806C5">
        <w:rPr>
          <w:lang w:val="sl-SI"/>
        </w:rPr>
        <w:t xml:space="preserve"> </w:t>
      </w:r>
      <w:proofErr w:type="spellStart"/>
      <w:r w:rsidRPr="00F806C5">
        <w:rPr>
          <w:lang w:val="sl-SI"/>
        </w:rPr>
        <w:t>interactive</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personalized</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w:t>
      </w:r>
    </w:p>
    <w:p w14:paraId="3F91C48B" w14:textId="21467295" w:rsidR="00F806C5" w:rsidRPr="00F806C5" w:rsidRDefault="00F806C5" w:rsidP="00F806C5">
      <w:pPr>
        <w:numPr>
          <w:ilvl w:val="0"/>
          <w:numId w:val="13"/>
        </w:numPr>
        <w:rPr>
          <w:lang w:val="sl-SI"/>
        </w:rPr>
      </w:pPr>
      <w:r w:rsidRPr="00F806C5">
        <w:rPr>
          <w:lang w:val="sl-SI"/>
        </w:rPr>
        <w:t>Video-</w:t>
      </w:r>
      <w:proofErr w:type="spellStart"/>
      <w:r w:rsidRPr="00F806C5">
        <w:rPr>
          <w:lang w:val="sl-SI"/>
        </w:rPr>
        <w:t>recorded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by</w:t>
      </w:r>
      <w:proofErr w:type="spellEnd"/>
      <w:r w:rsidRPr="00F806C5">
        <w:rPr>
          <w:lang w:val="sl-SI"/>
        </w:rPr>
        <w:t xml:space="preserve"> a person</w:t>
      </w:r>
      <w:r w:rsidR="000F0BA3">
        <w:rPr>
          <w:lang w:val="sl-SI"/>
        </w:rPr>
        <w:t xml:space="preserve"> </w:t>
      </w:r>
      <w:r w:rsidR="000F0BA3">
        <w:rPr>
          <w:lang w:val="sl-SI"/>
        </w:rPr>
        <w:fldChar w:fldCharType="begin"/>
      </w:r>
      <w:r w:rsidR="000F0BA3">
        <w:rPr>
          <w:lang w:val="sl-SI"/>
        </w:rPr>
        <w:instrText xml:space="preserve"> ADDIN ZOTERO_ITEM CSL_CITATION {"citationID":"NJoLv8Du","properties":{"formattedCitation":"(Ndungo &amp; Nazziwa, 2023)","plainCitation":"(Ndungo &amp; Nazziwa, 2023)","noteIndex":0},"citationItems":[{"id":891,"uris":["http://zotero.org/users/local/1Uxvmohd/items/WHZDEMVH"],"itemData":{"id":891,"type":"article-journal","abstract":"This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Pr>
          <w:lang w:val="sl-SI"/>
        </w:rPr>
        <w:fldChar w:fldCharType="separate"/>
      </w:r>
      <w:r w:rsidR="000F0BA3" w:rsidRPr="000F0BA3">
        <w:rPr>
          <w:rFonts w:ascii="Calibri" w:hAnsi="Calibri" w:cs="Calibri"/>
        </w:rPr>
        <w:t>(Ndungo &amp; Nazziwa, 2023)</w:t>
      </w:r>
      <w:r w:rsidR="000F0BA3">
        <w:rPr>
          <w:lang w:val="sl-SI"/>
        </w:rPr>
        <w:fldChar w:fldCharType="end"/>
      </w:r>
      <w:r w:rsidRPr="00F806C5">
        <w:rPr>
          <w:lang w:val="sl-SI"/>
        </w:rPr>
        <w:t xml:space="preserve">: </w:t>
      </w:r>
      <w:proofErr w:type="spellStart"/>
      <w:r w:rsidRPr="00F806C5">
        <w:rPr>
          <w:lang w:val="sl-SI"/>
        </w:rPr>
        <w:t>Accessing</w:t>
      </w:r>
      <w:proofErr w:type="spellEnd"/>
      <w:r w:rsidRPr="00F806C5">
        <w:rPr>
          <w:lang w:val="sl-SI"/>
        </w:rPr>
        <w:t xml:space="preserve"> </w:t>
      </w:r>
      <w:proofErr w:type="spellStart"/>
      <w:r w:rsidRPr="00F806C5">
        <w:rPr>
          <w:lang w:val="sl-SI"/>
        </w:rPr>
        <w:t>pre-recorded</w:t>
      </w:r>
      <w:proofErr w:type="spellEnd"/>
      <w:r w:rsidRPr="00F806C5">
        <w:rPr>
          <w:lang w:val="sl-SI"/>
        </w:rPr>
        <w:t xml:space="preserve"> video </w:t>
      </w:r>
      <w:proofErr w:type="spellStart"/>
      <w:r w:rsidRPr="00F806C5">
        <w:rPr>
          <w:lang w:val="sl-SI"/>
        </w:rPr>
        <w:t>lessons</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tutorials</w:t>
      </w:r>
      <w:proofErr w:type="spellEnd"/>
      <w:r w:rsidRPr="00F806C5">
        <w:rPr>
          <w:lang w:val="sl-SI"/>
        </w:rPr>
        <w:t xml:space="preserve"> </w:t>
      </w:r>
      <w:proofErr w:type="spellStart"/>
      <w:r w:rsidRPr="00F806C5">
        <w:rPr>
          <w:lang w:val="sl-SI"/>
        </w:rPr>
        <w:t>delivered</w:t>
      </w:r>
      <w:proofErr w:type="spellEnd"/>
      <w:r w:rsidRPr="00F806C5">
        <w:rPr>
          <w:lang w:val="sl-SI"/>
        </w:rPr>
        <w:t xml:space="preserve"> </w:t>
      </w:r>
      <w:proofErr w:type="spellStart"/>
      <w:r w:rsidRPr="00F806C5">
        <w:rPr>
          <w:lang w:val="sl-SI"/>
        </w:rPr>
        <w:t>by</w:t>
      </w:r>
      <w:proofErr w:type="spellEnd"/>
      <w:r w:rsidRPr="00F806C5">
        <w:rPr>
          <w:lang w:val="sl-SI"/>
        </w:rPr>
        <w:t xml:space="preserve"> </w:t>
      </w:r>
      <w:proofErr w:type="spellStart"/>
      <w:r w:rsidRPr="00F806C5">
        <w:rPr>
          <w:lang w:val="sl-SI"/>
        </w:rPr>
        <w:t>an</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allowing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to </w:t>
      </w:r>
      <w:proofErr w:type="spellStart"/>
      <w:r w:rsidRPr="00F806C5">
        <w:rPr>
          <w:lang w:val="sl-SI"/>
        </w:rPr>
        <w:t>review</w:t>
      </w:r>
      <w:proofErr w:type="spellEnd"/>
      <w:r w:rsidRPr="00F806C5">
        <w:rPr>
          <w:lang w:val="sl-SI"/>
        </w:rPr>
        <w:t xml:space="preserve"> </w:t>
      </w:r>
      <w:proofErr w:type="spellStart"/>
      <w:r w:rsidRPr="00F806C5">
        <w:rPr>
          <w:lang w:val="sl-SI"/>
        </w:rPr>
        <w:t>content</w:t>
      </w:r>
      <w:proofErr w:type="spellEnd"/>
      <w:r w:rsidRPr="00F806C5">
        <w:rPr>
          <w:lang w:val="sl-SI"/>
        </w:rPr>
        <w:t xml:space="preserve"> at </w:t>
      </w:r>
      <w:proofErr w:type="spellStart"/>
      <w:r w:rsidRPr="00F806C5">
        <w:rPr>
          <w:lang w:val="sl-SI"/>
        </w:rPr>
        <w:t>their</w:t>
      </w:r>
      <w:proofErr w:type="spellEnd"/>
      <w:r w:rsidRPr="00F806C5">
        <w:rPr>
          <w:lang w:val="sl-SI"/>
        </w:rPr>
        <w:t xml:space="preserve"> </w:t>
      </w:r>
      <w:proofErr w:type="spellStart"/>
      <w:r w:rsidRPr="00F806C5">
        <w:rPr>
          <w:lang w:val="sl-SI"/>
        </w:rPr>
        <w:t>own</w:t>
      </w:r>
      <w:proofErr w:type="spellEnd"/>
      <w:r w:rsidRPr="00F806C5">
        <w:rPr>
          <w:lang w:val="sl-SI"/>
        </w:rPr>
        <w:t xml:space="preserve"> pace.</w:t>
      </w:r>
      <w:r w:rsidR="000F0BA3">
        <w:rPr>
          <w:lang w:val="sl-SI"/>
        </w:rPr>
        <w:t xml:space="preserve"> Some </w:t>
      </w:r>
      <w:proofErr w:type="spellStart"/>
      <w:r w:rsidR="000F0BA3">
        <w:rPr>
          <w:lang w:val="sl-SI"/>
        </w:rPr>
        <w:t>studies</w:t>
      </w:r>
      <w:proofErr w:type="spellEnd"/>
      <w:r w:rsidR="000F0BA3">
        <w:rPr>
          <w:lang w:val="sl-SI"/>
        </w:rPr>
        <w:t xml:space="preserve"> </w:t>
      </w:r>
      <w:proofErr w:type="spellStart"/>
      <w:r w:rsidR="000F0BA3">
        <w:rPr>
          <w:lang w:val="sl-SI"/>
        </w:rPr>
        <w:t>however</w:t>
      </w:r>
      <w:proofErr w:type="spellEnd"/>
      <w:r w:rsidR="000F0BA3">
        <w:rPr>
          <w:lang w:val="sl-SI"/>
        </w:rPr>
        <w:t xml:space="preserve"> </w:t>
      </w:r>
      <w:proofErr w:type="spellStart"/>
      <w:r w:rsidR="000F0BA3">
        <w:rPr>
          <w:lang w:val="sl-SI"/>
        </w:rPr>
        <w:t>found</w:t>
      </w:r>
      <w:proofErr w:type="spellEnd"/>
      <w:r w:rsidR="000F0BA3">
        <w:rPr>
          <w:lang w:val="sl-SI"/>
        </w:rPr>
        <w:t xml:space="preserve"> </w:t>
      </w:r>
      <w:proofErr w:type="spellStart"/>
      <w:r w:rsidR="000F0BA3">
        <w:rPr>
          <w:lang w:val="sl-SI"/>
        </w:rPr>
        <w:t>that</w:t>
      </w:r>
      <w:proofErr w:type="spellEnd"/>
      <w:r w:rsidR="000F0BA3">
        <w:rPr>
          <w:lang w:val="sl-SI"/>
        </w:rPr>
        <w:t xml:space="preserve"> </w:t>
      </w:r>
      <w:proofErr w:type="spellStart"/>
      <w:r w:rsidR="000F0BA3">
        <w:rPr>
          <w:lang w:val="sl-SI"/>
        </w:rPr>
        <w:t>access</w:t>
      </w:r>
      <w:proofErr w:type="spellEnd"/>
      <w:r w:rsidR="000F0BA3">
        <w:rPr>
          <w:lang w:val="sl-SI"/>
        </w:rPr>
        <w:t xml:space="preserve"> to </w:t>
      </w:r>
      <w:proofErr w:type="spellStart"/>
      <w:r w:rsidR="000F0BA3">
        <w:rPr>
          <w:lang w:val="sl-SI"/>
        </w:rPr>
        <w:t>recorded</w:t>
      </w:r>
      <w:proofErr w:type="spellEnd"/>
      <w:r w:rsidR="000F0BA3">
        <w:rPr>
          <w:lang w:val="sl-SI"/>
        </w:rPr>
        <w:t xml:space="preserve"> video </w:t>
      </w:r>
      <w:proofErr w:type="spellStart"/>
      <w:r w:rsidR="000F0BA3">
        <w:rPr>
          <w:lang w:val="sl-SI"/>
        </w:rPr>
        <w:t>lectures</w:t>
      </w:r>
      <w:proofErr w:type="spellEnd"/>
      <w:r w:rsidR="000F0BA3">
        <w:rPr>
          <w:lang w:val="sl-SI"/>
        </w:rPr>
        <w:t xml:space="preserve"> </w:t>
      </w:r>
      <w:proofErr w:type="spellStart"/>
      <w:r w:rsidR="000F0BA3">
        <w:rPr>
          <w:lang w:val="sl-SI"/>
        </w:rPr>
        <w:t>have</w:t>
      </w:r>
      <w:proofErr w:type="spellEnd"/>
      <w:r w:rsidR="000F0BA3">
        <w:rPr>
          <w:lang w:val="sl-SI"/>
        </w:rPr>
        <w:t xml:space="preserve"> </w:t>
      </w:r>
      <w:proofErr w:type="spellStart"/>
      <w:r w:rsidR="000F0BA3">
        <w:rPr>
          <w:lang w:val="sl-SI"/>
        </w:rPr>
        <w:t>detrimental</w:t>
      </w:r>
      <w:proofErr w:type="spellEnd"/>
      <w:r w:rsidR="000F0BA3">
        <w:rPr>
          <w:lang w:val="sl-SI"/>
        </w:rPr>
        <w:t xml:space="preserve"> </w:t>
      </w:r>
      <w:proofErr w:type="spellStart"/>
      <w:r w:rsidR="000F0BA3">
        <w:rPr>
          <w:lang w:val="sl-SI"/>
        </w:rPr>
        <w:t>effect</w:t>
      </w:r>
      <w:proofErr w:type="spellEnd"/>
      <w:r w:rsidR="000F0BA3">
        <w:rPr>
          <w:lang w:val="sl-SI"/>
        </w:rPr>
        <w:t xml:space="preserve"> on </w:t>
      </w:r>
      <w:proofErr w:type="spellStart"/>
      <w:r w:rsidR="000F0BA3">
        <w:rPr>
          <w:lang w:val="sl-SI"/>
        </w:rPr>
        <w:t>student</w:t>
      </w:r>
      <w:proofErr w:type="spellEnd"/>
      <w:r w:rsidR="000F0BA3">
        <w:rPr>
          <w:lang w:val="sl-SI"/>
        </w:rPr>
        <w:t xml:space="preserve"> </w:t>
      </w:r>
      <w:proofErr w:type="spellStart"/>
      <w:r w:rsidR="000F0BA3">
        <w:rPr>
          <w:lang w:val="sl-SI"/>
        </w:rPr>
        <w:t>performance</w:t>
      </w:r>
      <w:proofErr w:type="spellEnd"/>
      <w:r w:rsidR="000F0BA3">
        <w:rPr>
          <w:lang w:val="sl-SI"/>
        </w:rPr>
        <w:t xml:space="preserve"> </w:t>
      </w:r>
      <w:r w:rsidR="000F0BA3">
        <w:rPr>
          <w:lang w:val="sl-SI"/>
        </w:rPr>
        <w:fldChar w:fldCharType="begin"/>
      </w:r>
      <w:r w:rsidR="00146761">
        <w:rPr>
          <w:lang w:val="sl-SI"/>
        </w:rPr>
        <w:instrText xml:space="preserve"> ADDIN ZOTERO_ITEM CSL_CITATION {"citationID":"c9Ca7E7V","properties":{"formattedCitation":"(Trenholm, 2022)","plainCitation":"(Trenholm, 2022)","dontUpdate":true,"noteIndex":0},"citationItems":[{"id":893,"uris":["http://zotero.org/users/local/1Uxvmohd/items/2XZJFAV2"],"itemData":{"id":893,"type":"article-journal","container-title":"International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Pr>
          <w:lang w:val="sl-SI"/>
        </w:rPr>
        <w:fldChar w:fldCharType="separate"/>
      </w:r>
      <w:r w:rsidR="000F0BA3" w:rsidRPr="000F0BA3">
        <w:rPr>
          <w:rFonts w:ascii="Calibri" w:hAnsi="Calibri" w:cs="Calibri"/>
        </w:rPr>
        <w:t>(</w:t>
      </w:r>
      <w:r w:rsidR="000F0BA3">
        <w:rPr>
          <w:rFonts w:ascii="Calibri" w:hAnsi="Calibri" w:cs="Calibri"/>
        </w:rPr>
        <w:t xml:space="preserve">cf. </w:t>
      </w:r>
      <w:r w:rsidR="000F0BA3" w:rsidRPr="000F0BA3">
        <w:rPr>
          <w:rFonts w:ascii="Calibri" w:hAnsi="Calibri" w:cs="Calibri"/>
        </w:rPr>
        <w:t>Trenholm, 2022)</w:t>
      </w:r>
      <w:r w:rsidR="000F0BA3">
        <w:rPr>
          <w:lang w:val="sl-SI"/>
        </w:rPr>
        <w:fldChar w:fldCharType="end"/>
      </w:r>
      <w:r w:rsidR="000F0BA3">
        <w:rPr>
          <w:lang w:val="sl-SI"/>
        </w:rPr>
        <w:t>.</w:t>
      </w:r>
    </w:p>
    <w:p w14:paraId="562DDEAA" w14:textId="3C1A5506" w:rsidR="00F806C5" w:rsidRPr="00F806C5" w:rsidRDefault="00F806C5" w:rsidP="00F806C5">
      <w:pPr>
        <w:numPr>
          <w:ilvl w:val="0"/>
          <w:numId w:val="13"/>
        </w:numPr>
        <w:rPr>
          <w:lang w:val="sl-SI"/>
        </w:rPr>
      </w:pPr>
      <w:proofErr w:type="spellStart"/>
      <w:r w:rsidRPr="00F806C5">
        <w:rPr>
          <w:lang w:val="sl-SI"/>
        </w:rPr>
        <w:t>Small</w:t>
      </w:r>
      <w:proofErr w:type="spellEnd"/>
      <w:r w:rsidRPr="00F806C5">
        <w:rPr>
          <w:lang w:val="sl-SI"/>
        </w:rPr>
        <w:t xml:space="preserv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(2 to 7 </w:t>
      </w:r>
      <w:proofErr w:type="spellStart"/>
      <w:r w:rsidRPr="00F806C5">
        <w:rPr>
          <w:lang w:val="sl-SI"/>
        </w:rPr>
        <w:t>students</w:t>
      </w:r>
      <w:proofErr w:type="spellEnd"/>
      <w:r w:rsidRPr="00F806C5">
        <w:rPr>
          <w:lang w:val="sl-SI"/>
        </w:rPr>
        <w:t>)</w:t>
      </w:r>
      <w:r w:rsidR="002B551E">
        <w:rPr>
          <w:lang w:val="sl-SI"/>
        </w:rPr>
        <w:t xml:space="preserve"> (</w:t>
      </w:r>
      <w:r w:rsidR="002B551E" w:rsidRPr="002B551E">
        <w:rPr>
          <w:highlight w:val="yellow"/>
          <w:lang w:val="sl-SI"/>
        </w:rPr>
        <w:t xml:space="preserve">želel bi vir, ki bi bil vezan na </w:t>
      </w:r>
      <w:proofErr w:type="spellStart"/>
      <w:r w:rsidR="002B551E" w:rsidRPr="002B551E">
        <w:rPr>
          <w:highlight w:val="yellow"/>
          <w:lang w:val="sl-SI"/>
        </w:rPr>
        <w:t>additional</w:t>
      </w:r>
      <w:proofErr w:type="spellEnd"/>
      <w:r w:rsidR="002B551E" w:rsidRPr="002B551E">
        <w:rPr>
          <w:highlight w:val="yellow"/>
          <w:lang w:val="sl-SI"/>
        </w:rPr>
        <w:t xml:space="preserve"> </w:t>
      </w:r>
      <w:proofErr w:type="spellStart"/>
      <w:r w:rsidR="002B551E" w:rsidRPr="002B551E">
        <w:rPr>
          <w:highlight w:val="yellow"/>
          <w:lang w:val="sl-SI"/>
        </w:rPr>
        <w:t>instrction</w:t>
      </w:r>
      <w:proofErr w:type="spellEnd"/>
      <w:r w:rsidR="002B551E" w:rsidRPr="002B551E">
        <w:rPr>
          <w:highlight w:val="yellow"/>
          <w:lang w:val="sl-SI"/>
        </w:rPr>
        <w:t xml:space="preserve"> in ne med poukom</w:t>
      </w:r>
      <w:r w:rsidR="002B551E">
        <w:rPr>
          <w:lang w:val="sl-SI"/>
        </w:rPr>
        <w:t>)</w:t>
      </w:r>
      <w:r w:rsidRPr="00F806C5">
        <w:rPr>
          <w:lang w:val="sl-SI"/>
        </w:rPr>
        <w:t xml:space="preserve">: </w:t>
      </w:r>
      <w:proofErr w:type="spellStart"/>
      <w:r w:rsidRPr="00F806C5">
        <w:rPr>
          <w:lang w:val="sl-SI"/>
        </w:rPr>
        <w:t>Collaborative</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environments</w:t>
      </w:r>
      <w:proofErr w:type="spellEnd"/>
      <w:r w:rsidRPr="00F806C5">
        <w:rPr>
          <w:lang w:val="sl-SI"/>
        </w:rPr>
        <w:t xml:space="preserve"> </w:t>
      </w:r>
      <w:proofErr w:type="spellStart"/>
      <w:r w:rsidRPr="00F806C5">
        <w:rPr>
          <w:lang w:val="sl-SI"/>
        </w:rPr>
        <w:t>where</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work</w:t>
      </w:r>
      <w:proofErr w:type="spellEnd"/>
      <w:r w:rsidRPr="00F806C5">
        <w:rPr>
          <w:lang w:val="sl-SI"/>
        </w:rPr>
        <w:t xml:space="preserve"> </w:t>
      </w:r>
      <w:proofErr w:type="spellStart"/>
      <w:r w:rsidRPr="00F806C5">
        <w:rPr>
          <w:lang w:val="sl-SI"/>
        </w:rPr>
        <w:t>together</w:t>
      </w:r>
      <w:proofErr w:type="spellEnd"/>
      <w:r w:rsidRPr="00F806C5">
        <w:rPr>
          <w:lang w:val="sl-SI"/>
        </w:rPr>
        <w:t xml:space="preserve"> in </w:t>
      </w:r>
      <w:proofErr w:type="spellStart"/>
      <w:r w:rsidRPr="00F806C5">
        <w:rPr>
          <w:lang w:val="sl-SI"/>
        </w:rPr>
        <w:t>small</w:t>
      </w:r>
      <w:proofErr w:type="spellEnd"/>
      <w:r w:rsidRPr="00F806C5">
        <w:rPr>
          <w:lang w:val="sl-SI"/>
        </w:rPr>
        <w:t xml:space="preserve"> </w:t>
      </w:r>
      <w:proofErr w:type="spellStart"/>
      <w:r w:rsidRPr="00F806C5">
        <w:rPr>
          <w:lang w:val="sl-SI"/>
        </w:rPr>
        <w:t>groups</w:t>
      </w:r>
      <w:proofErr w:type="spellEnd"/>
      <w:r w:rsidRPr="00F806C5">
        <w:rPr>
          <w:lang w:val="sl-SI"/>
        </w:rPr>
        <w:t xml:space="preserve">, </w:t>
      </w:r>
      <w:proofErr w:type="spellStart"/>
      <w:r w:rsidRPr="00F806C5">
        <w:rPr>
          <w:lang w:val="sl-SI"/>
        </w:rPr>
        <w:t>engaging</w:t>
      </w:r>
      <w:proofErr w:type="spellEnd"/>
      <w:r w:rsidRPr="00F806C5">
        <w:rPr>
          <w:lang w:val="sl-SI"/>
        </w:rPr>
        <w:t xml:space="preserve"> in problem-</w:t>
      </w:r>
      <w:proofErr w:type="spellStart"/>
      <w:r w:rsidRPr="00F806C5">
        <w:rPr>
          <w:lang w:val="sl-SI"/>
        </w:rPr>
        <w:t>solving</w:t>
      </w:r>
      <w:proofErr w:type="spellEnd"/>
      <w:r w:rsidRPr="00F806C5">
        <w:rPr>
          <w:lang w:val="sl-SI"/>
        </w:rPr>
        <w:t xml:space="preserve"> </w:t>
      </w:r>
      <w:proofErr w:type="spellStart"/>
      <w:r w:rsidRPr="00F806C5">
        <w:rPr>
          <w:lang w:val="sl-SI"/>
        </w:rPr>
        <w:t>activities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discussions</w:t>
      </w:r>
      <w:proofErr w:type="spellEnd"/>
      <w:r w:rsidR="00146761">
        <w:rPr>
          <w:lang w:val="sl-SI"/>
        </w:rPr>
        <w:t xml:space="preserve"> </w:t>
      </w:r>
      <w:proofErr w:type="spellStart"/>
      <w:r w:rsidR="00146761">
        <w:rPr>
          <w:lang w:val="sl-SI"/>
        </w:rPr>
        <w:t>often</w:t>
      </w:r>
      <w:proofErr w:type="spellEnd"/>
      <w:r w:rsidRPr="00F806C5">
        <w:rPr>
          <w:lang w:val="sl-SI"/>
        </w:rPr>
        <w:t xml:space="preserve"> </w:t>
      </w:r>
      <w:proofErr w:type="spellStart"/>
      <w:r w:rsidRPr="00F806C5">
        <w:rPr>
          <w:lang w:val="sl-SI"/>
        </w:rPr>
        <w:t>under</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guidance</w:t>
      </w:r>
      <w:proofErr w:type="spellEnd"/>
      <w:r w:rsidRPr="00F806C5">
        <w:rPr>
          <w:lang w:val="sl-SI"/>
        </w:rPr>
        <w:t xml:space="preserve"> </w:t>
      </w:r>
      <w:proofErr w:type="spellStart"/>
      <w:r w:rsidRPr="00F806C5">
        <w:rPr>
          <w:lang w:val="sl-SI"/>
        </w:rPr>
        <w:t>of</w:t>
      </w:r>
      <w:proofErr w:type="spellEnd"/>
      <w:r w:rsidRPr="00F806C5">
        <w:rPr>
          <w:lang w:val="sl-SI"/>
        </w:rPr>
        <w:t xml:space="preserve"> a </w:t>
      </w:r>
      <w:proofErr w:type="spellStart"/>
      <w:r w:rsidRPr="00F806C5">
        <w:rPr>
          <w:lang w:val="sl-SI"/>
        </w:rPr>
        <w:t>facilitator</w:t>
      </w:r>
      <w:proofErr w:type="spellEnd"/>
      <w:r w:rsidRPr="00F806C5">
        <w:rPr>
          <w:lang w:val="sl-SI"/>
        </w:rPr>
        <w:t>.</w:t>
      </w:r>
      <w:r w:rsidR="002B551E">
        <w:rPr>
          <w:lang w:val="sl-SI"/>
        </w:rPr>
        <w:t xml:space="preserve"> It is a </w:t>
      </w:r>
      <w:proofErr w:type="spellStart"/>
      <w:r w:rsidR="002B551E">
        <w:rPr>
          <w:lang w:val="sl-SI"/>
        </w:rPr>
        <w:t>common</w:t>
      </w:r>
      <w:proofErr w:type="spellEnd"/>
      <w:r w:rsidR="002B551E">
        <w:rPr>
          <w:lang w:val="sl-SI"/>
        </w:rPr>
        <w:t xml:space="preserve"> </w:t>
      </w:r>
      <w:proofErr w:type="spellStart"/>
      <w:r w:rsidR="002B551E">
        <w:rPr>
          <w:lang w:val="sl-SI"/>
        </w:rPr>
        <w:t>practice</w:t>
      </w:r>
      <w:proofErr w:type="spellEnd"/>
      <w:r w:rsidR="002B551E">
        <w:rPr>
          <w:lang w:val="sl-SI"/>
        </w:rPr>
        <w:t xml:space="preserve"> </w:t>
      </w:r>
      <w:proofErr w:type="spellStart"/>
      <w:r w:rsidR="002B551E">
        <w:rPr>
          <w:lang w:val="sl-SI"/>
        </w:rPr>
        <w:t>during</w:t>
      </w:r>
      <w:proofErr w:type="spellEnd"/>
      <w:r w:rsidR="002B551E">
        <w:rPr>
          <w:lang w:val="sl-SI"/>
        </w:rPr>
        <w:t xml:space="preserve"> </w:t>
      </w:r>
      <w:proofErr w:type="spellStart"/>
      <w:r w:rsidR="002B551E">
        <w:rPr>
          <w:lang w:val="sl-SI"/>
        </w:rPr>
        <w:t>school</w:t>
      </w:r>
      <w:proofErr w:type="spellEnd"/>
      <w:r w:rsidR="002B551E">
        <w:rPr>
          <w:lang w:val="sl-SI"/>
        </w:rPr>
        <w:t xml:space="preserve"> </w:t>
      </w:r>
      <w:proofErr w:type="spellStart"/>
      <w:r w:rsidR="002B551E">
        <w:rPr>
          <w:lang w:val="sl-SI"/>
        </w:rPr>
        <w:t>lessons</w:t>
      </w:r>
      <w:proofErr w:type="spellEnd"/>
      <w:r w:rsidR="002B551E">
        <w:rPr>
          <w:lang w:val="sl-SI"/>
        </w:rPr>
        <w:t xml:space="preserve">, </w:t>
      </w:r>
      <w:proofErr w:type="spellStart"/>
      <w:r w:rsidR="002B551E">
        <w:rPr>
          <w:lang w:val="sl-SI"/>
        </w:rPr>
        <w:t>but</w:t>
      </w:r>
      <w:proofErr w:type="spellEnd"/>
      <w:r w:rsidR="002B551E">
        <w:rPr>
          <w:lang w:val="sl-SI"/>
        </w:rPr>
        <w:t xml:space="preserve"> is </w:t>
      </w:r>
      <w:proofErr w:type="spellStart"/>
      <w:r w:rsidR="002B551E">
        <w:rPr>
          <w:lang w:val="sl-SI"/>
        </w:rPr>
        <w:t>also</w:t>
      </w:r>
      <w:proofErr w:type="spellEnd"/>
      <w:r w:rsidR="002B551E">
        <w:rPr>
          <w:lang w:val="sl-SI"/>
        </w:rPr>
        <w:t xml:space="preserve"> used as </w:t>
      </w:r>
      <w:proofErr w:type="spellStart"/>
      <w:r w:rsidR="002B551E">
        <w:rPr>
          <w:lang w:val="sl-SI"/>
        </w:rPr>
        <w:t>additional</w:t>
      </w:r>
      <w:proofErr w:type="spellEnd"/>
      <w:r w:rsidR="002B551E">
        <w:rPr>
          <w:lang w:val="sl-SI"/>
        </w:rPr>
        <w:t xml:space="preserve"> </w:t>
      </w:r>
      <w:proofErr w:type="spellStart"/>
      <w:r w:rsidR="002B551E">
        <w:rPr>
          <w:lang w:val="sl-SI"/>
        </w:rPr>
        <w:t>instructional</w:t>
      </w:r>
      <w:proofErr w:type="spellEnd"/>
      <w:r w:rsidR="002B551E">
        <w:rPr>
          <w:lang w:val="sl-SI"/>
        </w:rPr>
        <w:t xml:space="preserve"> </w:t>
      </w:r>
      <w:proofErr w:type="spellStart"/>
      <w:r w:rsidR="002B551E">
        <w:rPr>
          <w:lang w:val="sl-SI"/>
        </w:rPr>
        <w:t>method</w:t>
      </w:r>
      <w:proofErr w:type="spellEnd"/>
      <w:r w:rsidR="002B551E">
        <w:rPr>
          <w:lang w:val="sl-SI"/>
        </w:rPr>
        <w:t>.</w:t>
      </w:r>
    </w:p>
    <w:p w14:paraId="38C3F540" w14:textId="7DE3DBA1" w:rsidR="00F806C5" w:rsidRPr="00F806C5" w:rsidRDefault="00F806C5" w:rsidP="00F806C5">
      <w:pPr>
        <w:numPr>
          <w:ilvl w:val="0"/>
          <w:numId w:val="13"/>
        </w:numPr>
        <w:rPr>
          <w:lang w:val="sl-SI"/>
        </w:rPr>
      </w:pPr>
      <w:r w:rsidRPr="00F806C5">
        <w:rPr>
          <w:lang w:val="sl-SI"/>
        </w:rPr>
        <w:t xml:space="preserve">Large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(8 </w:t>
      </w:r>
      <w:proofErr w:type="spellStart"/>
      <w:r w:rsidRPr="00F806C5">
        <w:rPr>
          <w:lang w:val="sl-SI"/>
        </w:rPr>
        <w:t>or</w:t>
      </w:r>
      <w:proofErr w:type="spellEnd"/>
      <w:r w:rsidRPr="00F806C5">
        <w:rPr>
          <w:lang w:val="sl-SI"/>
        </w:rPr>
        <w:t xml:space="preserve"> more </w:t>
      </w:r>
      <w:proofErr w:type="spellStart"/>
      <w:r w:rsidRPr="00F806C5">
        <w:rPr>
          <w:lang w:val="sl-SI"/>
        </w:rPr>
        <w:t>students</w:t>
      </w:r>
      <w:proofErr w:type="spellEnd"/>
      <w:r w:rsidRPr="00F806C5">
        <w:rPr>
          <w:lang w:val="sl-SI"/>
        </w:rPr>
        <w:t>)</w:t>
      </w:r>
      <w:r w:rsidR="00146761">
        <w:rPr>
          <w:lang w:val="sl-SI"/>
        </w:rPr>
        <w:t xml:space="preserve"> </w:t>
      </w:r>
      <w:r w:rsidR="00146761">
        <w:rPr>
          <w:lang w:val="sl-SI"/>
        </w:rPr>
        <w:fldChar w:fldCharType="begin"/>
      </w:r>
      <w:r w:rsidR="00146761">
        <w:rPr>
          <w:lang w:val="sl-SI"/>
        </w:rPr>
        <w:instrText xml:space="preserve"> ADDIN ZOTERO_ITEM CSL_CITATION {"citationID":"0oDBfENl","properties":{"formattedCitation":"(Jerez et al., 2021)","plainCitation":"(Jerez et al., 2021)","noteIndex":0},"citationItems":[{"id":894,"uris":["http://zotero.org/users/local/1Uxvmohd/items/CDHZ7FCF"],"itemData":{"id":894,"type":"article-journal","container-title":"Learning: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Pr>
          <w:lang w:val="sl-SI"/>
        </w:rPr>
        <w:fldChar w:fldCharType="separate"/>
      </w:r>
      <w:r w:rsidR="00146761" w:rsidRPr="00146761">
        <w:rPr>
          <w:rFonts w:ascii="Calibri" w:hAnsi="Calibri" w:cs="Calibri"/>
        </w:rPr>
        <w:t>(Jerez et al., 2021)</w:t>
      </w:r>
      <w:r w:rsidR="00146761">
        <w:rPr>
          <w:lang w:val="sl-SI"/>
        </w:rPr>
        <w:fldChar w:fldCharType="end"/>
      </w:r>
      <w:r w:rsidRPr="00F806C5">
        <w:rPr>
          <w:lang w:val="sl-SI"/>
        </w:rPr>
        <w:t xml:space="preserve">: </w:t>
      </w:r>
      <w:proofErr w:type="spellStart"/>
      <w:r w:rsidRPr="00F806C5">
        <w:rPr>
          <w:lang w:val="sl-SI"/>
        </w:rPr>
        <w:t>Group-based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involving</w:t>
      </w:r>
      <w:proofErr w:type="spellEnd"/>
      <w:r w:rsidRPr="00F806C5">
        <w:rPr>
          <w:lang w:val="sl-SI"/>
        </w:rPr>
        <w:t xml:space="preserve"> a </w:t>
      </w:r>
      <w:proofErr w:type="spellStart"/>
      <w:r w:rsidRPr="00F806C5">
        <w:rPr>
          <w:lang w:val="sl-SI"/>
        </w:rPr>
        <w:t>larger</w:t>
      </w:r>
      <w:proofErr w:type="spellEnd"/>
      <w:r w:rsidRPr="00F806C5">
        <w:rPr>
          <w:lang w:val="sl-SI"/>
        </w:rPr>
        <w:t xml:space="preserve"> </w:t>
      </w:r>
      <w:proofErr w:type="spellStart"/>
      <w:r w:rsidRPr="00F806C5">
        <w:rPr>
          <w:lang w:val="sl-SI"/>
        </w:rPr>
        <w:t>number</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typically</w:t>
      </w:r>
      <w:proofErr w:type="spellEnd"/>
      <w:r w:rsidRPr="00F806C5">
        <w:rPr>
          <w:lang w:val="sl-SI"/>
        </w:rPr>
        <w:t xml:space="preserve"> led </w:t>
      </w:r>
      <w:proofErr w:type="spellStart"/>
      <w:r w:rsidRPr="00F806C5">
        <w:rPr>
          <w:lang w:val="sl-SI"/>
        </w:rPr>
        <w:t>by</w:t>
      </w:r>
      <w:proofErr w:type="spellEnd"/>
      <w:r w:rsidRPr="00F806C5">
        <w:rPr>
          <w:lang w:val="sl-SI"/>
        </w:rPr>
        <w:t xml:space="preserve"> a </w:t>
      </w:r>
      <w:proofErr w:type="spellStart"/>
      <w:r w:rsidRPr="00F806C5">
        <w:rPr>
          <w:lang w:val="sl-SI"/>
        </w:rPr>
        <w:t>teacher</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focusing</w:t>
      </w:r>
      <w:proofErr w:type="spellEnd"/>
      <w:r w:rsidRPr="00F806C5">
        <w:rPr>
          <w:lang w:val="sl-SI"/>
        </w:rPr>
        <w:t xml:space="preserve"> on </w:t>
      </w:r>
      <w:proofErr w:type="spellStart"/>
      <w:r w:rsidRPr="00F806C5">
        <w:rPr>
          <w:lang w:val="sl-SI"/>
        </w:rPr>
        <w:t>reinforcing</w:t>
      </w:r>
      <w:proofErr w:type="spellEnd"/>
      <w:r w:rsidRPr="00F806C5">
        <w:rPr>
          <w:lang w:val="sl-SI"/>
        </w:rPr>
        <w:t xml:space="preserve"> </w:t>
      </w:r>
      <w:proofErr w:type="spellStart"/>
      <w:r w:rsidRPr="00F806C5">
        <w:rPr>
          <w:lang w:val="sl-SI"/>
        </w:rPr>
        <w:t>mathematical</w:t>
      </w:r>
      <w:proofErr w:type="spellEnd"/>
      <w:r w:rsidRPr="00F806C5">
        <w:rPr>
          <w:lang w:val="sl-SI"/>
        </w:rPr>
        <w:t xml:space="preserve"> </w:t>
      </w:r>
      <w:proofErr w:type="spellStart"/>
      <w:r w:rsidRPr="00F806C5">
        <w:rPr>
          <w:lang w:val="sl-SI"/>
        </w:rPr>
        <w:t>concepts</w:t>
      </w:r>
      <w:proofErr w:type="spellEnd"/>
      <w:r w:rsidRPr="00F806C5">
        <w:rPr>
          <w:lang w:val="sl-SI"/>
        </w:rPr>
        <w:t xml:space="preserve"> </w:t>
      </w:r>
      <w:proofErr w:type="spellStart"/>
      <w:r w:rsidRPr="00F806C5">
        <w:rPr>
          <w:lang w:val="sl-SI"/>
        </w:rPr>
        <w:t>through</w:t>
      </w:r>
      <w:proofErr w:type="spellEnd"/>
      <w:r w:rsidRPr="00F806C5">
        <w:rPr>
          <w:lang w:val="sl-SI"/>
        </w:rPr>
        <w:t xml:space="preserve"> </w:t>
      </w:r>
      <w:proofErr w:type="spellStart"/>
      <w:r w:rsidRPr="00F806C5">
        <w:rPr>
          <w:lang w:val="sl-SI"/>
        </w:rPr>
        <w:t>collective</w:t>
      </w:r>
      <w:proofErr w:type="spellEnd"/>
      <w:r w:rsidRPr="00F806C5">
        <w:rPr>
          <w:lang w:val="sl-SI"/>
        </w:rPr>
        <w:t xml:space="preserve"> </w:t>
      </w:r>
      <w:proofErr w:type="spellStart"/>
      <w:r w:rsidRPr="00F806C5">
        <w:rPr>
          <w:lang w:val="sl-SI"/>
        </w:rPr>
        <w:t>participation</w:t>
      </w:r>
      <w:proofErr w:type="spellEnd"/>
      <w:r w:rsidRPr="00F806C5">
        <w:rPr>
          <w:lang w:val="sl-SI"/>
        </w:rPr>
        <w:t>.</w:t>
      </w:r>
    </w:p>
    <w:p w14:paraId="3D8F1F45" w14:textId="2266849F" w:rsidR="00F7476E" w:rsidRDefault="00F806C5" w:rsidP="00F7476E">
      <w:pPr>
        <w:numPr>
          <w:ilvl w:val="0"/>
          <w:numId w:val="13"/>
        </w:numPr>
        <w:rPr>
          <w:lang w:val="sl-SI"/>
        </w:rPr>
      </w:pPr>
      <w:r w:rsidRPr="00F806C5">
        <w:rPr>
          <w:lang w:val="sl-SI"/>
        </w:rPr>
        <w:t>Non-</w:t>
      </w:r>
      <w:proofErr w:type="spellStart"/>
      <w:r w:rsidRPr="00F806C5">
        <w:rPr>
          <w:lang w:val="sl-SI"/>
        </w:rPr>
        <w:t>participation</w:t>
      </w:r>
      <w:proofErr w:type="spellEnd"/>
      <w:r w:rsidRPr="00F806C5">
        <w:rPr>
          <w:lang w:val="sl-SI"/>
        </w:rPr>
        <w:t xml:space="preserve"> in </w:t>
      </w:r>
      <w:proofErr w:type="spellStart"/>
      <w:r w:rsidRPr="00F806C5">
        <w:rPr>
          <w:lang w:val="sl-SI"/>
        </w:rPr>
        <w:t>additional</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who</w:t>
      </w:r>
      <w:proofErr w:type="spellEnd"/>
      <w:r w:rsidRPr="00F806C5">
        <w:rPr>
          <w:lang w:val="sl-SI"/>
        </w:rPr>
        <w:t xml:space="preserve"> do not </w:t>
      </w:r>
      <w:proofErr w:type="spellStart"/>
      <w:r w:rsidRPr="00F806C5">
        <w:rPr>
          <w:lang w:val="sl-SI"/>
        </w:rPr>
        <w:t>engage</w:t>
      </w:r>
      <w:proofErr w:type="spellEnd"/>
      <w:r w:rsidRPr="00F806C5">
        <w:rPr>
          <w:lang w:val="sl-SI"/>
        </w:rPr>
        <w:t xml:space="preserve"> in </w:t>
      </w:r>
      <w:proofErr w:type="spellStart"/>
      <w:r w:rsidRPr="00F806C5">
        <w:rPr>
          <w:lang w:val="sl-SI"/>
        </w:rPr>
        <w:t>any</w:t>
      </w:r>
      <w:proofErr w:type="spellEnd"/>
      <w:r w:rsidRPr="00F806C5">
        <w:rPr>
          <w:lang w:val="sl-SI"/>
        </w:rPr>
        <w:t xml:space="preserve"> </w:t>
      </w:r>
      <w:proofErr w:type="spellStart"/>
      <w:r w:rsidRPr="00F806C5">
        <w:rPr>
          <w:lang w:val="sl-SI"/>
        </w:rPr>
        <w:t>supplementary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beyond</w:t>
      </w:r>
      <w:proofErr w:type="spellEnd"/>
      <w:r w:rsidRPr="00F806C5">
        <w:rPr>
          <w:lang w:val="sl-SI"/>
        </w:rPr>
        <w:t xml:space="preserve"> </w:t>
      </w:r>
      <w:proofErr w:type="spellStart"/>
      <w:r w:rsidRPr="00F806C5">
        <w:rPr>
          <w:lang w:val="sl-SI"/>
        </w:rPr>
        <w:t>regular</w:t>
      </w:r>
      <w:proofErr w:type="spellEnd"/>
      <w:r w:rsidRPr="00F806C5">
        <w:rPr>
          <w:lang w:val="sl-SI"/>
        </w:rPr>
        <w:t xml:space="preserve"> </w:t>
      </w:r>
      <w:proofErr w:type="spellStart"/>
      <w:r w:rsidRPr="00F806C5">
        <w:rPr>
          <w:lang w:val="sl-SI"/>
        </w:rPr>
        <w:t>classroom</w:t>
      </w:r>
      <w:proofErr w:type="spellEnd"/>
      <w:r w:rsidRPr="00F806C5">
        <w:rPr>
          <w:lang w:val="sl-SI"/>
        </w:rPr>
        <w:t xml:space="preserve"> </w:t>
      </w:r>
      <w:proofErr w:type="spellStart"/>
      <w:r w:rsidRPr="00F806C5">
        <w:rPr>
          <w:lang w:val="sl-SI"/>
        </w:rPr>
        <w:t>activities</w:t>
      </w:r>
      <w:proofErr w:type="spellEnd"/>
      <w:r w:rsidRPr="00F806C5">
        <w:rPr>
          <w:lang w:val="sl-SI"/>
        </w:rPr>
        <w:t>.</w:t>
      </w:r>
      <w:r w:rsidR="0008000E">
        <w:rPr>
          <w:lang w:val="sl-SI"/>
        </w:rPr>
        <w:t xml:space="preserve"> </w:t>
      </w:r>
      <w:r w:rsidR="00380745" w:rsidRPr="00380745">
        <w:rPr>
          <w:highlight w:val="yellow"/>
          <w:lang w:val="sl-SI"/>
        </w:rPr>
        <w:t>Ne najdem raziskave, ki bi morda rekla, da večina dijakov pri mat. ne sodeluje izven klasičnih okvirjev.</w:t>
      </w:r>
    </w:p>
    <w:p w14:paraId="551AEF68" w14:textId="2053AB1C" w:rsidR="00F806C5" w:rsidRPr="00F7476E" w:rsidRDefault="00F7476E" w:rsidP="00F7476E">
      <w:pPr>
        <w:rPr>
          <w:lang w:val="sl-SI"/>
        </w:rPr>
      </w:pPr>
      <w:r w:rsidRPr="00F7476E">
        <w:t>In the context of the PISA 2022 research, these instructional practices were measured to evaluate their impact on student performance in mathematics.</w:t>
      </w:r>
    </w:p>
    <w:p w14:paraId="3B4C46C9" w14:textId="1580543C" w:rsidR="00D120D4" w:rsidRDefault="00D120D4" w:rsidP="00D120D4">
      <w:pPr>
        <w:pStyle w:val="Heading3"/>
        <w:numPr>
          <w:ilvl w:val="1"/>
          <w:numId w:val="11"/>
        </w:numPr>
        <w:rPr>
          <w:lang w:val="en-US"/>
        </w:rPr>
      </w:pPr>
      <w:r>
        <w:rPr>
          <w:lang w:val="en-US"/>
        </w:rPr>
        <w:t>Brief background of cluster analysis</w:t>
      </w:r>
    </w:p>
    <w:p w14:paraId="7577B670" w14:textId="6E9DD564" w:rsidR="00D120D4" w:rsidRPr="00D120D4" w:rsidRDefault="00F806C5" w:rsidP="00D120D4">
      <w:pPr>
        <w:rPr>
          <w:lang w:val="en-US"/>
        </w:rPr>
      </w:pPr>
      <w:r w:rsidRPr="00F806C5">
        <w:t>Cluster analysis is a powerful statistical technique widely used in educational research to identify patterns and groupings within datasets</w:t>
      </w:r>
      <w:r w:rsidR="00A43E17">
        <w:t xml:space="preserve"> </w:t>
      </w:r>
      <w:r w:rsidR="00A43E17">
        <w:fldChar w:fldCharType="begin"/>
      </w:r>
      <w:r w:rsidR="00A43E17">
        <w:instrText xml:space="preserve"> ADDIN ZOTERO_ITEM CSL_CITATION {"citationID":"3Pbusq3Z","properties":{"formattedCitation":"(Perrotta &amp; Williamson, 2018)","plainCitation":"(Perrotta &amp; Williamson, 2018)","noteIndex":0},"citationItems":[{"id":877,"uris":["http://zotero.org/users/local/1Uxvmohd/items/E6I66D9A"],"itemData":{"id":877,"type":"article-journal","container-title":"Learning, Media and Technology","DOI":"10.1080/17439884.2016.1182927","ISSN":"1743-9884, 1743-9892","issue":"1","journalAbbreviation":"Learning, Media and Technology","language":"en","page":"3-16","source":"DOI.org (Crossref)","title":"The social life of Learning Analytics: cluster analysis and the ‘performance’ of algorithmic education","title-short":"The social life of Learning Analytics","volume":"43","author":[{"family":"Perrotta","given":"Carlo"},{"family":"Williamson","given":"Ben"}],"issued":{"date-parts":[["2018",1,2]]}}}],"schema":"https://github.com/citation-style-language/schema/raw/master/csl-citation.json"} </w:instrText>
      </w:r>
      <w:r w:rsidR="00A43E17">
        <w:fldChar w:fldCharType="separate"/>
      </w:r>
      <w:r w:rsidR="00945896" w:rsidRPr="00945896">
        <w:rPr>
          <w:rFonts w:ascii="Calibri" w:hAnsi="Calibri" w:cs="Calibri"/>
        </w:rPr>
        <w:t>(Perrotta &amp; Williamson, 2018)</w:t>
      </w:r>
      <w:r w:rsidR="00A43E17">
        <w:fldChar w:fldCharType="end"/>
      </w:r>
      <w:r w:rsidRPr="00F806C5">
        <w:t xml:space="preserve">. In the context of mathematics education, cluster analysis can reveal distinct profiles of student performance, instructional strategies, or educational outcomes, offering valuable insights for educators and policymakers. By clustering </w:t>
      </w:r>
      <w:r w:rsidRPr="00F806C5">
        <w:lastRenderedPageBreak/>
        <w:t xml:space="preserve">similar entities together based on predefined criteria, such as mathematical proficiency levels or instructional methodologies, researchers can uncover meaningful relationships and trends that may not be apparent through traditional analytical methods. This enables a </w:t>
      </w:r>
      <w:r w:rsidR="00A43E17">
        <w:t xml:space="preserve">better </w:t>
      </w:r>
      <w:r w:rsidRPr="00F806C5">
        <w:t>understanding of the factors influencing student achievement and facilitates the development of targeted interventions tailored to specific student needs. In the forthcoming research, cluster analysis will serve as a key tool to explore the relationship between additional mathematics instruction methods on the PISA 2022 assessment in Slovenia</w:t>
      </w:r>
      <w:r w:rsidR="00A43E17">
        <w:t>.</w:t>
      </w:r>
    </w:p>
    <w:p w14:paraId="448108B9" w14:textId="784A5221" w:rsidR="00E94E6B" w:rsidRDefault="00E94E6B" w:rsidP="00E94E6B">
      <w:pPr>
        <w:pStyle w:val="Heading2"/>
        <w:numPr>
          <w:ilvl w:val="0"/>
          <w:numId w:val="11"/>
        </w:numPr>
        <w:rPr>
          <w:lang w:val="en-US"/>
        </w:rPr>
      </w:pPr>
      <w:r>
        <w:rPr>
          <w:lang w:val="en-US"/>
        </w:rPr>
        <w:t>Methods</w:t>
      </w:r>
    </w:p>
    <w:p w14:paraId="1797CA80" w14:textId="66C35C16" w:rsidR="00E94E6B" w:rsidRDefault="00C305A2" w:rsidP="00D120D4">
      <w:pPr>
        <w:pStyle w:val="Heading3"/>
        <w:numPr>
          <w:ilvl w:val="1"/>
          <w:numId w:val="11"/>
        </w:numPr>
        <w:rPr>
          <w:lang w:val="en-US"/>
        </w:rPr>
      </w:pPr>
      <w:r>
        <w:rPr>
          <w:lang w:val="en-US"/>
        </w:rPr>
        <w:t>Study design</w:t>
      </w:r>
    </w:p>
    <w:p w14:paraId="7B054D52" w14:textId="08BEA66C" w:rsidR="00C305A2" w:rsidRDefault="00C305A2" w:rsidP="00E94E6B">
      <w:r w:rsidRPr="00C305A2">
        <w:t>This study employs an empirical causal non-experimental exploratory design, utilizing a quantitative research approach to assess the impact of additional mathematics instruction on the</w:t>
      </w:r>
      <w:r w:rsidR="006F0EFC">
        <w:t xml:space="preserve"> 2022 PISA</w:t>
      </w:r>
      <w:r w:rsidRPr="00C305A2">
        <w:t xml:space="preserve"> results in Slovenia. The primary objective is to explore potential patterns and outcomes associated with enhanced mathematics teaching strategies through clustering analysis techniques.</w:t>
      </w:r>
    </w:p>
    <w:p w14:paraId="568DF921" w14:textId="45E90B82" w:rsidR="00C305A2" w:rsidRDefault="00C305A2" w:rsidP="00D120D4">
      <w:pPr>
        <w:pStyle w:val="Heading3"/>
        <w:numPr>
          <w:ilvl w:val="1"/>
          <w:numId w:val="11"/>
        </w:numPr>
      </w:pPr>
      <w:r>
        <w:t>Data collection</w:t>
      </w:r>
    </w:p>
    <w:p w14:paraId="6D77960B" w14:textId="15032027" w:rsidR="00C305A2" w:rsidRDefault="00C305A2" w:rsidP="00E94E6B">
      <w:r w:rsidRPr="00C305A2">
        <w:t>The dataset for this research was derived from the 2022 PISA results in Slovenia. The Slovenian sample for the 2022 assessment was selected through a multi-stage stratified sampling technique. This method involved selecting a representative cohort of schools followed by 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r>
        <w:t>.</w:t>
      </w:r>
    </w:p>
    <w:p w14:paraId="01FCD366" w14:textId="44D80566" w:rsidR="00C305A2" w:rsidRDefault="00C305A2" w:rsidP="00D120D4">
      <w:pPr>
        <w:pStyle w:val="Heading3"/>
        <w:numPr>
          <w:ilvl w:val="1"/>
          <w:numId w:val="11"/>
        </w:numPr>
      </w:pPr>
      <w:r>
        <w:t>Participants</w:t>
      </w:r>
    </w:p>
    <w:p w14:paraId="42C6756F" w14:textId="24E47C96" w:rsidR="00C305A2" w:rsidRDefault="00C305A2" w:rsidP="00E94E6B">
      <w:r w:rsidRPr="00C305A2">
        <w:t>The initial sample included 6,721 Slovenian students</w:t>
      </w:r>
      <w:r w:rsidR="00C34445">
        <w:t xml:space="preserve"> (from an international pool of </w:t>
      </w:r>
      <w:r w:rsidR="00C34445" w:rsidRPr="00C34445">
        <w:t>613744</w:t>
      </w:r>
      <w:r w:rsidR="00C34445">
        <w:t>)</w:t>
      </w:r>
      <w:r w:rsidRPr="00C305A2">
        <w:t>. Following data cleaning procedures to remove incomplete or inconsistent entries, the final dataset comprised 6,355 responses, with 2,999 male (47.19%) and 3,356 female (52.81%) participants. Most participants (</w:t>
      </w:r>
      <w:r w:rsidR="00C34445" w:rsidRPr="00C34445">
        <w:t xml:space="preserve">96.85 </w:t>
      </w:r>
      <w:r>
        <w:t>%)</w:t>
      </w:r>
      <w:r w:rsidRPr="00C305A2">
        <w:t xml:space="preserve"> were in Grade 10, corresponding to the first grade of high school or gymnasium in the Slovene educational system.</w:t>
      </w:r>
    </w:p>
    <w:p w14:paraId="047B402A" w14:textId="48C6FE77" w:rsidR="00C305A2" w:rsidRPr="00C305A2" w:rsidRDefault="00C305A2" w:rsidP="00D120D4">
      <w:pPr>
        <w:pStyle w:val="Heading3"/>
        <w:numPr>
          <w:ilvl w:val="1"/>
          <w:numId w:val="11"/>
        </w:numPr>
        <w:rPr>
          <w:lang w:val="sl-SI"/>
        </w:rPr>
      </w:pPr>
      <w:proofErr w:type="spellStart"/>
      <w:r w:rsidRPr="00C305A2">
        <w:rPr>
          <w:lang w:val="sl-SI"/>
        </w:rPr>
        <w:t>Ethical</w:t>
      </w:r>
      <w:proofErr w:type="spellEnd"/>
      <w:r w:rsidRPr="00C305A2">
        <w:rPr>
          <w:lang w:val="sl-SI"/>
        </w:rPr>
        <w:t xml:space="preserve"> </w:t>
      </w:r>
      <w:proofErr w:type="spellStart"/>
      <w:r w:rsidRPr="00C305A2">
        <w:rPr>
          <w:lang w:val="sl-SI"/>
        </w:rPr>
        <w:t>Considerations</w:t>
      </w:r>
      <w:proofErr w:type="spellEnd"/>
    </w:p>
    <w:p w14:paraId="07593572" w14:textId="77777777" w:rsidR="00C305A2" w:rsidRPr="00C305A2" w:rsidRDefault="00C305A2" w:rsidP="00C305A2">
      <w:pPr>
        <w:rPr>
          <w:lang w:val="sl-SI"/>
        </w:rPr>
      </w:pPr>
      <w:proofErr w:type="spellStart"/>
      <w:r w:rsidRPr="00C305A2">
        <w:rPr>
          <w:lang w:val="sl-SI"/>
        </w:rPr>
        <w:t>All</w:t>
      </w:r>
      <w:proofErr w:type="spellEnd"/>
      <w:r w:rsidRPr="00C305A2">
        <w:rPr>
          <w:lang w:val="sl-SI"/>
        </w:rPr>
        <w:t xml:space="preserve"> </w:t>
      </w:r>
      <w:proofErr w:type="spellStart"/>
      <w:r w:rsidRPr="00C305A2">
        <w:rPr>
          <w:lang w:val="sl-SI"/>
        </w:rPr>
        <w:t>participants</w:t>
      </w:r>
      <w:proofErr w:type="spellEnd"/>
      <w:r w:rsidRPr="00C305A2">
        <w:rPr>
          <w:lang w:val="sl-SI"/>
        </w:rPr>
        <w:t xml:space="preserve"> </w:t>
      </w:r>
      <w:proofErr w:type="spellStart"/>
      <w:r w:rsidRPr="00C305A2">
        <w:rPr>
          <w:lang w:val="sl-SI"/>
        </w:rPr>
        <w:t>provided</w:t>
      </w:r>
      <w:proofErr w:type="spellEnd"/>
      <w:r w:rsidRPr="00C305A2">
        <w:rPr>
          <w:lang w:val="sl-SI"/>
        </w:rPr>
        <w:t xml:space="preserve"> </w:t>
      </w:r>
      <w:proofErr w:type="spellStart"/>
      <w:r w:rsidRPr="00C305A2">
        <w:rPr>
          <w:lang w:val="sl-SI"/>
        </w:rPr>
        <w:t>informed</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minors</w:t>
      </w:r>
      <w:proofErr w:type="spellEnd"/>
      <w:r w:rsidRPr="00C305A2">
        <w:rPr>
          <w:lang w:val="sl-SI"/>
        </w:rPr>
        <w:t xml:space="preserve"> </w:t>
      </w:r>
      <w:proofErr w:type="spellStart"/>
      <w:r w:rsidRPr="00C305A2">
        <w:rPr>
          <w:lang w:val="sl-SI"/>
        </w:rPr>
        <w:t>obtaining</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from</w:t>
      </w:r>
      <w:proofErr w:type="spellEnd"/>
      <w:r w:rsidRPr="00C305A2">
        <w:rPr>
          <w:lang w:val="sl-SI"/>
        </w:rPr>
        <w:t xml:space="preserve"> </w:t>
      </w:r>
      <w:proofErr w:type="spellStart"/>
      <w:r w:rsidRPr="00C305A2">
        <w:rPr>
          <w:lang w:val="sl-SI"/>
        </w:rPr>
        <w:t>their</w:t>
      </w:r>
      <w:proofErr w:type="spellEnd"/>
      <w:r w:rsidRPr="00C305A2">
        <w:rPr>
          <w:lang w:val="sl-SI"/>
        </w:rPr>
        <w:t xml:space="preserve"> </w:t>
      </w:r>
      <w:proofErr w:type="spellStart"/>
      <w:r w:rsidRPr="00C305A2">
        <w:rPr>
          <w:lang w:val="sl-SI"/>
        </w:rPr>
        <w:t>guardians</w:t>
      </w:r>
      <w:proofErr w:type="spellEnd"/>
      <w:r w:rsidRPr="00C305A2">
        <w:rPr>
          <w:lang w:val="sl-SI"/>
        </w:rPr>
        <w:t xml:space="preserve">. </w:t>
      </w:r>
      <w:proofErr w:type="spellStart"/>
      <w:r w:rsidRPr="00C305A2">
        <w:rPr>
          <w:lang w:val="sl-SI"/>
        </w:rPr>
        <w:t>Participation</w:t>
      </w:r>
      <w:proofErr w:type="spellEnd"/>
      <w:r w:rsidRPr="00C305A2">
        <w:rPr>
          <w:lang w:val="sl-SI"/>
        </w:rPr>
        <w:t xml:space="preserve"> </w:t>
      </w:r>
      <w:proofErr w:type="spellStart"/>
      <w:r w:rsidRPr="00C305A2">
        <w:rPr>
          <w:lang w:val="sl-SI"/>
        </w:rPr>
        <w:t>was</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voluntary</w:t>
      </w:r>
      <w:proofErr w:type="spellEnd"/>
      <w:r w:rsidRPr="00C305A2">
        <w:rPr>
          <w:lang w:val="sl-SI"/>
        </w:rPr>
        <w:t xml:space="preserve">, </w:t>
      </w:r>
      <w:proofErr w:type="spellStart"/>
      <w:r w:rsidRPr="00C305A2">
        <w:rPr>
          <w:lang w:val="sl-SI"/>
        </w:rPr>
        <w:t>and</w:t>
      </w:r>
      <w:proofErr w:type="spellEnd"/>
      <w:r w:rsidRPr="00C305A2">
        <w:rPr>
          <w:lang w:val="sl-SI"/>
        </w:rPr>
        <w:t xml:space="preserve"> no </w:t>
      </w:r>
      <w:proofErr w:type="spellStart"/>
      <w:r w:rsidRPr="00C305A2">
        <w:rPr>
          <w:lang w:val="sl-SI"/>
        </w:rPr>
        <w:t>financial</w:t>
      </w:r>
      <w:proofErr w:type="spellEnd"/>
      <w:r w:rsidRPr="00C305A2">
        <w:rPr>
          <w:lang w:val="sl-SI"/>
        </w:rPr>
        <w:t xml:space="preserve"> </w:t>
      </w:r>
      <w:proofErr w:type="spellStart"/>
      <w:r w:rsidRPr="00C305A2">
        <w:rPr>
          <w:lang w:val="sl-SI"/>
        </w:rPr>
        <w:t>incentives</w:t>
      </w:r>
      <w:proofErr w:type="spellEnd"/>
      <w:r w:rsidRPr="00C305A2">
        <w:rPr>
          <w:lang w:val="sl-SI"/>
        </w:rPr>
        <w:t xml:space="preserve"> </w:t>
      </w:r>
      <w:proofErr w:type="spellStart"/>
      <w:r w:rsidRPr="00C305A2">
        <w:rPr>
          <w:lang w:val="sl-SI"/>
        </w:rPr>
        <w:t>were</w:t>
      </w:r>
      <w:proofErr w:type="spellEnd"/>
      <w:r w:rsidRPr="00C305A2">
        <w:rPr>
          <w:lang w:val="sl-SI"/>
        </w:rPr>
        <w:t xml:space="preserve"> </w:t>
      </w:r>
      <w:proofErr w:type="spellStart"/>
      <w:r w:rsidRPr="00C305A2">
        <w:rPr>
          <w:lang w:val="sl-SI"/>
        </w:rPr>
        <w:t>offered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study</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adhered</w:t>
      </w:r>
      <w:proofErr w:type="spellEnd"/>
      <w:r w:rsidRPr="00C305A2">
        <w:rPr>
          <w:lang w:val="sl-SI"/>
        </w:rPr>
        <w:t xml:space="preserve"> to </w:t>
      </w:r>
      <w:proofErr w:type="spellStart"/>
      <w:r w:rsidRPr="00C305A2">
        <w:rPr>
          <w:lang w:val="sl-SI"/>
        </w:rPr>
        <w:t>the</w:t>
      </w:r>
      <w:proofErr w:type="spellEnd"/>
      <w:r w:rsidRPr="00C305A2">
        <w:rPr>
          <w:lang w:val="sl-SI"/>
        </w:rPr>
        <w:t xml:space="preserve"> </w:t>
      </w:r>
      <w:proofErr w:type="spellStart"/>
      <w:r w:rsidRPr="00C305A2">
        <w:rPr>
          <w:lang w:val="sl-SI"/>
        </w:rPr>
        <w:t>ethical</w:t>
      </w:r>
      <w:proofErr w:type="spellEnd"/>
      <w:r w:rsidRPr="00C305A2">
        <w:rPr>
          <w:lang w:val="sl-SI"/>
        </w:rPr>
        <w:t xml:space="preserve"> </w:t>
      </w:r>
      <w:proofErr w:type="spellStart"/>
      <w:r w:rsidRPr="00C305A2">
        <w:rPr>
          <w:lang w:val="sl-SI"/>
        </w:rPr>
        <w:t>standards</w:t>
      </w:r>
      <w:proofErr w:type="spellEnd"/>
      <w:r w:rsidRPr="00C305A2">
        <w:rPr>
          <w:lang w:val="sl-SI"/>
        </w:rPr>
        <w:t xml:space="preserve"> </w:t>
      </w:r>
      <w:proofErr w:type="spellStart"/>
      <w:r w:rsidRPr="00C305A2">
        <w:rPr>
          <w:lang w:val="sl-SI"/>
        </w:rPr>
        <w:t>laid</w:t>
      </w:r>
      <w:proofErr w:type="spellEnd"/>
      <w:r w:rsidRPr="00C305A2">
        <w:rPr>
          <w:lang w:val="sl-SI"/>
        </w:rPr>
        <w:t xml:space="preserve"> out in </w:t>
      </w:r>
      <w:proofErr w:type="spellStart"/>
      <w:r w:rsidRPr="00C305A2">
        <w:rPr>
          <w:lang w:val="sl-SI"/>
        </w:rPr>
        <w:t>the</w:t>
      </w:r>
      <w:proofErr w:type="spellEnd"/>
      <w:r w:rsidRPr="00C305A2">
        <w:rPr>
          <w:lang w:val="sl-SI"/>
        </w:rPr>
        <w:t xml:space="preserve"> 1964 </w:t>
      </w:r>
      <w:proofErr w:type="spellStart"/>
      <w:r w:rsidRPr="00C305A2">
        <w:rPr>
          <w:lang w:val="sl-SI"/>
        </w:rPr>
        <w:t>Declaration</w:t>
      </w:r>
      <w:proofErr w:type="spellEnd"/>
      <w:r w:rsidRPr="00C305A2">
        <w:rPr>
          <w:lang w:val="sl-SI"/>
        </w:rPr>
        <w:t xml:space="preserve"> </w:t>
      </w:r>
      <w:proofErr w:type="spellStart"/>
      <w:r w:rsidRPr="00C305A2">
        <w:rPr>
          <w:lang w:val="sl-SI"/>
        </w:rPr>
        <w:t>of</w:t>
      </w:r>
      <w:proofErr w:type="spellEnd"/>
      <w:r w:rsidRPr="00C305A2">
        <w:rPr>
          <w:lang w:val="sl-SI"/>
        </w:rPr>
        <w:t xml:space="preserve"> Helsinki, </w:t>
      </w:r>
      <w:proofErr w:type="spellStart"/>
      <w:r w:rsidRPr="00C305A2">
        <w:rPr>
          <w:lang w:val="sl-SI"/>
        </w:rPr>
        <w:t>complied</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General Data </w:t>
      </w:r>
      <w:proofErr w:type="spellStart"/>
      <w:r w:rsidRPr="00C305A2">
        <w:rPr>
          <w:lang w:val="sl-SI"/>
        </w:rPr>
        <w:t>Protection</w:t>
      </w:r>
      <w:proofErr w:type="spellEnd"/>
      <w:r w:rsidRPr="00C305A2">
        <w:rPr>
          <w:lang w:val="sl-SI"/>
        </w:rPr>
        <w:t xml:space="preserve"> </w:t>
      </w:r>
      <w:proofErr w:type="spellStart"/>
      <w:r w:rsidRPr="00C305A2">
        <w:rPr>
          <w:lang w:val="sl-SI"/>
        </w:rPr>
        <w:t>Regulation</w:t>
      </w:r>
      <w:proofErr w:type="spellEnd"/>
      <w:r w:rsidRPr="00C305A2">
        <w:rPr>
          <w:lang w:val="sl-SI"/>
        </w:rPr>
        <w:t xml:space="preserve"> (GDPR UE 2016/67), </w:t>
      </w:r>
      <w:proofErr w:type="spellStart"/>
      <w:r w:rsidRPr="00C305A2">
        <w:rPr>
          <w:lang w:val="sl-SI"/>
        </w:rPr>
        <w:t>and</w:t>
      </w:r>
      <w:proofErr w:type="spellEnd"/>
      <w:r w:rsidRPr="00C305A2">
        <w:rPr>
          <w:lang w:val="sl-SI"/>
        </w:rPr>
        <w:t xml:space="preserve"> </w:t>
      </w:r>
      <w:proofErr w:type="spellStart"/>
      <w:r w:rsidRPr="00C305A2">
        <w:rPr>
          <w:lang w:val="sl-SI"/>
        </w:rPr>
        <w:t>followed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w:t>
      </w:r>
      <w:proofErr w:type="spellStart"/>
      <w:r w:rsidRPr="00C305A2">
        <w:rPr>
          <w:lang w:val="sl-SI"/>
        </w:rPr>
        <w:t>Code</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Conduct</w:t>
      </w:r>
      <w:proofErr w:type="spellEnd"/>
      <w:r w:rsidRPr="00C305A2">
        <w:rPr>
          <w:lang w:val="sl-SI"/>
        </w:rPr>
        <w:t xml:space="preserve"> </w:t>
      </w:r>
      <w:proofErr w:type="spellStart"/>
      <w:r w:rsidRPr="00C305A2">
        <w:rPr>
          <w:lang w:val="sl-SI"/>
        </w:rPr>
        <w:t>for</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These</w:t>
      </w:r>
      <w:proofErr w:type="spellEnd"/>
      <w:r w:rsidRPr="00C305A2">
        <w:rPr>
          <w:lang w:val="sl-SI"/>
        </w:rPr>
        <w:t xml:space="preserve"> </w:t>
      </w:r>
      <w:proofErr w:type="spellStart"/>
      <w:r w:rsidRPr="00C305A2">
        <w:rPr>
          <w:lang w:val="sl-SI"/>
        </w:rPr>
        <w:t>frameworks</w:t>
      </w:r>
      <w:proofErr w:type="spellEnd"/>
      <w:r w:rsidRPr="00C305A2">
        <w:rPr>
          <w:lang w:val="sl-SI"/>
        </w:rPr>
        <w:t xml:space="preserve"> </w:t>
      </w:r>
      <w:proofErr w:type="spellStart"/>
      <w:r w:rsidRPr="00C305A2">
        <w:rPr>
          <w:lang w:val="sl-SI"/>
        </w:rPr>
        <w:t>ensured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protection</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participant</w:t>
      </w:r>
      <w:proofErr w:type="spellEnd"/>
      <w:r w:rsidRPr="00C305A2">
        <w:rPr>
          <w:lang w:val="sl-SI"/>
        </w:rPr>
        <w:t xml:space="preserve"> data </w:t>
      </w:r>
      <w:proofErr w:type="spellStart"/>
      <w:r w:rsidRPr="00C305A2">
        <w:rPr>
          <w:lang w:val="sl-SI"/>
        </w:rPr>
        <w:t>and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practices</w:t>
      </w:r>
      <w:proofErr w:type="spellEnd"/>
      <w:r w:rsidRPr="00C305A2">
        <w:rPr>
          <w:lang w:val="sl-SI"/>
        </w:rPr>
        <w:t>.</w:t>
      </w:r>
    </w:p>
    <w:p w14:paraId="6DB86D81" w14:textId="117C1176" w:rsidR="00C82440" w:rsidRDefault="00C82440" w:rsidP="00C82440">
      <w:pPr>
        <w:pStyle w:val="Heading2"/>
        <w:numPr>
          <w:ilvl w:val="0"/>
          <w:numId w:val="11"/>
        </w:numPr>
        <w:rPr>
          <w:lang w:val="en-US"/>
        </w:rPr>
      </w:pPr>
      <w:r>
        <w:rPr>
          <w:lang w:val="en-US"/>
        </w:rPr>
        <w:t>Results</w:t>
      </w:r>
    </w:p>
    <w:p w14:paraId="2696867C" w14:textId="23C469BA" w:rsidR="0040713F" w:rsidRPr="0040713F" w:rsidRDefault="0040713F" w:rsidP="0040713F">
      <w:pPr>
        <w:rPr>
          <w:lang w:val="en-US"/>
        </w:rPr>
      </w:pPr>
      <w:r w:rsidRPr="0040713F">
        <w:t xml:space="preserve">For preliminary analysis, the histogram distribution of learning method usage can be found in </w:t>
      </w:r>
      <w:r w:rsidR="007302DA">
        <w:fldChar w:fldCharType="begin"/>
      </w:r>
      <w:r w:rsidR="007302DA">
        <w:instrText xml:space="preserve"> REF _Ref167434915 \h </w:instrText>
      </w:r>
      <w:r w:rsidR="007302DA">
        <w:fldChar w:fldCharType="separate"/>
      </w:r>
      <w:r w:rsidR="007302DA">
        <w:t xml:space="preserve">Figure </w:t>
      </w:r>
      <w:r w:rsidR="007302DA">
        <w:rPr>
          <w:noProof/>
        </w:rPr>
        <w:t>1</w:t>
      </w:r>
      <w:r w:rsidR="007302DA">
        <w:fldChar w:fldCharType="end"/>
      </w:r>
      <w:r w:rsidR="007302DA">
        <w:t>.</w:t>
      </w:r>
      <w:r>
        <w:t xml:space="preserve"> We can observe </w:t>
      </w:r>
      <w:proofErr w:type="spellStart"/>
      <w:r>
        <w:t>that</w:t>
      </w:r>
      <w:r w:rsidR="007302DA">
        <w:t>most</w:t>
      </w:r>
      <w:proofErr w:type="spellEnd"/>
      <w:r w:rsidR="007302DA">
        <w:t xml:space="preserve"> of the participants </w:t>
      </w:r>
      <w:proofErr w:type="spellStart"/>
      <w:r w:rsidR="007302DA">
        <w:t>imploy</w:t>
      </w:r>
      <w:proofErr w:type="spellEnd"/>
      <w:r w:rsidR="007302DA">
        <w:t xml:space="preserve"> no additional instruction methods, and that group learning practices are badly represented.</w:t>
      </w:r>
      <w:r w:rsidR="007C1B63">
        <w:t xml:space="preserve"> </w:t>
      </w:r>
      <w:r w:rsidR="007C1B63" w:rsidRPr="00332454">
        <w:rPr>
          <w:highlight w:val="yellow"/>
        </w:rPr>
        <w:t>We performed the same analy</w:t>
      </w:r>
      <w:r w:rsidR="00956A64" w:rsidRPr="00332454">
        <w:rPr>
          <w:highlight w:val="yellow"/>
        </w:rPr>
        <w:t>sis for all particip</w:t>
      </w:r>
      <w:r w:rsidR="00332454" w:rsidRPr="00332454">
        <w:rPr>
          <w:highlight w:val="yellow"/>
        </w:rPr>
        <w:t>ants. While the extrinsic picture is the same, the main difference lies in Slovene students prioritizing video instructional methods, while other participants in the study mostly do not.</w:t>
      </w:r>
    </w:p>
    <w:p w14:paraId="7B7A7F8F" w14:textId="33D9D95F" w:rsidR="00C82440" w:rsidRDefault="00C82440" w:rsidP="00C82440">
      <w:pPr>
        <w:rPr>
          <w:lang w:val="en-US"/>
        </w:rPr>
      </w:pPr>
    </w:p>
    <w:p w14:paraId="7E9EFBD0" w14:textId="1F7BCF1E" w:rsidR="007302DA" w:rsidRDefault="007C1B63" w:rsidP="007302DA">
      <w:pPr>
        <w:keepNext/>
      </w:pPr>
      <w:r w:rsidRPr="007C1B63">
        <w:rPr>
          <w:noProof/>
        </w:rPr>
        <w:lastRenderedPageBreak/>
        <w:drawing>
          <wp:inline distT="0" distB="0" distL="0" distR="0" wp14:anchorId="6BC58178" wp14:editId="2DE75860">
            <wp:extent cx="3219147" cy="2277745"/>
            <wp:effectExtent l="0" t="0" r="635" b="8255"/>
            <wp:docPr id="183702335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23357" name="Picture 1" descr="A graph of different colored bars&#10;&#10;Description automatically generated"/>
                    <pic:cNvPicPr/>
                  </pic:nvPicPr>
                  <pic:blipFill>
                    <a:blip r:embed="rId8"/>
                    <a:stretch>
                      <a:fillRect/>
                    </a:stretch>
                  </pic:blipFill>
                  <pic:spPr>
                    <a:xfrm>
                      <a:off x="0" y="0"/>
                      <a:ext cx="3220897" cy="2278983"/>
                    </a:xfrm>
                    <a:prstGeom prst="rect">
                      <a:avLst/>
                    </a:prstGeom>
                  </pic:spPr>
                </pic:pic>
              </a:graphicData>
            </a:graphic>
          </wp:inline>
        </w:drawing>
      </w:r>
    </w:p>
    <w:p w14:paraId="76EC7967" w14:textId="66A5BF5B" w:rsidR="00E94E6B" w:rsidRDefault="007302DA" w:rsidP="007302DA">
      <w:pPr>
        <w:pStyle w:val="Caption"/>
      </w:pPr>
      <w:bookmarkStart w:id="0" w:name="_Ref167434915"/>
      <w:r>
        <w:t xml:space="preserve">Figure </w:t>
      </w:r>
      <w:r>
        <w:fldChar w:fldCharType="begin"/>
      </w:r>
      <w:r>
        <w:instrText xml:space="preserve"> SEQ Figure \* ARABIC </w:instrText>
      </w:r>
      <w:r>
        <w:fldChar w:fldCharType="separate"/>
      </w:r>
      <w:r w:rsidR="00E541ED">
        <w:rPr>
          <w:noProof/>
        </w:rPr>
        <w:t>1</w:t>
      </w:r>
      <w:r>
        <w:fldChar w:fldCharType="end"/>
      </w:r>
      <w:bookmarkEnd w:id="0"/>
      <w:r>
        <w:t>: Comparison of selected learning method usage.</w:t>
      </w:r>
    </w:p>
    <w:p w14:paraId="00995C01" w14:textId="23DDDFFB" w:rsidR="007C1B63" w:rsidRPr="007C1B63" w:rsidRDefault="007C1B63" w:rsidP="007C1B63">
      <w:r w:rsidRPr="007C1B63">
        <w:rPr>
          <w:noProof/>
        </w:rPr>
        <w:drawing>
          <wp:inline distT="0" distB="0" distL="0" distR="0" wp14:anchorId="11E67501" wp14:editId="0F6A38D7">
            <wp:extent cx="3519444" cy="2442118"/>
            <wp:effectExtent l="0" t="0" r="5080" b="0"/>
            <wp:docPr id="89729286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92867" name="Picture 1" descr="A graph of different colored bars&#10;&#10;Description automatically generated"/>
                    <pic:cNvPicPr/>
                  </pic:nvPicPr>
                  <pic:blipFill>
                    <a:blip r:embed="rId9"/>
                    <a:stretch>
                      <a:fillRect/>
                    </a:stretch>
                  </pic:blipFill>
                  <pic:spPr>
                    <a:xfrm>
                      <a:off x="0" y="0"/>
                      <a:ext cx="3531274" cy="2450327"/>
                    </a:xfrm>
                    <a:prstGeom prst="rect">
                      <a:avLst/>
                    </a:prstGeom>
                  </pic:spPr>
                </pic:pic>
              </a:graphicData>
            </a:graphic>
          </wp:inline>
        </w:drawing>
      </w:r>
    </w:p>
    <w:p w14:paraId="672BD9F6" w14:textId="2D4FBC66" w:rsidR="00E94E6B" w:rsidRDefault="00131F75" w:rsidP="00C82440">
      <w:r w:rsidRPr="00131F75">
        <w:t xml:space="preserve">Then, we employed clustering techniques, utilizing the </w:t>
      </w:r>
      <w:r w:rsidRPr="00131F75">
        <w:rPr>
          <w:i/>
          <w:iCs/>
        </w:rPr>
        <w:t>elbow method</w:t>
      </w:r>
      <w:r w:rsidRPr="00131F75">
        <w:t xml:space="preserve"> and </w:t>
      </w:r>
      <w:r w:rsidRPr="00131F75">
        <w:rPr>
          <w:i/>
          <w:iCs/>
        </w:rPr>
        <w:t>silhouette scores</w:t>
      </w:r>
      <w:r w:rsidRPr="00131F75">
        <w:t xml:space="preserve"> to determine that the optimal number of clusters was three</w:t>
      </w:r>
      <w:r>
        <w:t xml:space="preserve"> (both methods are visualized in supplementary material)</w:t>
      </w:r>
      <w:r w:rsidRPr="00131F75">
        <w:t>. This conclusion aligns with the prevailing consensus</w:t>
      </w:r>
      <w:r>
        <w:t xml:space="preserve"> (</w:t>
      </w:r>
      <w:r w:rsidRPr="00131F75">
        <w:rPr>
          <w:highlight w:val="yellow"/>
        </w:rPr>
        <w:t xml:space="preserve">to mi </w:t>
      </w:r>
      <w:proofErr w:type="spellStart"/>
      <w:r w:rsidRPr="00131F75">
        <w:rPr>
          <w:highlight w:val="yellow"/>
        </w:rPr>
        <w:t>ni</w:t>
      </w:r>
      <w:proofErr w:type="spellEnd"/>
      <w:r w:rsidRPr="00131F75">
        <w:rPr>
          <w:highlight w:val="yellow"/>
        </w:rPr>
        <w:t xml:space="preserve"> </w:t>
      </w:r>
      <w:proofErr w:type="spellStart"/>
      <w:r w:rsidRPr="00131F75">
        <w:rPr>
          <w:highlight w:val="yellow"/>
        </w:rPr>
        <w:t>všeč</w:t>
      </w:r>
      <w:proofErr w:type="spellEnd"/>
      <w:r w:rsidRPr="00131F75">
        <w:rPr>
          <w:highlight w:val="yellow"/>
        </w:rPr>
        <w:t xml:space="preserve">, </w:t>
      </w:r>
      <w:proofErr w:type="spellStart"/>
      <w:r w:rsidRPr="00131F75">
        <w:rPr>
          <w:highlight w:val="yellow"/>
        </w:rPr>
        <w:t>saj</w:t>
      </w:r>
      <w:proofErr w:type="spellEnd"/>
      <w:r w:rsidRPr="00131F75">
        <w:rPr>
          <w:highlight w:val="yellow"/>
        </w:rPr>
        <w:t xml:space="preserve"> </w:t>
      </w:r>
      <w:proofErr w:type="spellStart"/>
      <w:r w:rsidRPr="00131F75">
        <w:rPr>
          <w:highlight w:val="yellow"/>
        </w:rPr>
        <w:t>gre</w:t>
      </w:r>
      <w:proofErr w:type="spellEnd"/>
      <w:r w:rsidRPr="00131F75">
        <w:rPr>
          <w:highlight w:val="yellow"/>
        </w:rPr>
        <w:t xml:space="preserve"> le za “</w:t>
      </w:r>
      <w:proofErr w:type="spellStart"/>
      <w:r w:rsidRPr="00131F75">
        <w:rPr>
          <w:highlight w:val="yellow"/>
        </w:rPr>
        <w:t>moje</w:t>
      </w:r>
      <w:proofErr w:type="spellEnd"/>
      <w:r w:rsidRPr="00131F75">
        <w:rPr>
          <w:highlight w:val="yellow"/>
        </w:rPr>
        <w:t xml:space="preserve">” </w:t>
      </w:r>
      <w:proofErr w:type="spellStart"/>
      <w:r w:rsidRPr="00131F75">
        <w:rPr>
          <w:highlight w:val="yellow"/>
        </w:rPr>
        <w:t>mnenje</w:t>
      </w:r>
      <w:proofErr w:type="spellEnd"/>
      <w:r w:rsidRPr="00131F75">
        <w:rPr>
          <w:highlight w:val="yellow"/>
        </w:rPr>
        <w:t xml:space="preserve"> in ne za </w:t>
      </w:r>
      <w:proofErr w:type="spellStart"/>
      <w:r w:rsidRPr="00131F75">
        <w:rPr>
          <w:highlight w:val="yellow"/>
        </w:rPr>
        <w:t>kakšne</w:t>
      </w:r>
      <w:proofErr w:type="spellEnd"/>
      <w:r w:rsidRPr="00131F75">
        <w:rPr>
          <w:highlight w:val="yellow"/>
        </w:rPr>
        <w:t xml:space="preserve"> </w:t>
      </w:r>
      <w:proofErr w:type="spellStart"/>
      <w:r w:rsidRPr="00131F75">
        <w:rPr>
          <w:highlight w:val="yellow"/>
        </w:rPr>
        <w:t>postavljene</w:t>
      </w:r>
      <w:proofErr w:type="spellEnd"/>
      <w:r w:rsidRPr="00131F75">
        <w:rPr>
          <w:highlight w:val="yellow"/>
        </w:rPr>
        <w:t xml:space="preserve"> </w:t>
      </w:r>
      <w:proofErr w:type="spellStart"/>
      <w:r w:rsidRPr="00131F75">
        <w:rPr>
          <w:highlight w:val="yellow"/>
        </w:rPr>
        <w:t>hipoteze</w:t>
      </w:r>
      <w:proofErr w:type="spellEnd"/>
      <w:r>
        <w:t>)</w:t>
      </w:r>
      <w:r w:rsidRPr="00131F75">
        <w:t xml:space="preserve"> that categorizes the instructional methods into group practices, ICT and video instruction, and non-participation.</w:t>
      </w:r>
    </w:p>
    <w:p w14:paraId="559DE717" w14:textId="4C2D5F68" w:rsidR="00131F75" w:rsidRDefault="00131F75" w:rsidP="00C82440">
      <w:pPr>
        <w:rPr>
          <w:lang w:val="en-US"/>
        </w:rPr>
      </w:pPr>
      <w:r>
        <w:t>Cluster means centroids</w:t>
      </w:r>
      <w:r w:rsidR="00E541ED">
        <w:t xml:space="preserve"> using </w:t>
      </w:r>
      <w:r w:rsidR="00E541ED" w:rsidRPr="00E541ED">
        <w:rPr>
          <w:i/>
          <w:iCs/>
        </w:rPr>
        <w:t>k-means</w:t>
      </w:r>
      <w:r>
        <w:t xml:space="preserve"> can be found in </w:t>
      </w:r>
      <w:r w:rsidR="00E541ED">
        <w:fldChar w:fldCharType="begin"/>
      </w:r>
      <w:r w:rsidR="00E541ED">
        <w:instrText xml:space="preserve"> REF _Ref167437152 \h </w:instrText>
      </w:r>
      <w:r w:rsidR="00E541ED">
        <w:fldChar w:fldCharType="separate"/>
      </w:r>
      <w:r w:rsidR="00E541ED">
        <w:t xml:space="preserve">Figure </w:t>
      </w:r>
      <w:r w:rsidR="00E541ED">
        <w:rPr>
          <w:noProof/>
        </w:rPr>
        <w:t>2</w:t>
      </w:r>
      <w:r w:rsidR="00E541ED">
        <w:fldChar w:fldCharType="end"/>
      </w:r>
      <w:r w:rsidR="00946C19">
        <w:t xml:space="preserve">. </w:t>
      </w:r>
      <w:r w:rsidR="00E541ED">
        <w:t xml:space="preserve">Cluster 0 represents students who engage heavily with video-recorded </w:t>
      </w:r>
      <w:r w:rsidR="00E541ED" w:rsidRPr="00E541ED">
        <w:t>instruction and moderately with other supplementary methods</w:t>
      </w:r>
      <w:r w:rsidR="00E541ED">
        <w:t>, cluster 1 s</w:t>
      </w:r>
      <w:r w:rsidR="00E541ED" w:rsidRPr="00E541ED">
        <w:t>tudents who do not participate in any additional mathematics instruction</w:t>
      </w:r>
      <w:r w:rsidR="00E541ED">
        <w:t xml:space="preserve">, and </w:t>
      </w:r>
      <w:proofErr w:type="spellStart"/>
      <w:r w:rsidR="00E541ED">
        <w:t>cluser</w:t>
      </w:r>
      <w:proofErr w:type="spellEnd"/>
      <w:r w:rsidR="00E541ED">
        <w:t xml:space="preserve"> 2 s</w:t>
      </w:r>
      <w:r w:rsidR="00E541ED" w:rsidRPr="00E541ED">
        <w:t>tudents who prefer one-on-one tutoring and small group study sessions, with minimal engagement in other forms of additional instruction.</w:t>
      </w:r>
      <w:r w:rsidR="00E541ED">
        <w:t xml:space="preserve"> </w:t>
      </w:r>
      <w:r w:rsidR="00E541ED" w:rsidRPr="00E541ED">
        <w:t xml:space="preserve">Given that </w:t>
      </w:r>
      <w:r w:rsidR="00E541ED">
        <w:t>the chosen method</w:t>
      </w:r>
      <w:r w:rsidR="00E541ED" w:rsidRPr="00E541ED">
        <w:t xml:space="preserve"> was a multiple choice </w:t>
      </w:r>
      <w:proofErr w:type="spellStart"/>
      <w:r w:rsidR="00E541ED">
        <w:t>anwser</w:t>
      </w:r>
      <w:proofErr w:type="spellEnd"/>
      <w:r w:rsidR="00E541ED" w:rsidRPr="00E541ED">
        <w:t>, the results align sensibly</w:t>
      </w:r>
      <w:r w:rsidR="00E541ED">
        <w:t>.</w:t>
      </w:r>
    </w:p>
    <w:p w14:paraId="4ED95A27" w14:textId="77777777" w:rsidR="00E541ED" w:rsidRDefault="00E94E6B" w:rsidP="00E541ED">
      <w:pPr>
        <w:keepNext/>
      </w:pPr>
      <w:r w:rsidRPr="00E94E6B">
        <w:rPr>
          <w:noProof/>
          <w:lang w:val="en-US"/>
        </w:rPr>
        <w:lastRenderedPageBreak/>
        <w:drawing>
          <wp:inline distT="0" distB="0" distL="0" distR="0" wp14:anchorId="14154F3B" wp14:editId="5D73A781">
            <wp:extent cx="3040380" cy="2838435"/>
            <wp:effectExtent l="0" t="0" r="7620" b="635"/>
            <wp:docPr id="13262559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55993" name="Picture 1" descr="A screenshot of a graph&#10;&#10;Description automatically generated"/>
                    <pic:cNvPicPr/>
                  </pic:nvPicPr>
                  <pic:blipFill>
                    <a:blip r:embed="rId10"/>
                    <a:stretch>
                      <a:fillRect/>
                    </a:stretch>
                  </pic:blipFill>
                  <pic:spPr>
                    <a:xfrm>
                      <a:off x="0" y="0"/>
                      <a:ext cx="3043346" cy="2841204"/>
                    </a:xfrm>
                    <a:prstGeom prst="rect">
                      <a:avLst/>
                    </a:prstGeom>
                  </pic:spPr>
                </pic:pic>
              </a:graphicData>
            </a:graphic>
          </wp:inline>
        </w:drawing>
      </w:r>
    </w:p>
    <w:p w14:paraId="1AE8B7EC" w14:textId="02417554" w:rsidR="007C1B63" w:rsidRPr="007C1B63" w:rsidRDefault="00E541ED" w:rsidP="009D3AAD">
      <w:pPr>
        <w:pStyle w:val="Caption"/>
      </w:pPr>
      <w:bookmarkStart w:id="1" w:name="_Ref167437152"/>
      <w:r>
        <w:t xml:space="preserve">Figure </w:t>
      </w:r>
      <w:r>
        <w:fldChar w:fldCharType="begin"/>
      </w:r>
      <w:r>
        <w:instrText xml:space="preserve"> SEQ Figure \* ARABIC </w:instrText>
      </w:r>
      <w:r>
        <w:fldChar w:fldCharType="separate"/>
      </w:r>
      <w:r>
        <w:rPr>
          <w:noProof/>
        </w:rPr>
        <w:t>2</w:t>
      </w:r>
      <w:r>
        <w:fldChar w:fldCharType="end"/>
      </w:r>
      <w:bookmarkEnd w:id="1"/>
      <w:r>
        <w:t>: Cluster centroids data.</w:t>
      </w:r>
    </w:p>
    <w:p w14:paraId="74ACF0F5" w14:textId="678AE32E" w:rsidR="00D120D4" w:rsidRDefault="00D120D4" w:rsidP="00D120D4">
      <w:pPr>
        <w:pStyle w:val="Heading2"/>
        <w:numPr>
          <w:ilvl w:val="0"/>
          <w:numId w:val="11"/>
        </w:numPr>
        <w:rPr>
          <w:lang w:val="en-US"/>
        </w:rPr>
      </w:pPr>
      <w:r>
        <w:rPr>
          <w:lang w:val="en-US"/>
        </w:rPr>
        <w:t>Discussion</w:t>
      </w:r>
      <w:r w:rsidR="00794F26">
        <w:rPr>
          <w:lang w:val="en-US"/>
        </w:rPr>
        <w:t>, conclusions, and limitations</w:t>
      </w:r>
    </w:p>
    <w:p w14:paraId="589AD509" w14:textId="6300D782" w:rsidR="00D120D4" w:rsidRDefault="00794F26" w:rsidP="00D120D4">
      <w:r>
        <w:rPr>
          <w:lang w:val="en-US"/>
        </w:rPr>
        <w:t xml:space="preserve">In this paper we have explored the results of PISA 2022 results in Slovenia, focusing on instruction methods in learning mathematics and how they are </w:t>
      </w:r>
      <w:proofErr w:type="spellStart"/>
      <w:r>
        <w:rPr>
          <w:lang w:val="en-US"/>
        </w:rPr>
        <w:t>intervined</w:t>
      </w:r>
      <w:proofErr w:type="spellEnd"/>
      <w:r>
        <w:rPr>
          <w:lang w:val="en-US"/>
        </w:rPr>
        <w:t>. Most participants in included PISA study utilizes no additional instructional methods. Some use methods of utilizing ICT and one-on-one tutoring, and group learning practices are least represented.</w:t>
      </w:r>
      <w:r w:rsidR="00B9179A">
        <w:rPr>
          <w:lang w:val="en-US"/>
        </w:rPr>
        <w:t xml:space="preserve"> Cluster analysis showed that </w:t>
      </w:r>
      <w:r w:rsidR="000B2FD0" w:rsidRPr="000B2FD0">
        <w:t>three distinct groups emerged: students heavily engaged with video-recorded instruction, students not participating in any additional instruction, and students preferring one-on-one tutoring and small group sessions.</w:t>
      </w:r>
    </w:p>
    <w:p w14:paraId="72B29763" w14:textId="7EE7A647" w:rsidR="00113C60" w:rsidRDefault="00113C60" w:rsidP="00D120D4">
      <w:pPr>
        <w:rPr>
          <w:lang w:val="en-US"/>
        </w:rPr>
      </w:pPr>
      <w:proofErr w:type="spellStart"/>
      <w:r w:rsidRPr="00113C60">
        <w:rPr>
          <w:highlight w:val="yellow"/>
        </w:rPr>
        <w:t>Nekje</w:t>
      </w:r>
      <w:proofErr w:type="spellEnd"/>
      <w:r w:rsidRPr="00113C60">
        <w:rPr>
          <w:highlight w:val="yellow"/>
        </w:rPr>
        <w:t xml:space="preserve"> </w:t>
      </w:r>
      <w:proofErr w:type="spellStart"/>
      <w:r w:rsidRPr="00113C60">
        <w:rPr>
          <w:highlight w:val="yellow"/>
        </w:rPr>
        <w:t>vriniti</w:t>
      </w:r>
      <w:proofErr w:type="spellEnd"/>
      <w:r w:rsidRPr="00113C60">
        <w:rPr>
          <w:highlight w:val="yellow"/>
        </w:rPr>
        <w:t xml:space="preserve"> </w:t>
      </w:r>
      <w:proofErr w:type="spellStart"/>
      <w:r w:rsidRPr="00113C60">
        <w:rPr>
          <w:highlight w:val="yellow"/>
        </w:rPr>
        <w:t>primerjavo</w:t>
      </w:r>
      <w:proofErr w:type="spellEnd"/>
      <w:r w:rsidRPr="00113C60">
        <w:rPr>
          <w:highlight w:val="yellow"/>
        </w:rPr>
        <w:t xml:space="preserve"> z </w:t>
      </w:r>
      <w:proofErr w:type="spellStart"/>
      <w:r w:rsidRPr="00113C60">
        <w:rPr>
          <w:highlight w:val="yellow"/>
        </w:rPr>
        <w:t>drugimi</w:t>
      </w:r>
      <w:proofErr w:type="spellEnd"/>
      <w:r w:rsidRPr="00113C60">
        <w:rPr>
          <w:highlight w:val="yellow"/>
        </w:rPr>
        <w:t xml:space="preserve"> </w:t>
      </w:r>
      <w:proofErr w:type="spellStart"/>
      <w:r w:rsidRPr="00113C60">
        <w:rPr>
          <w:highlight w:val="yellow"/>
        </w:rPr>
        <w:t>državami</w:t>
      </w:r>
      <w:proofErr w:type="spellEnd"/>
      <w:r w:rsidRPr="00113C60">
        <w:rPr>
          <w:highlight w:val="yellow"/>
        </w:rPr>
        <w:t xml:space="preserve">. </w:t>
      </w:r>
      <w:proofErr w:type="spellStart"/>
      <w:r w:rsidRPr="00113C60">
        <w:rPr>
          <w:highlight w:val="yellow"/>
        </w:rPr>
        <w:t>Razlika</w:t>
      </w:r>
      <w:proofErr w:type="spellEnd"/>
      <w:r w:rsidRPr="00113C60">
        <w:rPr>
          <w:highlight w:val="yellow"/>
        </w:rPr>
        <w:t xml:space="preserve"> </w:t>
      </w:r>
      <w:proofErr w:type="spellStart"/>
      <w:r w:rsidRPr="00113C60">
        <w:rPr>
          <w:highlight w:val="yellow"/>
        </w:rPr>
        <w:t>predvsem</w:t>
      </w:r>
      <w:proofErr w:type="spellEnd"/>
      <w:r w:rsidRPr="00113C60">
        <w:rPr>
          <w:highlight w:val="yellow"/>
        </w:rPr>
        <w:t xml:space="preserve"> v </w:t>
      </w:r>
      <w:proofErr w:type="spellStart"/>
      <w:r w:rsidRPr="00113C60">
        <w:rPr>
          <w:highlight w:val="yellow"/>
        </w:rPr>
        <w:t>videu</w:t>
      </w:r>
      <w:proofErr w:type="spellEnd"/>
      <w:r w:rsidRPr="00113C60">
        <w:rPr>
          <w:highlight w:val="yellow"/>
        </w:rPr>
        <w:t xml:space="preserve">, </w:t>
      </w:r>
      <w:proofErr w:type="spellStart"/>
      <w:r w:rsidRPr="00113C60">
        <w:rPr>
          <w:highlight w:val="yellow"/>
        </w:rPr>
        <w:t>kar</w:t>
      </w:r>
      <w:proofErr w:type="spellEnd"/>
      <w:r w:rsidRPr="00113C60">
        <w:rPr>
          <w:highlight w:val="yellow"/>
        </w:rPr>
        <w:t xml:space="preserve"> </w:t>
      </w:r>
      <w:proofErr w:type="spellStart"/>
      <w:r w:rsidRPr="00113C60">
        <w:rPr>
          <w:highlight w:val="yellow"/>
        </w:rPr>
        <w:t>lahko</w:t>
      </w:r>
      <w:proofErr w:type="spellEnd"/>
      <w:r w:rsidRPr="00113C60">
        <w:rPr>
          <w:highlight w:val="yellow"/>
        </w:rPr>
        <w:t xml:space="preserve"> </w:t>
      </w:r>
      <w:proofErr w:type="spellStart"/>
      <w:r w:rsidRPr="00113C60">
        <w:rPr>
          <w:highlight w:val="yellow"/>
        </w:rPr>
        <w:t>atributiramo</w:t>
      </w:r>
      <w:proofErr w:type="spellEnd"/>
      <w:r w:rsidRPr="00113C60">
        <w:rPr>
          <w:highlight w:val="yellow"/>
        </w:rPr>
        <w:t xml:space="preserve"> </w:t>
      </w:r>
      <w:proofErr w:type="spellStart"/>
      <w:r w:rsidRPr="00113C60">
        <w:rPr>
          <w:highlight w:val="yellow"/>
        </w:rPr>
        <w:t>na</w:t>
      </w:r>
      <w:proofErr w:type="spellEnd"/>
      <w:r w:rsidRPr="00113C60">
        <w:rPr>
          <w:highlight w:val="yellow"/>
        </w:rPr>
        <w:t xml:space="preserve"> </w:t>
      </w:r>
      <w:proofErr w:type="spellStart"/>
      <w:r w:rsidRPr="00113C60">
        <w:rPr>
          <w:highlight w:val="yellow"/>
        </w:rPr>
        <w:t>popularnost</w:t>
      </w:r>
      <w:proofErr w:type="spellEnd"/>
      <w:r w:rsidRPr="00113C60">
        <w:rPr>
          <w:highlight w:val="yellow"/>
        </w:rPr>
        <w:t xml:space="preserve"> ASTRA?</w:t>
      </w:r>
    </w:p>
    <w:p w14:paraId="64ADE601" w14:textId="1EB8DEEE" w:rsidR="00B9179A" w:rsidRDefault="00D67057" w:rsidP="00D120D4">
      <w:pPr>
        <w:rPr>
          <w:lang w:val="en-US"/>
        </w:rPr>
      </w:pPr>
      <w:r>
        <w:rPr>
          <w:lang w:val="en-US"/>
        </w:rPr>
        <w:t xml:space="preserve">The insights into </w:t>
      </w:r>
      <w:r w:rsidRPr="00D67057">
        <w:t>the contemporary landscape of learning methods</w:t>
      </w:r>
      <w:r>
        <w:t xml:space="preserve"> </w:t>
      </w:r>
      <w:r w:rsidRPr="00D67057">
        <w:t>underscores the increasing integration of digital resources in education, driven by their accessibility, flexibility, and the enhanced learning experience they offer through multimedia content</w:t>
      </w:r>
      <w:r w:rsidR="00FE6E5E">
        <w:t xml:space="preserve"> </w:t>
      </w:r>
      <w:r w:rsidR="00FE6E5E">
        <w:fldChar w:fldCharType="begin"/>
      </w:r>
      <w:r w:rsidR="00FE6E5E">
        <w:instrText xml:space="preserve"> ADDIN ZOTERO_ITEM CSL_CITATION {"citationID":"CIyAamWr","properties":{"formattedCitation":"(Cheng et al., 2009; Nusir et al., 2013)","plainCitation":"(Cheng et al., 2009; Nusir et al., 2013)","noteIndex":0},"citationItems":[{"id":896,"uris":["http://zotero.org/users/local/1Uxvmohd/items/GC95YN2B"],"itemData":{"id":896,"type":"article-journal","container-title":"IEEE Multimedia","DOI":"10.1109/MMUL.2009.11","ISSN":"1070-986X","issue":"1","journalAbbreviation":"IEEE Multimedia","license":"https://ieeexplore.ieee.org/Xplorehelp/downloads/license-information/IEEE.html","page":"16-25","source":"DOI.org (Crossref)","title":"Interactive Multimedia for Adaptive Online Education","volume":"16","author":[{"family":"Cheng","given":"Irene"},{"family":"Basu","given":"Anup"},{"family":"Goebel","given":"Randy"}],"issued":{"date-parts":[["2009",1]]}}},{"id":898,"uris":["http://zotero.org/users/local/1Uxvmohd/items/TRMFKVVR"],"itemData":{"id":898,"type":"article-journal","abstract":"The continuous inventions and evolutions in all information technology fields open new channels and opportunities to enhance teaching and educational methods. On one side, these may improve the abilities of educators to present information in interactive and media-enhanced formats relative to traditional methods. This may help students or learners through offering them the information in channels and methods that can be easier to understand, deal with and retrieve. On the other hand, offering those alternative methods of teaching can be helpful particularly for children, people with special needs, or students in rural areas where they can have virtual or remote instructors, especially for majors who have shortages. The purpose of this study is to investigate the impact of utilising multimedia technologies on enhancing, or not, the effectiveness of teaching students at early stages in Jordanian primary schools. To achieve this objective, a program has been developed to test the students' ability to understand basic mathematical knowledge and skills. Two groups were selected from a local school based on their own class distribution, where one group was taught the subject in basic math using a program developed for this purpose and the second class was taught the same subject using traditional methods of teaching (i.e. direct student-to-child instruction, board, etc.). Results showed that in such math skills at this age, using programs or multimedia-enhanced methods of teaching can be effective in getting students' attention, especially when cartoon characters are used. Results also showed that there is no significant difference in learning and knowledge skills and information absorption based on gender distribution, as a comparison of the results between little boys and girls showed no significant difference in their learning skills.","container-title":"E-Learning and Digital Media","DOI":"10.2304/elea.2013.10.3.305","ISSN":"2042-7530, 2042-7530","issue":"3","journalAbbreviation":"E-Learning and Digital Media","language":"en","page":"305-319","source":"DOI.org (Crossref)","title":"Studying the Impact of Using Multimedia Interactive Programs on Children's Ability to Learn Basic Math Skills","volume":"10","author":[{"family":"Nusir","given":"Sawsan"},{"family":"Alsmadi","given":"Izzat"},{"family":"Al-Kabi","given":"Mohammed"},{"family":"Sharadgah","given":"Fatima"}],"issued":{"date-parts":[["2013",9]]}}}],"schema":"https://github.com/citation-style-language/schema/raw/master/csl-citation.json"} </w:instrText>
      </w:r>
      <w:r w:rsidR="00FE6E5E">
        <w:fldChar w:fldCharType="separate"/>
      </w:r>
      <w:r w:rsidR="00FE6E5E" w:rsidRPr="00FE6E5E">
        <w:rPr>
          <w:rFonts w:ascii="Calibri" w:hAnsi="Calibri" w:cs="Calibri"/>
        </w:rPr>
        <w:t>(Cheng et al., 2009; Nusir et al., 2013)</w:t>
      </w:r>
      <w:r w:rsidR="00FE6E5E">
        <w:fldChar w:fldCharType="end"/>
      </w:r>
      <w:r w:rsidRPr="00D67057">
        <w:t>. ICT's prominence can be attributed to the convenience it provides, allowing students to learn at their own pace and revisit complex topics multiple times. Furthermore, the digitalization of education has been accelerated by recent global events, such as the COVID-19 pandemic, which necessitated a swift transition to online learning environments</w:t>
      </w:r>
      <w:r w:rsidR="00FE6E5E">
        <w:t xml:space="preserve"> </w:t>
      </w:r>
      <w:r w:rsidR="00FE6E5E">
        <w:fldChar w:fldCharType="begin"/>
      </w:r>
      <w:r w:rsidR="00FE6E5E">
        <w:instrText xml:space="preserve"> ADDIN ZOTERO_ITEM CSL_CITATION {"citationID":"A0JkeS2G","properties":{"formattedCitation":"(Carrillo &amp; Flores, 2020)","plainCitation":"(Carrillo &amp; Flores, 2020)","noteIndex":0},"citationItems":[{"id":900,"uris":["http://zotero.org/users/local/1Uxvmohd/items/DHD75MDE"],"itemData":{"id":900,"type":"article-journal","container-title":"European Journal of Teacher Education","DOI":"10.1080/02619768.2020.1821184","ISSN":"0261-9768, 1469-5928","issue":"4","journalAbbreviation":"European Journal of Teacher Education","language":"en","page":"466-487","source":"DOI.org (Crossref)","title":"COVID-19 and teacher education: a literature review of online teaching and learning practices","title-short":"COVID-19 and teacher education","volume":"43","author":[{"family":"Carrillo","given":"Carmen"},{"family":"Flores","given":"Maria Assunção"}],"issued":{"date-parts":[["2020",8,7]]}}}],"schema":"https://github.com/citation-style-language/schema/raw/master/csl-citation.json"} </w:instrText>
      </w:r>
      <w:r w:rsidR="00FE6E5E">
        <w:fldChar w:fldCharType="separate"/>
      </w:r>
      <w:r w:rsidR="00FE6E5E" w:rsidRPr="00FE6E5E">
        <w:rPr>
          <w:rFonts w:ascii="Calibri" w:hAnsi="Calibri" w:cs="Calibri"/>
        </w:rPr>
        <w:t>(Carrillo &amp; Flores, 2020)</w:t>
      </w:r>
      <w:r w:rsidR="00FE6E5E">
        <w:fldChar w:fldCharType="end"/>
      </w:r>
      <w:r w:rsidRPr="00D67057">
        <w:t>. However, this shift towards ICT-based methods raises critical concerns regarding the quality of social interactions among students</w:t>
      </w:r>
      <w:r w:rsidR="00BC730C">
        <w:t xml:space="preserve"> </w:t>
      </w:r>
      <w:r w:rsidR="00BC730C">
        <w:fldChar w:fldCharType="begin"/>
      </w:r>
      <w:r w:rsidR="00BC730C">
        <w:instrText xml:space="preserve"> ADDIN ZOTERO_ITEM CSL_CITATION {"citationID":"0wi6ujk2","properties":{"formattedCitation":"(Xiao &amp; Hew, 2022)","plainCitation":"(Xiao &amp; Hew, 2022)","noteIndex":0},"citationItems":[{"id":901,"uris":["http://zotero.org/users/local/1Uxvmohd/items/4V4K23UA"],"itemData":{"id":901,"type":"article-journal","abstract":"Evolving information and communication technology (ICT) reshapes people’s reading activities by popularizing digital reading. Past studies focused on the relationships between students’ frequency of ICT use and reading performance but neglected the possible interrelationships between students’ ICT-related psychological factors, school contextual factors, and reading performance. This study applied the Self-determination Theory (SDT) to explore the relationships between students’ ICT-related psychological factors (perceived interest, autonomy, competence, and social interaction in using ICT) and reading performance. The possible moderation effects of schools’ contextual variables (schools’ support in ICT devices and schools’ support in teachers’ capacity to integrate technology in teaching) were also investigated. Data from 222,293 secondary students from 10,103 schools in 47 economies who participated in the Program for International Student Assessment (PISA) 2018 were analyzed using three-level hierarchical linear modeling. The results provided support for the SDT by confirming the positive correlations between students’ ICT-related interest, autonomy and competence and reading performance, and the accentuating moderation effect of schools’ contextual factors. However, students’ perceived social interaction in ICT use was negatively correlated with reading performance, and this negative correlation worsened with increasing schools’ support in ICT devices while buffered with increasing schools’ support in teachers’ capacity to use technology.","container-title":"Journal of Educational Computing Research","DOI":"10.1177/07356331211070975","ISSN":"0735-6331, 1541-4140","issue":"5","journalAbbreviation":"Journal of Educational Computing Research","language":"en","page":"1166-1196","source":"DOI.org (Crossref)","title":"The Relationships Among ICT-Related Psychological Factors, School Contextual Factors and Secondary Students’ Reading Performance: A Multilevel Analysis Across 47 Economies","title-short":"The Relationships Among ICT-Related Psychological Factors, School Contextual Factors and Secondary Students’ Reading Performance","volume":"60","author":[{"family":"Xiao","given":"Ya"},{"family":"Hew","given":"K. F."}],"issued":{"date-parts":[["2022",9]]}}}],"schema":"https://github.com/citation-style-language/schema/raw/master/csl-citation.json"} </w:instrText>
      </w:r>
      <w:r w:rsidR="00BC730C">
        <w:fldChar w:fldCharType="separate"/>
      </w:r>
      <w:r w:rsidR="00BC730C" w:rsidRPr="00BC730C">
        <w:rPr>
          <w:rFonts w:ascii="Calibri" w:hAnsi="Calibri" w:cs="Calibri"/>
        </w:rPr>
        <w:t>(Xiao &amp; Hew, 2022)</w:t>
      </w:r>
      <w:r w:rsidR="00BC730C">
        <w:fldChar w:fldCharType="end"/>
      </w:r>
      <w:r w:rsidRPr="00D67057">
        <w:t>. Traditional group learning practices, which are poorly represented in our data, play a vital role in developing collaborative skills, critical thinking, and the ability to work effectively in teams</w:t>
      </w:r>
      <w:r w:rsidR="005D59C1">
        <w:t xml:space="preserve"> </w:t>
      </w:r>
      <w:r w:rsidR="005D59C1">
        <w:fldChar w:fldCharType="begin"/>
      </w:r>
      <w:r w:rsidR="005D59C1">
        <w:instrText xml:space="preserve"> ADDIN ZOTERO_ITEM CSL_CITATION {"citationID":"3MvNrTk0","properties":{"formattedCitation":"(Andrade, 2020; Pervaz Iqbal et al., 2020)","plainCitation":"(Andrade, 2020; Pervaz Iqbal et al., 2020)","noteIndex":0},"citationItems":[{"id":904,"uris":["http://zotero.org/users/local/1Uxvmohd/items/R3QHQ4FQ"],"itemData":{"id":904,"type":"article-journal","container-title":"Higher Education Pedagogies","DOI":"10.1080/23752696.2020.1810096","ISSN":"2375-2696","issue":"1","journalAbbreviation":"Higher Education Pedagogies","language":"en","page":"165-181","source":"DOI.org (Crossref)","title":"Cross-cutting skills: strategies for teaching &amp; learning","title-short":"Cross-cutting skills","volume":"5","author":[{"family":"Andrade","given":"Maureen Snow"}],"issued":{"date-parts":[["2020",1,1]]}}},{"id":902,"uris":["http://zotero.org/users/local/1Uxvmohd/items/YANGQ3SJ"],"itemData":{"id":902,"type":"article-journal","abstract":"Abstract\n            \n              Background\n              Modern clinical practice increasingly relies on collaborative and team-based approaches to care. Regulatory bodies in medical education emphasise the need to develop collaboration and teamwork competencies and highlight the need to do so from an early stage of medical training. In undergraduate medical education, the focus is usually on collaborative learning, associated with feedback and reflection on this learning This article describes a novel educational instrument, the Collaborative Learning Development Exercise (CLeD-EX), which aims to foster the development of key collaborative learning competencies in medical students. In this article we report on the effectiveness, feasibility and educational impact of the CLeD-EX.\n            \n            \n              Methods\n              In this study, the “educational design research” framework was used to develop, implement and evaluate the CLeD-EX. This involved adopting a systematic approach towards designing a creative and innovative instrument which would help solve a real-world challenge in developing collaborative learning skills. The systematic approach involved a qualitative exploration of key collaborative learning behaviours which are influential in effective collaborative learning contexts. The identified competencies were employed in the design of the CLeD-EX. The design of the CLeD-EX included features to facilitate structured feedback by tutors to students, complemented by self-evaluation and reflection. The CLeD-EX was field-tested with volunteer junior medical students, using a controlled pre-test post-test design. Analysis of the completed CLeD-EX forms, self-perception surveys (i.e. pre-test and post-test surveys) and analyses of reflective reports were used to explore the educational impact of CLeD-EX, as well as its utility and practicality.\n            \n            \n              Results\n              After using the CLeD-EX, students showed a significant improvement in critical thinking and group process as measured by a previously validated instrument. Both students and tutors recognised CLeD-EX as an effective instrument, especially as a structured basis for giving and receiving feedback and for completing the feedback loop. CLeD-EX was also found to be feasible, practical and focused, while promoting learning and effective interactions in small group learning.\n            \n            \n              Conclusion\n              The findings of this study support the introduction of an effective and feasible educational instrument such as the CLeD-EX, to facilitate the development of students’ skills in collaborative learning.","container-title":"BMC Medical Education","DOI":"10.1186/s12909-020-1977-0","ISSN":"1472-6920","issue":"1","journalAbbreviation":"BMC Med Educ","language":"en","page":"62","source":"DOI.org (Crossref)","title":"The collaborative learning development exercise (CLeD-EX): an educational instrument to promote key collaborative learning behaviours in medical students","title-short":"The collaborative learning development exercise (CLeD-EX)","volume":"20","author":[{"family":"Pervaz Iqbal","given":"Maha"},{"family":"Velan","given":"Gary M."},{"family":"O’Sullivan","given":"Anthony J."},{"family":"Balasooriya","given":"Chinthaka"}],"issued":{"date-parts":[["2020",12]]}}}],"schema":"https://github.com/citation-style-language/schema/raw/master/csl-citation.json"} </w:instrText>
      </w:r>
      <w:r w:rsidR="005D59C1">
        <w:fldChar w:fldCharType="separate"/>
      </w:r>
      <w:r w:rsidR="005D59C1" w:rsidRPr="005D59C1">
        <w:rPr>
          <w:rFonts w:ascii="Calibri" w:hAnsi="Calibri" w:cs="Calibri"/>
        </w:rPr>
        <w:t>(Andrade, 2020; Pervaz Iqbal et al., 2020)</w:t>
      </w:r>
      <w:r w:rsidR="005D59C1">
        <w:fldChar w:fldCharType="end"/>
      </w:r>
      <w:r w:rsidRPr="00D67057">
        <w:t>. The lack of such interactions may hinder the development of these essential skills, suggesting a need to balance digital and face-to-face learning modalities.</w:t>
      </w:r>
      <w:r>
        <w:t xml:space="preserve"> </w:t>
      </w:r>
      <w:r w:rsidRPr="00D67057">
        <w:t xml:space="preserve">Moreover, the preference for one-on-one tutoring and small group study sessions observed in Cluster 2 reveals a subset of students who value personalized attention and tailored instruction. </w:t>
      </w:r>
      <w:r w:rsidRPr="003A7301">
        <w:t>These</w:t>
      </w:r>
      <w:r w:rsidRPr="00D67057">
        <w:t xml:space="preserve"> methods cater to individual learning styles and provide immediate feedback, which can significantly enhance understanding and retention of material</w:t>
      </w:r>
      <w:r w:rsidR="00611D02">
        <w:t xml:space="preserve"> </w:t>
      </w:r>
      <w:r w:rsidR="00611D02">
        <w:fldChar w:fldCharType="begin"/>
      </w:r>
      <w:r w:rsidR="00611D02">
        <w:instrText xml:space="preserve"> ADDIN ZOTERO_ITEM CSL_CITATION {"citationID":"Pcs37GxO","properties":{"formattedCitation":"(Pardo et al., 2019)","plainCitation":"(Pardo et al., 2019)","noteIndex":0},"citationItems":[{"id":912,"uris":["http://zotero.org/users/local/1Uxvmohd/items/S74LXFXV"],"itemData":{"id":912,"type":"article-journal","abstract":"Abstract\n            \n              There is little debate regarding the importance of student feedback for improving the learning process. However, there remain significant workload barriers for instructors that impede their capacity to provide timely and meaningful feedback. The increasing role technology is playing in the education space may provide novel solutions to this impediment. As students interact with the various learning technologies in their course of study, they create digital traces that can be captured and analysed. These digital traces form the new kind of data that are frequently used in learning analytics to develop actionable recommendations that can support student learning. This paper explores the use of such analytics to address the challenges impeding the capacity of instructors to provide personalised feedback at scale. The case study reported in the paper showed how the approach was associated with a positive impact on student perception of feedback quality and on academic achievement. The study was conducted with first year undergraduate engineering students enrolled in a computer systems course with a blended learning design across three consecutive years (\n              N\n              2013\n               = 290,\n              N\n              2014\n               = 316 and\n              N\n              2015\n               = 415).","container-title":"British Journal of Educational Technology","DOI":"10.1111/bjet.12592","ISSN":"0007-1013, 1467-8535","issue":"1","journalAbbreviation":"Brit J Educational Tech","language":"en","license":"http://onlinelibrary.wiley.com/termsAndConditions#vor","page":"128-138","source":"DOI.org (Crossref)","title":"Using learning analytics to scale the provision of personalised feedback","volume":"50","author":[{"family":"Pardo","given":"Abelardo"},{"family":"Jovanovic","given":"Jelena"},{"family":"Dawson","given":"Shane"},{"family":"Gašević","given":"Dragan"},{"family":"Mirriahi","given":"Negin"}],"issued":{"date-parts":[["2019",1]]}}}],"schema":"https://github.com/citation-style-language/schema/raw/master/csl-citation.json"} </w:instrText>
      </w:r>
      <w:r w:rsidR="00611D02">
        <w:fldChar w:fldCharType="separate"/>
      </w:r>
      <w:r w:rsidR="00611D02" w:rsidRPr="00611D02">
        <w:rPr>
          <w:rFonts w:ascii="Calibri" w:hAnsi="Calibri" w:cs="Calibri"/>
        </w:rPr>
        <w:t>(Pardo et al., 2019)</w:t>
      </w:r>
      <w:r w:rsidR="00611D02">
        <w:fldChar w:fldCharType="end"/>
      </w:r>
      <w:r w:rsidRPr="00D67057">
        <w:t>. This individualized approach can be particularly beneficial for students who struggle with self-paced learning or those who require additional support beyond standard classroom instruction</w:t>
      </w:r>
      <w:r w:rsidR="00F97E9F">
        <w:t xml:space="preserve"> </w:t>
      </w:r>
      <w:r w:rsidR="00F97E9F">
        <w:fldChar w:fldCharType="begin"/>
      </w:r>
      <w:r w:rsidR="00F97E9F">
        <w:instrText xml:space="preserve"> ADDIN ZOTERO_ITEM CSL_CITATION {"citationID":"9pNltZGy","properties":{"formattedCitation":"(Shemshack et al., 2021; Tetzlaff et al., 2021)","plainCitation":"(Shemshack et al., 2021; Tetzlaff et al., 2021)","noteIndex":0},"citationItems":[{"id":911,"uris":["http://zotero.org/users/local/1Uxvmohd/items/WN7UWPQJ"],"itemData":{"id":911,"type":"article-journal","container-title":"Journal of Computers in Education","DOI":"10.1007/s40692-021-00188-7","ISSN":"2197-9987, 2197-9995","issue":"4","journalAbbreviation":"J. Comput. Educ.","language":"en","page":"485-503","source":"DOI.org (Crossref)","title":"A comprehensive analysis of personalized learning components","volume":"8","author":[{"family":"Shemshack","given":"Atikah"},{"literal":"Kinshuk"},{"family":"Spector","given":"Jonathan Michael"}],"issued":{"date-parts":[["2021",12]]}}},{"id":909,"uris":["http://zotero.org/users/local/1Uxvmohd/items/AJ5G3LNT"],"itemData":{"id":909,"type":"article-journal","abstract":"Abstract\n            Personalized education—the systematic adaptation of instruction to individual learners—has been a long-striven goal. We review research on personalized education that has been conducted in the laboratory, in the classroom, and in digital learning environments. Across all learning environments, we find that personalization is most successful when relevant learner characteristics are measured repeatedly during the learning process and when these data are used to adapt instruction in a systematic way. Building on these observations, we propose a novel, dynamic framework of personalization that conceptualizes learners as dynamic entities that change during and in interaction with the instructional process. As these dynamics manifest on different timescales, so do the opportunities for instructional adaptations—ranging from setting appropriate learning goals at the macroscale to reacting to affective-motivational fluctuations at the microscale. We argue that instructional design needs to take these dynamics into account in order to adapt to a specific learner at a specific point in time. Finally, we provide some examples of successful, dynamic adaptations and discuss future directions that arise from a dynamic conceptualization of personalization.","container-title":"Educational Psychology Review","DOI":"10.1007/s10648-020-09570-w","ISSN":"1040-726X, 1573-336X","issue":"3","journalAbbreviation":"Educ Psychol Rev","language":"en","page":"863-882","source":"DOI.org (Crossref)","title":"Developing Personalized Education: A Dynamic Framework","title-short":"Developing Personalized Education","volume":"33","author":[{"family":"Tetzlaff","given":"Leonard"},{"family":"Schmiedek","given":"Florian"},{"family":"Brod","given":"Garvin"}],"issued":{"date-parts":[["2021",9]]}}}],"schema":"https://github.com/citation-style-language/schema/raw/master/csl-citation.json"} </w:instrText>
      </w:r>
      <w:r w:rsidR="00F97E9F">
        <w:fldChar w:fldCharType="separate"/>
      </w:r>
      <w:r w:rsidR="00F97E9F" w:rsidRPr="00F97E9F">
        <w:rPr>
          <w:rFonts w:ascii="Calibri" w:hAnsi="Calibri" w:cs="Calibri"/>
        </w:rPr>
        <w:t>(Shemshack et al., 2021; Tetzlaff et al., 2021)</w:t>
      </w:r>
      <w:r w:rsidR="00F97E9F">
        <w:fldChar w:fldCharType="end"/>
      </w:r>
      <w:r w:rsidRPr="00D67057">
        <w:t xml:space="preserve">. The choice of one-on-one and small group settings also reflects the desire for a more intimate and focused learning environment, which can be less intimidating and more conducive to asking </w:t>
      </w:r>
      <w:r w:rsidRPr="00D67057">
        <w:lastRenderedPageBreak/>
        <w:t>questions and engaging deeply with the content. On the other hand, Cluster 1, representing non-participation in supplementary instructional methods, highlights a potential area of concern. This group's disengagement could be due to a lack of awareness, resources, or motivation, pointing to the need for interventions that encourage the utilization of diverse learning methods to support all students effectively</w:t>
      </w:r>
      <w:r w:rsidR="00AA0FBF">
        <w:t xml:space="preserve"> </w:t>
      </w:r>
      <w:r w:rsidR="00AA0FBF">
        <w:fldChar w:fldCharType="begin"/>
      </w:r>
      <w:r w:rsidR="00AA0FBF">
        <w:instrText xml:space="preserve"> ADDIN ZOTERO_ITEM CSL_CITATION {"citationID":"PMv8LoSG","properties":{"formattedCitation":"(Ramos et al., 2023; Ronksley-Pavia &amp; Neumann, 2020)","plainCitation":"(Ramos et al., 2023; Ronksley-Pavia &amp; Neumann, 2020)","noteIndex":0},"citationItems":[{"id":906,"uris":["http://zotero.org/users/local/1Uxvmohd/items/D3U5HHIH"],"itemData":{"id":906,"type":"article-journal","abstract":"This study used a longitudinal person-oriented approach to examine whether two distinct developmental pathways of maladaptive motivation could be distinguished among high-ability students (intelligence quotient [IQ] ≥ 120, N = 403, M\n              age\n              = 12.2 years, 60.5% males), as proposed by the Pathways to Underachievement Model. Latent class growth analysis provided evidence for a three-class solution, including an adaptive class and two maladaptive classes, largely corresponding with the predictions of the Pathways to Underachievement Model. Furthermore, the classes related to the outcome variables in the expected ways, with the maladaptive classes showing higher disengagement and underachievement. These findings substantiate the Pathways to Underachievement Model and provide developmental insight into the multiple motivational pathways underlying disengagement and underachievement among high-ability students.","container-title":"Gifted Child Quarterly","DOI":"10.1177/00169862221132279","ISSN":"0016-9862, 1934-9041","issue":"3","journalAbbreviation":"Gifted Child Quarterly","language":"en","page":"179-197","source":"DOI.org (Crossref)","title":"Motivational Pathways Underlying Gifted Underachievement: Trajectory Classes, Longitudinal Outcomes, and Predicting Factors","title-short":"*Motivational Pathways Underlying Gifted Underachievement","volume":"67","author":[{"family":"Ramos","given":"Alicia"},{"family":"Lavrijsen","given":"Jeroen"},{"family":"Linnenbrink-Garcia","given":"Lisa"},{"family":"Soenens","given":"Bart"},{"family":"Vansteenkiste","given":"Maarten"},{"family":"Sypré","given":"Sabine"},{"family":"Boncquet","given":"Michiel"},{"family":"Verschueren","given":"Karine"}],"issued":{"date-parts":[["2023",7]]}}},{"id":907,"uris":["http://zotero.org/users/local/1Uxvmohd/items/VXXWTNDC"],"itemData":{"id":907,"type":"article-journal","abstract":"It is well-recognised that disengagement is a growing problem in schools across the globe. Furthermore, statistics show that nearly 60% of all gifted students are not actualising their potential, exposing the loss of potential for both the individual and society. While disengagement and underachievement are complex issues with no one root cause, it is well-established that when students are actively engaged in their learning, they learn more effectively. Talent actualisation is not guaranteed just because a student is gifted. As such there is heightened concern about student (dis)engagement, where there is a failure to adequately support (re)engagement so that gifted potential can develop into talent actualisation, which is evidenced through mastery. This conceptual article provides a new lens through which to explore (re)engagement opportunities for gifted students by conceptualising the interrelationship between three interconnected constructs: (1) four engagement dimensions (behavioural, affective, social, and cognitive); (2) Neihart and Betts’ six profiles of the gifted; and (3) appropriate pedagogical approaches aimed at (re)engagement. The authors’ focus on proposing new conceptualisations of these three interdependent constructs through a framework titled the (Re) Engagement Nexus Model. This model is intended as a starting point for future research in personalising (re)engagement opportunities for gifted learners and preventing underachievement and disengagement before it becomes entrenched.","container-title":"Education Sciences","DOI":"10.3390/educsci10100274","ISSN":"2227-7102","issue":"10","journalAbbreviation":"Education Sciences","language":"en","license":"https://creativecommons.org/licenses/by/4.0/","page":"274","source":"DOI.org (Crossref)","title":"Conceptualising Gifted Student (Dis) Engagement through the Lens of Learner (Re) Engagement","volume":"10","author":[{"family":"Ronksley-Pavia","given":"Michelle"},{"family":"Neumann","given":"Michelle M."}],"issued":{"date-parts":[["2020",10,10]]}}}],"schema":"https://github.com/citation-style-language/schema/raw/master/csl-citation.json"} </w:instrText>
      </w:r>
      <w:r w:rsidR="00AA0FBF">
        <w:fldChar w:fldCharType="separate"/>
      </w:r>
      <w:r w:rsidR="00AA0FBF" w:rsidRPr="00AA0FBF">
        <w:rPr>
          <w:rFonts w:ascii="Calibri" w:hAnsi="Calibri" w:cs="Calibri"/>
        </w:rPr>
        <w:t>(Ramos et al., 2023; Ronksley-Pavia &amp; Neumann, 2020)</w:t>
      </w:r>
      <w:r w:rsidR="00AA0FBF">
        <w:fldChar w:fldCharType="end"/>
      </w:r>
      <w:r w:rsidRPr="00D67057">
        <w:t>.</w:t>
      </w:r>
      <w:r>
        <w:t xml:space="preserve"> While </w:t>
      </w:r>
      <w:r w:rsidRPr="00D67057">
        <w:t>ICT and video instruction offer significant benefits and are becoming increasingly integral to modern education, it is crucial to address the challenges they pose to social learning and to ensure that complementary instructional methods, such as group practices and one-on-one tutoring, are also promoted to provide a holistic educational experience.</w:t>
      </w:r>
    </w:p>
    <w:p w14:paraId="758D446D" w14:textId="39BDBF6F" w:rsidR="00B9179A" w:rsidRDefault="008B0F10" w:rsidP="00D120D4">
      <w:pPr>
        <w:rPr>
          <w:lang w:val="en-US"/>
        </w:rPr>
      </w:pPr>
      <w:r w:rsidRPr="008B0F10">
        <w:t>The study is not without limitations. Firstly, it explores a novel question in PISA research, specifically focusing on the impact of additional instructional methods in mathematics, which presents a limitation as the data are not directly comparable to those from previous years. Secondly, caution must be exercised in interpreting PISA results; further research at the national level is essential to validate and expand upon our findings. Additionally, our study did not measure the direct impact of the observed instructional methods on students' grades, which represents a significant gap that future research should address to fully understand the efficacy of these instructional practices.</w:t>
      </w:r>
    </w:p>
    <w:p w14:paraId="0C83B7CB" w14:textId="61F1EB19" w:rsidR="00945896" w:rsidRPr="00945896" w:rsidRDefault="00945896" w:rsidP="00945896">
      <w:pPr>
        <w:pStyle w:val="Heading2"/>
        <w:numPr>
          <w:ilvl w:val="0"/>
          <w:numId w:val="11"/>
        </w:numPr>
        <w:rPr>
          <w:lang w:val="en-US"/>
        </w:rPr>
      </w:pPr>
      <w:r>
        <w:rPr>
          <w:lang w:val="en-US"/>
        </w:rPr>
        <w:t>References</w:t>
      </w:r>
    </w:p>
    <w:p w14:paraId="2B1E36A0" w14:textId="77777777" w:rsidR="00611D02" w:rsidRPr="00611D02" w:rsidRDefault="00945896" w:rsidP="00611D02">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611D02" w:rsidRPr="00611D02">
        <w:rPr>
          <w:rFonts w:ascii="Calibri" w:hAnsi="Calibri" w:cs="Calibri"/>
        </w:rPr>
        <w:t xml:space="preserve">Andrade, M. S. (2020). Cross-cutting skills: Strategies for teaching &amp; learning. </w:t>
      </w:r>
      <w:r w:rsidR="00611D02" w:rsidRPr="00611D02">
        <w:rPr>
          <w:rFonts w:ascii="Calibri" w:hAnsi="Calibri" w:cs="Calibri"/>
          <w:i/>
          <w:iCs/>
        </w:rPr>
        <w:t>Higher Education Pedagogies</w:t>
      </w:r>
      <w:r w:rsidR="00611D02" w:rsidRPr="00611D02">
        <w:rPr>
          <w:rFonts w:ascii="Calibri" w:hAnsi="Calibri" w:cs="Calibri"/>
        </w:rPr>
        <w:t xml:space="preserve">, </w:t>
      </w:r>
      <w:r w:rsidR="00611D02" w:rsidRPr="00611D02">
        <w:rPr>
          <w:rFonts w:ascii="Calibri" w:hAnsi="Calibri" w:cs="Calibri"/>
          <w:i/>
          <w:iCs/>
        </w:rPr>
        <w:t>5</w:t>
      </w:r>
      <w:r w:rsidR="00611D02" w:rsidRPr="00611D02">
        <w:rPr>
          <w:rFonts w:ascii="Calibri" w:hAnsi="Calibri" w:cs="Calibri"/>
        </w:rPr>
        <w:t>(1), 165–181. https://doi.org/10.1080/23752696.2020.1810096</w:t>
      </w:r>
    </w:p>
    <w:p w14:paraId="4122739D" w14:textId="77777777" w:rsidR="00611D02" w:rsidRPr="00611D02" w:rsidRDefault="00611D02" w:rsidP="00611D02">
      <w:pPr>
        <w:pStyle w:val="Bibliography"/>
        <w:rPr>
          <w:rFonts w:ascii="Calibri" w:hAnsi="Calibri" w:cs="Calibri"/>
        </w:rPr>
      </w:pPr>
      <w:r w:rsidRPr="00611D02">
        <w:rPr>
          <w:rFonts w:ascii="Calibri" w:hAnsi="Calibri" w:cs="Calibri"/>
        </w:rPr>
        <w:t xml:space="preserve">Bieber, T., &amp; Martens, K. (2011). The OECD PISA Study as a Soft Power in Education? Lessons from Switzerland and the US. </w:t>
      </w:r>
      <w:r w:rsidRPr="00611D02">
        <w:rPr>
          <w:rFonts w:ascii="Calibri" w:hAnsi="Calibri" w:cs="Calibri"/>
          <w:i/>
          <w:iCs/>
        </w:rPr>
        <w:t>European Journal of Education</w:t>
      </w:r>
      <w:r w:rsidRPr="00611D02">
        <w:rPr>
          <w:rFonts w:ascii="Calibri" w:hAnsi="Calibri" w:cs="Calibri"/>
        </w:rPr>
        <w:t xml:space="preserve">, </w:t>
      </w:r>
      <w:r w:rsidRPr="00611D02">
        <w:rPr>
          <w:rFonts w:ascii="Calibri" w:hAnsi="Calibri" w:cs="Calibri"/>
          <w:i/>
          <w:iCs/>
        </w:rPr>
        <w:t>46</w:t>
      </w:r>
      <w:r w:rsidRPr="00611D02">
        <w:rPr>
          <w:rFonts w:ascii="Calibri" w:hAnsi="Calibri" w:cs="Calibri"/>
        </w:rPr>
        <w:t>(1), 101–116. https://doi.org/10.1111/j.1465-3435.2010.01462.x</w:t>
      </w:r>
    </w:p>
    <w:p w14:paraId="61BA1F8E" w14:textId="77777777" w:rsidR="00611D02" w:rsidRPr="00611D02" w:rsidRDefault="00611D02" w:rsidP="00611D02">
      <w:pPr>
        <w:pStyle w:val="Bibliography"/>
        <w:rPr>
          <w:rFonts w:ascii="Calibri" w:hAnsi="Calibri" w:cs="Calibri"/>
        </w:rPr>
      </w:pPr>
      <w:r w:rsidRPr="00611D02">
        <w:rPr>
          <w:rFonts w:ascii="Calibri" w:hAnsi="Calibri" w:cs="Calibri"/>
        </w:rPr>
        <w:t xml:space="preserve">Carrillo, C., &amp; Flores, M. A. (2020). COVID-19 and teacher education: A literature review of online teaching and learning practices. </w:t>
      </w:r>
      <w:r w:rsidRPr="00611D02">
        <w:rPr>
          <w:rFonts w:ascii="Calibri" w:hAnsi="Calibri" w:cs="Calibri"/>
          <w:i/>
          <w:iCs/>
        </w:rPr>
        <w:t>European Journal of Teacher Education</w:t>
      </w:r>
      <w:r w:rsidRPr="00611D02">
        <w:rPr>
          <w:rFonts w:ascii="Calibri" w:hAnsi="Calibri" w:cs="Calibri"/>
        </w:rPr>
        <w:t xml:space="preserve">, </w:t>
      </w:r>
      <w:r w:rsidRPr="00611D02">
        <w:rPr>
          <w:rFonts w:ascii="Calibri" w:hAnsi="Calibri" w:cs="Calibri"/>
          <w:i/>
          <w:iCs/>
        </w:rPr>
        <w:t>43</w:t>
      </w:r>
      <w:r w:rsidRPr="00611D02">
        <w:rPr>
          <w:rFonts w:ascii="Calibri" w:hAnsi="Calibri" w:cs="Calibri"/>
        </w:rPr>
        <w:t>(4), 466–487. https://doi.org/10.1080/02619768.2020.1821184</w:t>
      </w:r>
    </w:p>
    <w:p w14:paraId="3C597C67" w14:textId="77777777" w:rsidR="00611D02" w:rsidRPr="00611D02" w:rsidRDefault="00611D02" w:rsidP="00611D02">
      <w:pPr>
        <w:pStyle w:val="Bibliography"/>
        <w:rPr>
          <w:rFonts w:ascii="Calibri" w:hAnsi="Calibri" w:cs="Calibri"/>
        </w:rPr>
      </w:pPr>
      <w:r w:rsidRPr="00611D02">
        <w:rPr>
          <w:rFonts w:ascii="Calibri" w:hAnsi="Calibri" w:cs="Calibri"/>
        </w:rPr>
        <w:t xml:space="preserve">Cheng, I., Basu, A., &amp; Goebel, R. (2009). Interactive Multimedia for Adaptive Online Education. </w:t>
      </w:r>
      <w:r w:rsidRPr="00611D02">
        <w:rPr>
          <w:rFonts w:ascii="Calibri" w:hAnsi="Calibri" w:cs="Calibri"/>
          <w:i/>
          <w:iCs/>
        </w:rPr>
        <w:t>IEEE Multimedia</w:t>
      </w:r>
      <w:r w:rsidRPr="00611D02">
        <w:rPr>
          <w:rFonts w:ascii="Calibri" w:hAnsi="Calibri" w:cs="Calibri"/>
        </w:rPr>
        <w:t xml:space="preserve">, </w:t>
      </w:r>
      <w:r w:rsidRPr="00611D02">
        <w:rPr>
          <w:rFonts w:ascii="Calibri" w:hAnsi="Calibri" w:cs="Calibri"/>
          <w:i/>
          <w:iCs/>
        </w:rPr>
        <w:t>16</w:t>
      </w:r>
      <w:r w:rsidRPr="00611D02">
        <w:rPr>
          <w:rFonts w:ascii="Calibri" w:hAnsi="Calibri" w:cs="Calibri"/>
        </w:rPr>
        <w:t>(1), 16–25. https://doi.org/10.1109/MMUL.2009.11</w:t>
      </w:r>
    </w:p>
    <w:p w14:paraId="500651E2" w14:textId="77777777" w:rsidR="00611D02" w:rsidRPr="00611D02" w:rsidRDefault="00611D02" w:rsidP="00611D02">
      <w:pPr>
        <w:pStyle w:val="Bibliography"/>
        <w:rPr>
          <w:rFonts w:ascii="Calibri" w:hAnsi="Calibri" w:cs="Calibri"/>
        </w:rPr>
      </w:pPr>
      <w:r w:rsidRPr="00611D02">
        <w:rPr>
          <w:rFonts w:ascii="Calibri" w:hAnsi="Calibri" w:cs="Calibri"/>
        </w:rPr>
        <w:t xml:space="preserve">Cuder, A., Živković, M., Doz, E., Pellizzoni, S., &amp; Passolunghi, M. C. (2023). The relationship between math anxiety and math performance: The moderating role of visuospatial working memory. </w:t>
      </w:r>
      <w:r w:rsidRPr="00611D02">
        <w:rPr>
          <w:rFonts w:ascii="Calibri" w:hAnsi="Calibri" w:cs="Calibri"/>
          <w:i/>
          <w:iCs/>
        </w:rPr>
        <w:t>Journal of Experimental Child Psychology</w:t>
      </w:r>
      <w:r w:rsidRPr="00611D02">
        <w:rPr>
          <w:rFonts w:ascii="Calibri" w:hAnsi="Calibri" w:cs="Calibri"/>
        </w:rPr>
        <w:t xml:space="preserve">, </w:t>
      </w:r>
      <w:r w:rsidRPr="00611D02">
        <w:rPr>
          <w:rFonts w:ascii="Calibri" w:hAnsi="Calibri" w:cs="Calibri"/>
          <w:i/>
          <w:iCs/>
        </w:rPr>
        <w:t>233</w:t>
      </w:r>
      <w:r w:rsidRPr="00611D02">
        <w:rPr>
          <w:rFonts w:ascii="Calibri" w:hAnsi="Calibri" w:cs="Calibri"/>
        </w:rPr>
        <w:t>, 105688. https://doi.org/10.1016/j.jecp.2023.105688</w:t>
      </w:r>
    </w:p>
    <w:p w14:paraId="1D803C78" w14:textId="77777777" w:rsidR="00611D02" w:rsidRPr="00611D02" w:rsidRDefault="00611D02" w:rsidP="00611D02">
      <w:pPr>
        <w:pStyle w:val="Bibliography"/>
        <w:rPr>
          <w:rFonts w:ascii="Calibri" w:hAnsi="Calibri" w:cs="Calibri"/>
        </w:rPr>
      </w:pPr>
      <w:r w:rsidRPr="00611D02">
        <w:rPr>
          <w:rFonts w:ascii="Calibri" w:hAnsi="Calibri" w:cs="Calibri"/>
        </w:rPr>
        <w:t xml:space="preserve">Hopfenbeck, T. N., Lenkeit, J., El Masri, Y., Cantrell, K., Ryan, J., &amp; Baird, J.-A. (2018). Lessons Learned from PISA: A Systematic Review of Peer-Reviewed Articles on the Programme for International </w:t>
      </w:r>
      <w:r w:rsidRPr="00611D02">
        <w:rPr>
          <w:rFonts w:ascii="Calibri" w:hAnsi="Calibri" w:cs="Calibri"/>
        </w:rPr>
        <w:lastRenderedPageBreak/>
        <w:t xml:space="preserve">Student Assessment. </w:t>
      </w:r>
      <w:r w:rsidRPr="00611D02">
        <w:rPr>
          <w:rFonts w:ascii="Calibri" w:hAnsi="Calibri" w:cs="Calibri"/>
          <w:i/>
          <w:iCs/>
        </w:rPr>
        <w:t>Scandinavian Journal of Educational Research</w:t>
      </w:r>
      <w:r w:rsidRPr="00611D02">
        <w:rPr>
          <w:rFonts w:ascii="Calibri" w:hAnsi="Calibri" w:cs="Calibri"/>
        </w:rPr>
        <w:t xml:space="preserve">, </w:t>
      </w:r>
      <w:r w:rsidRPr="00611D02">
        <w:rPr>
          <w:rFonts w:ascii="Calibri" w:hAnsi="Calibri" w:cs="Calibri"/>
          <w:i/>
          <w:iCs/>
        </w:rPr>
        <w:t>62</w:t>
      </w:r>
      <w:r w:rsidRPr="00611D02">
        <w:rPr>
          <w:rFonts w:ascii="Calibri" w:hAnsi="Calibri" w:cs="Calibri"/>
        </w:rPr>
        <w:t>(3), 333–353. https://doi.org/10.1080/00313831.2016.1258726</w:t>
      </w:r>
    </w:p>
    <w:p w14:paraId="5B9C9A9D" w14:textId="77777777" w:rsidR="00611D02" w:rsidRPr="00611D02" w:rsidRDefault="00611D02" w:rsidP="00611D02">
      <w:pPr>
        <w:pStyle w:val="Bibliography"/>
        <w:rPr>
          <w:rFonts w:ascii="Calibri" w:hAnsi="Calibri" w:cs="Calibri"/>
        </w:rPr>
      </w:pPr>
      <w:r w:rsidRPr="00611D02">
        <w:rPr>
          <w:rFonts w:ascii="Calibri" w:hAnsi="Calibri" w:cs="Calibri"/>
        </w:rPr>
        <w:t xml:space="preserve">Hussein, M. H., Ow, S. H., Elaish, M. M., &amp; Jensen, E. O. (2022). Digital game-based learning in K-12 mathematics education: A systematic literature review. </w:t>
      </w:r>
      <w:r w:rsidRPr="00611D02">
        <w:rPr>
          <w:rFonts w:ascii="Calibri" w:hAnsi="Calibri" w:cs="Calibri"/>
          <w:i/>
          <w:iCs/>
        </w:rPr>
        <w:t>Education and Information Technologies</w:t>
      </w:r>
      <w:r w:rsidRPr="00611D02">
        <w:rPr>
          <w:rFonts w:ascii="Calibri" w:hAnsi="Calibri" w:cs="Calibri"/>
        </w:rPr>
        <w:t xml:space="preserve">, </w:t>
      </w:r>
      <w:r w:rsidRPr="00611D02">
        <w:rPr>
          <w:rFonts w:ascii="Calibri" w:hAnsi="Calibri" w:cs="Calibri"/>
          <w:i/>
          <w:iCs/>
        </w:rPr>
        <w:t>27</w:t>
      </w:r>
      <w:r w:rsidRPr="00611D02">
        <w:rPr>
          <w:rFonts w:ascii="Calibri" w:hAnsi="Calibri" w:cs="Calibri"/>
        </w:rPr>
        <w:t>(2), 2859–2891. https://doi.org/10.1007/s10639-021-10721-x</w:t>
      </w:r>
    </w:p>
    <w:p w14:paraId="21E45CC4" w14:textId="77777777" w:rsidR="00611D02" w:rsidRPr="00611D02" w:rsidRDefault="00611D02" w:rsidP="00611D02">
      <w:pPr>
        <w:pStyle w:val="Bibliography"/>
        <w:rPr>
          <w:rFonts w:ascii="Calibri" w:hAnsi="Calibri" w:cs="Calibri"/>
        </w:rPr>
      </w:pPr>
      <w:r w:rsidRPr="00611D02">
        <w:rPr>
          <w:rFonts w:ascii="Calibri" w:hAnsi="Calibri" w:cs="Calibri"/>
        </w:rPr>
        <w:t xml:space="preserve">Jerez, O., Orsini, C., Ortiz, C., &amp; Hasbun, B. (2021). Which conditions facilitate the effectiveness of large-group learning activities? A systematic review of research in higher education. </w:t>
      </w:r>
      <w:r w:rsidRPr="00611D02">
        <w:rPr>
          <w:rFonts w:ascii="Calibri" w:hAnsi="Calibri" w:cs="Calibri"/>
          <w:i/>
          <w:iCs/>
        </w:rPr>
        <w:t>Learning: Research and Practice</w:t>
      </w:r>
      <w:r w:rsidRPr="00611D02">
        <w:rPr>
          <w:rFonts w:ascii="Calibri" w:hAnsi="Calibri" w:cs="Calibri"/>
        </w:rPr>
        <w:t xml:space="preserve">, </w:t>
      </w:r>
      <w:r w:rsidRPr="00611D02">
        <w:rPr>
          <w:rFonts w:ascii="Calibri" w:hAnsi="Calibri" w:cs="Calibri"/>
          <w:i/>
          <w:iCs/>
        </w:rPr>
        <w:t>7</w:t>
      </w:r>
      <w:r w:rsidRPr="00611D02">
        <w:rPr>
          <w:rFonts w:ascii="Calibri" w:hAnsi="Calibri" w:cs="Calibri"/>
        </w:rPr>
        <w:t>(2), 147–164. https://doi.org/10.1080/23735082.2020.1871062</w:t>
      </w:r>
    </w:p>
    <w:p w14:paraId="50C79BFA" w14:textId="77777777" w:rsidR="00611D02" w:rsidRPr="00611D02" w:rsidRDefault="00611D02" w:rsidP="00611D02">
      <w:pPr>
        <w:pStyle w:val="Bibliography"/>
        <w:rPr>
          <w:rFonts w:ascii="Calibri" w:hAnsi="Calibri" w:cs="Calibri"/>
        </w:rPr>
      </w:pPr>
      <w:r w:rsidRPr="00611D02">
        <w:rPr>
          <w:rFonts w:ascii="Calibri" w:hAnsi="Calibri" w:cs="Calibri"/>
        </w:rPr>
        <w:t xml:space="preserve">Jerrim, J., Lopez-Agudo, L. A., &amp; Marcenaro-Gutierrez, O. D. (2024). How Did Spain Perform In PISA 2018? New Estimates Of Children’s PISA Reading Scores </w:t>
      </w:r>
      <w:r w:rsidRPr="00611D02">
        <w:rPr>
          <w:rFonts w:ascii="Calibri" w:hAnsi="Calibri" w:cs="Calibri"/>
          <w:vertAlign w:val="superscript"/>
        </w:rPr>
        <w:t>*</w:t>
      </w:r>
      <w:r w:rsidRPr="00611D02">
        <w:rPr>
          <w:rFonts w:ascii="Calibri" w:hAnsi="Calibri" w:cs="Calibri"/>
        </w:rPr>
        <w:t xml:space="preserve">. </w:t>
      </w:r>
      <w:r w:rsidRPr="00611D02">
        <w:rPr>
          <w:rFonts w:ascii="Calibri" w:hAnsi="Calibri" w:cs="Calibri"/>
          <w:i/>
          <w:iCs/>
        </w:rPr>
        <w:t>British Journal of Educational Studies</w:t>
      </w:r>
      <w:r w:rsidRPr="00611D02">
        <w:rPr>
          <w:rFonts w:ascii="Calibri" w:hAnsi="Calibri" w:cs="Calibri"/>
        </w:rPr>
        <w:t xml:space="preserve">, </w:t>
      </w:r>
      <w:r w:rsidRPr="00611D02">
        <w:rPr>
          <w:rFonts w:ascii="Calibri" w:hAnsi="Calibri" w:cs="Calibri"/>
          <w:i/>
          <w:iCs/>
        </w:rPr>
        <w:t>72</w:t>
      </w:r>
      <w:r w:rsidRPr="00611D02">
        <w:rPr>
          <w:rFonts w:ascii="Calibri" w:hAnsi="Calibri" w:cs="Calibri"/>
        </w:rPr>
        <w:t>(2), 177–198. https://doi.org/10.1080/00071005.2023.2258184</w:t>
      </w:r>
    </w:p>
    <w:p w14:paraId="14B79852" w14:textId="77777777" w:rsidR="00611D02" w:rsidRPr="00611D02" w:rsidRDefault="00611D02" w:rsidP="00611D02">
      <w:pPr>
        <w:pStyle w:val="Bibliography"/>
        <w:rPr>
          <w:rFonts w:ascii="Calibri" w:hAnsi="Calibri" w:cs="Calibri"/>
        </w:rPr>
      </w:pPr>
      <w:r w:rsidRPr="00611D02">
        <w:rPr>
          <w:rFonts w:ascii="Calibri" w:hAnsi="Calibri" w:cs="Calibri"/>
        </w:rPr>
        <w:t xml:space="preserve">Kochmanski, N., &amp; Cobb, P. (2023). Identifying and Negotiating Productive Instructional Improvement Goals in One-on-One Mathematics Coaching. </w:t>
      </w:r>
      <w:r w:rsidRPr="00611D02">
        <w:rPr>
          <w:rFonts w:ascii="Calibri" w:hAnsi="Calibri" w:cs="Calibri"/>
          <w:i/>
          <w:iCs/>
        </w:rPr>
        <w:t>Journal of Teacher Education</w:t>
      </w:r>
      <w:r w:rsidRPr="00611D02">
        <w:rPr>
          <w:rFonts w:ascii="Calibri" w:hAnsi="Calibri" w:cs="Calibri"/>
        </w:rPr>
        <w:t xml:space="preserve">, </w:t>
      </w:r>
      <w:r w:rsidRPr="00611D02">
        <w:rPr>
          <w:rFonts w:ascii="Calibri" w:hAnsi="Calibri" w:cs="Calibri"/>
          <w:i/>
          <w:iCs/>
        </w:rPr>
        <w:t>74</w:t>
      </w:r>
      <w:r w:rsidRPr="00611D02">
        <w:rPr>
          <w:rFonts w:ascii="Calibri" w:hAnsi="Calibri" w:cs="Calibri"/>
        </w:rPr>
        <w:t>(5), 437–450. https://doi.org/10.1177/00224871221143124</w:t>
      </w:r>
    </w:p>
    <w:p w14:paraId="625B34BD" w14:textId="77777777" w:rsidR="00611D02" w:rsidRPr="00611D02" w:rsidRDefault="00611D02" w:rsidP="00611D02">
      <w:pPr>
        <w:pStyle w:val="Bibliography"/>
        <w:rPr>
          <w:rFonts w:ascii="Calibri" w:hAnsi="Calibri" w:cs="Calibri"/>
        </w:rPr>
      </w:pPr>
      <w:r w:rsidRPr="00611D02">
        <w:rPr>
          <w:rFonts w:ascii="Calibri" w:hAnsi="Calibri" w:cs="Calibri"/>
        </w:rPr>
        <w:t xml:space="preserve">Ndungo, I., &amp; Nazziwa, C. (2023). Characterizing the Effectiveness of Video Recordings in Mathematics Instruction within Higher Education: Minimizing Direct Teacher-Student Interaction through Technological Modalities. </w:t>
      </w:r>
      <w:r w:rsidRPr="00611D02">
        <w:rPr>
          <w:rFonts w:ascii="Calibri" w:hAnsi="Calibri" w:cs="Calibri"/>
          <w:i/>
          <w:iCs/>
        </w:rPr>
        <w:t>Asian Journal of Education and Social Studies</w:t>
      </w:r>
      <w:r w:rsidRPr="00611D02">
        <w:rPr>
          <w:rFonts w:ascii="Calibri" w:hAnsi="Calibri" w:cs="Calibri"/>
        </w:rPr>
        <w:t xml:space="preserve">, </w:t>
      </w:r>
      <w:r w:rsidRPr="00611D02">
        <w:rPr>
          <w:rFonts w:ascii="Calibri" w:hAnsi="Calibri" w:cs="Calibri"/>
          <w:i/>
          <w:iCs/>
        </w:rPr>
        <w:t>49</w:t>
      </w:r>
      <w:r w:rsidRPr="00611D02">
        <w:rPr>
          <w:rFonts w:ascii="Calibri" w:hAnsi="Calibri" w:cs="Calibri"/>
        </w:rPr>
        <w:t>(4), 95–105. https://doi.org/10.9734/ajess/2023/v49i41191</w:t>
      </w:r>
    </w:p>
    <w:p w14:paraId="60032447" w14:textId="77777777" w:rsidR="00611D02" w:rsidRPr="00611D02" w:rsidRDefault="00611D02" w:rsidP="00611D02">
      <w:pPr>
        <w:pStyle w:val="Bibliography"/>
        <w:rPr>
          <w:rFonts w:ascii="Calibri" w:hAnsi="Calibri" w:cs="Calibri"/>
        </w:rPr>
      </w:pPr>
      <w:r w:rsidRPr="00611D02">
        <w:rPr>
          <w:rFonts w:ascii="Calibri" w:hAnsi="Calibri" w:cs="Calibri"/>
        </w:rPr>
        <w:t xml:space="preserve">Nusir, S., Alsmadi, I., Al-Kabi, M., &amp; Sharadgah, F. (2013). Studying the Impact of Using Multimedia Interactive Programs on Children’s Ability to Learn Basic Math Skills. </w:t>
      </w:r>
      <w:r w:rsidRPr="00611D02">
        <w:rPr>
          <w:rFonts w:ascii="Calibri" w:hAnsi="Calibri" w:cs="Calibri"/>
          <w:i/>
          <w:iCs/>
        </w:rPr>
        <w:t>E-Learning and Digital Media</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(3), 305–319. https://doi.org/10.2304/elea.2013.10.3.305</w:t>
      </w:r>
    </w:p>
    <w:p w14:paraId="7393AE07" w14:textId="77777777" w:rsidR="00611D02" w:rsidRPr="00611D02" w:rsidRDefault="00611D02" w:rsidP="00611D02">
      <w:pPr>
        <w:pStyle w:val="Bibliography"/>
        <w:rPr>
          <w:rFonts w:ascii="Calibri" w:hAnsi="Calibri" w:cs="Calibri"/>
        </w:rPr>
      </w:pPr>
      <w:r w:rsidRPr="00611D02">
        <w:rPr>
          <w:rFonts w:ascii="Calibri" w:hAnsi="Calibri" w:cs="Calibri"/>
        </w:rPr>
        <w:t xml:space="preserve">Ogbuehi, P. I., &amp; Fraser, B. J. (2007). Learning environment, attitudes and conceptual development associated with innovative strategies in middle-school mathematics. </w:t>
      </w:r>
      <w:r w:rsidRPr="00611D02">
        <w:rPr>
          <w:rFonts w:ascii="Calibri" w:hAnsi="Calibri" w:cs="Calibri"/>
          <w:i/>
          <w:iCs/>
        </w:rPr>
        <w:t>Learning Environments Research</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(2), 101–114. https://doi.org/10.1007/s10984-007-9026-z</w:t>
      </w:r>
    </w:p>
    <w:p w14:paraId="03883483"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Pardo, A., Jovanovic, J., Dawson, S., Gašević, D., &amp; Mirriahi, N. (2019). Using learning analytics to scale the provision of personalised feedback. </w:t>
      </w:r>
      <w:r w:rsidRPr="00611D02">
        <w:rPr>
          <w:rFonts w:ascii="Calibri" w:hAnsi="Calibri" w:cs="Calibri"/>
          <w:i/>
          <w:iCs/>
        </w:rPr>
        <w:t>British Journal of Educational Technology</w:t>
      </w:r>
      <w:r w:rsidRPr="00611D02">
        <w:rPr>
          <w:rFonts w:ascii="Calibri" w:hAnsi="Calibri" w:cs="Calibri"/>
        </w:rPr>
        <w:t xml:space="preserve">, </w:t>
      </w:r>
      <w:r w:rsidRPr="00611D02">
        <w:rPr>
          <w:rFonts w:ascii="Calibri" w:hAnsi="Calibri" w:cs="Calibri"/>
          <w:i/>
          <w:iCs/>
        </w:rPr>
        <w:t>50</w:t>
      </w:r>
      <w:r w:rsidRPr="00611D02">
        <w:rPr>
          <w:rFonts w:ascii="Calibri" w:hAnsi="Calibri" w:cs="Calibri"/>
        </w:rPr>
        <w:t>(1), 128–138. https://doi.org/10.1111/bjet.12592</w:t>
      </w:r>
    </w:p>
    <w:p w14:paraId="1B5343B5" w14:textId="77777777" w:rsidR="00611D02" w:rsidRPr="00611D02" w:rsidRDefault="00611D02" w:rsidP="00611D02">
      <w:pPr>
        <w:pStyle w:val="Bibliography"/>
        <w:rPr>
          <w:rFonts w:ascii="Calibri" w:hAnsi="Calibri" w:cs="Calibri"/>
        </w:rPr>
      </w:pPr>
      <w:r w:rsidRPr="00611D02">
        <w:rPr>
          <w:rFonts w:ascii="Calibri" w:hAnsi="Calibri" w:cs="Calibri"/>
        </w:rPr>
        <w:t xml:space="preserve">Perrotta, C., &amp; Williamson, B. (2018). The social life of Learning Analytics: Cluster analysis and the ‘performance’ of algorithmic education. </w:t>
      </w:r>
      <w:r w:rsidRPr="00611D02">
        <w:rPr>
          <w:rFonts w:ascii="Calibri" w:hAnsi="Calibri" w:cs="Calibri"/>
          <w:i/>
          <w:iCs/>
        </w:rPr>
        <w:t>Learning, Media and Technology</w:t>
      </w:r>
      <w:r w:rsidRPr="00611D02">
        <w:rPr>
          <w:rFonts w:ascii="Calibri" w:hAnsi="Calibri" w:cs="Calibri"/>
        </w:rPr>
        <w:t xml:space="preserve">, </w:t>
      </w:r>
      <w:r w:rsidRPr="00611D02">
        <w:rPr>
          <w:rFonts w:ascii="Calibri" w:hAnsi="Calibri" w:cs="Calibri"/>
          <w:i/>
          <w:iCs/>
        </w:rPr>
        <w:t>43</w:t>
      </w:r>
      <w:r w:rsidRPr="00611D02">
        <w:rPr>
          <w:rFonts w:ascii="Calibri" w:hAnsi="Calibri" w:cs="Calibri"/>
        </w:rPr>
        <w:t>(1), 3–16. https://doi.org/10.1080/17439884.2016.1182927</w:t>
      </w:r>
    </w:p>
    <w:p w14:paraId="6459407B" w14:textId="77777777" w:rsidR="00611D02" w:rsidRPr="00611D02" w:rsidRDefault="00611D02" w:rsidP="00611D02">
      <w:pPr>
        <w:pStyle w:val="Bibliography"/>
        <w:rPr>
          <w:rFonts w:ascii="Calibri" w:hAnsi="Calibri" w:cs="Calibri"/>
        </w:rPr>
      </w:pPr>
      <w:r w:rsidRPr="00611D02">
        <w:rPr>
          <w:rFonts w:ascii="Calibri" w:hAnsi="Calibri" w:cs="Calibri"/>
        </w:rPr>
        <w:t xml:space="preserve">Pervaz Iqbal, M., Velan, G. M., O’Sullivan, A. J., &amp; Balasooriya, C. (2020). The collaborative learning development exercise (CLeD-EX): An educational instrument to promote key collaborative learning behaviours in medical students. </w:t>
      </w:r>
      <w:r w:rsidRPr="00611D02">
        <w:rPr>
          <w:rFonts w:ascii="Calibri" w:hAnsi="Calibri" w:cs="Calibri"/>
          <w:i/>
          <w:iCs/>
        </w:rPr>
        <w:t>BMC Medical Education</w:t>
      </w:r>
      <w:r w:rsidRPr="00611D02">
        <w:rPr>
          <w:rFonts w:ascii="Calibri" w:hAnsi="Calibri" w:cs="Calibri"/>
        </w:rPr>
        <w:t xml:space="preserve">, </w:t>
      </w:r>
      <w:r w:rsidRPr="00611D02">
        <w:rPr>
          <w:rFonts w:ascii="Calibri" w:hAnsi="Calibri" w:cs="Calibri"/>
          <w:i/>
          <w:iCs/>
        </w:rPr>
        <w:t>20</w:t>
      </w:r>
      <w:r w:rsidRPr="00611D02">
        <w:rPr>
          <w:rFonts w:ascii="Calibri" w:hAnsi="Calibri" w:cs="Calibri"/>
        </w:rPr>
        <w:t>(1), 62. https://doi.org/10.1186/s12909-020-1977-0</w:t>
      </w:r>
    </w:p>
    <w:p w14:paraId="4F0BA4B2" w14:textId="77777777" w:rsidR="00611D02" w:rsidRPr="00611D02" w:rsidRDefault="00611D02" w:rsidP="00611D02">
      <w:pPr>
        <w:pStyle w:val="Bibliography"/>
        <w:rPr>
          <w:rFonts w:ascii="Calibri" w:hAnsi="Calibri" w:cs="Calibri"/>
        </w:rPr>
      </w:pPr>
      <w:r w:rsidRPr="00611D02">
        <w:rPr>
          <w:rFonts w:ascii="Calibri" w:hAnsi="Calibri" w:cs="Calibri"/>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611D02">
        <w:rPr>
          <w:rFonts w:ascii="Calibri" w:hAnsi="Calibri" w:cs="Calibri"/>
          <w:i/>
          <w:iCs/>
        </w:rPr>
        <w:t>Frontiers in Psychology</w:t>
      </w:r>
      <w:r w:rsidRPr="00611D02">
        <w:rPr>
          <w:rFonts w:ascii="Calibri" w:hAnsi="Calibri" w:cs="Calibri"/>
        </w:rPr>
        <w:t xml:space="preserve">, </w:t>
      </w:r>
      <w:r w:rsidRPr="00611D02">
        <w:rPr>
          <w:rFonts w:ascii="Calibri" w:hAnsi="Calibri" w:cs="Calibri"/>
          <w:i/>
          <w:iCs/>
        </w:rPr>
        <w:t>14</w:t>
      </w:r>
      <w:r w:rsidRPr="00611D02">
        <w:rPr>
          <w:rFonts w:ascii="Calibri" w:hAnsi="Calibri" w:cs="Calibri"/>
        </w:rPr>
        <w:t>, 1185677. https://doi.org/10.3389/fpsyg.2023.1185677</w:t>
      </w:r>
    </w:p>
    <w:p w14:paraId="0CBA1DBA" w14:textId="77777777" w:rsidR="00611D02" w:rsidRPr="00611D02" w:rsidRDefault="00611D02" w:rsidP="00611D02">
      <w:pPr>
        <w:pStyle w:val="Bibliography"/>
        <w:rPr>
          <w:rFonts w:ascii="Calibri" w:hAnsi="Calibri" w:cs="Calibri"/>
        </w:rPr>
      </w:pPr>
      <w:r w:rsidRPr="00611D02">
        <w:rPr>
          <w:rFonts w:ascii="Calibri" w:hAnsi="Calibri" w:cs="Calibri"/>
        </w:rPr>
        <w:t xml:space="preserve">Raj Sharma, A., Mandot, M., Professor at Dept. of Computer Science &amp; IT, Rajasthan Vidyapeeth University, Udaipur., Singh, J., &amp; Partner at Recap Consultancy and General Supply, Dhoraji, Rajkot. (2023). IMPACT ASSESSMENT OF INNOVATIVE LEARNING APPROACHES ON EDUCATION: A CRITICAL REVIEW. </w:t>
      </w:r>
      <w:r w:rsidRPr="00611D02">
        <w:rPr>
          <w:rFonts w:ascii="Calibri" w:hAnsi="Calibri" w:cs="Calibri"/>
          <w:i/>
          <w:iCs/>
        </w:rPr>
        <w:t>International Journal of Advanced Research</w:t>
      </w:r>
      <w:r w:rsidRPr="00611D02">
        <w:rPr>
          <w:rFonts w:ascii="Calibri" w:hAnsi="Calibri" w:cs="Calibri"/>
        </w:rPr>
        <w:t xml:space="preserve">, </w:t>
      </w:r>
      <w:r w:rsidRPr="00611D02">
        <w:rPr>
          <w:rFonts w:ascii="Calibri" w:hAnsi="Calibri" w:cs="Calibri"/>
          <w:i/>
          <w:iCs/>
        </w:rPr>
        <w:t>11</w:t>
      </w:r>
      <w:r w:rsidRPr="00611D02">
        <w:rPr>
          <w:rFonts w:ascii="Calibri" w:hAnsi="Calibri" w:cs="Calibri"/>
        </w:rPr>
        <w:t>(05), 989–995. https://doi.org/10.21474/IJAR01/16955</w:t>
      </w:r>
    </w:p>
    <w:p w14:paraId="5B1332F9" w14:textId="77777777" w:rsidR="00611D02" w:rsidRPr="00611D02" w:rsidRDefault="00611D02" w:rsidP="00611D02">
      <w:pPr>
        <w:pStyle w:val="Bibliography"/>
        <w:rPr>
          <w:rFonts w:ascii="Calibri" w:hAnsi="Calibri" w:cs="Calibri"/>
        </w:rPr>
      </w:pPr>
      <w:r w:rsidRPr="00611D02">
        <w:rPr>
          <w:rFonts w:ascii="Calibri" w:hAnsi="Calibri" w:cs="Calibri"/>
        </w:rPr>
        <w:t xml:space="preserve">Ramos, A., Lavrijsen, J., Linnenbrink-Garcia, L., Soenens, B., Vansteenkiste, M., Sypré, S., Boncquet, M., &amp; Verschueren, K. (2023). Motivational Pathways Underlying Gifted Underachievement: Trajectory Classes, Longitudinal Outcomes, and Predicting Factors. </w:t>
      </w:r>
      <w:r w:rsidRPr="00611D02">
        <w:rPr>
          <w:rFonts w:ascii="Calibri" w:hAnsi="Calibri" w:cs="Calibri"/>
          <w:i/>
          <w:iCs/>
        </w:rPr>
        <w:t>Gifted Child Quarterly</w:t>
      </w:r>
      <w:r w:rsidRPr="00611D02">
        <w:rPr>
          <w:rFonts w:ascii="Calibri" w:hAnsi="Calibri" w:cs="Calibri"/>
        </w:rPr>
        <w:t xml:space="preserve">, </w:t>
      </w:r>
      <w:r w:rsidRPr="00611D02">
        <w:rPr>
          <w:rFonts w:ascii="Calibri" w:hAnsi="Calibri" w:cs="Calibri"/>
          <w:i/>
          <w:iCs/>
        </w:rPr>
        <w:t>67</w:t>
      </w:r>
      <w:r w:rsidRPr="00611D02">
        <w:rPr>
          <w:rFonts w:ascii="Calibri" w:hAnsi="Calibri" w:cs="Calibri"/>
        </w:rPr>
        <w:t>(3), 179–197. https://doi.org/10.1177/00169862221132279</w:t>
      </w:r>
    </w:p>
    <w:p w14:paraId="0A976276" w14:textId="77777777" w:rsidR="00611D02" w:rsidRPr="00611D02" w:rsidRDefault="00611D02" w:rsidP="00611D02">
      <w:pPr>
        <w:pStyle w:val="Bibliography"/>
        <w:rPr>
          <w:rFonts w:ascii="Calibri" w:hAnsi="Calibri" w:cs="Calibri"/>
        </w:rPr>
      </w:pPr>
      <w:r w:rsidRPr="00611D02">
        <w:rPr>
          <w:rFonts w:ascii="Calibri" w:hAnsi="Calibri" w:cs="Calibri"/>
        </w:rPr>
        <w:t xml:space="preserve">Ronksley-Pavia, M., &amp; Neumann, M. M. (2020). Conceptualising Gifted Student (Dis) Engagement through the Lens of Learner (Re) Engagement. </w:t>
      </w:r>
      <w:r w:rsidRPr="00611D02">
        <w:rPr>
          <w:rFonts w:ascii="Calibri" w:hAnsi="Calibri" w:cs="Calibri"/>
          <w:i/>
          <w:iCs/>
        </w:rPr>
        <w:t>Education Sciences</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(10), 274. https://doi.org/10.3390/educsci10100274</w:t>
      </w:r>
    </w:p>
    <w:p w14:paraId="6CA900D6"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Saha, J., Ahmmed, S., Ali, M., Tamal, M. A., &amp; Rezaul, K. M. (2020). ICT Based Mathematics Skill Development Program: An Initiative to Overcome Mathematics Anxiety. </w:t>
      </w:r>
      <w:r w:rsidRPr="00611D02">
        <w:rPr>
          <w:rFonts w:ascii="Calibri" w:hAnsi="Calibri" w:cs="Calibri"/>
          <w:i/>
          <w:iCs/>
        </w:rPr>
        <w:t>International Journal of Emerging Technologies in Learning (iJET)</w:t>
      </w:r>
      <w:r w:rsidRPr="00611D02">
        <w:rPr>
          <w:rFonts w:ascii="Calibri" w:hAnsi="Calibri" w:cs="Calibri"/>
        </w:rPr>
        <w:t xml:space="preserve">, </w:t>
      </w:r>
      <w:r w:rsidRPr="00611D02">
        <w:rPr>
          <w:rFonts w:ascii="Calibri" w:hAnsi="Calibri" w:cs="Calibri"/>
          <w:i/>
          <w:iCs/>
        </w:rPr>
        <w:t>15</w:t>
      </w:r>
      <w:r w:rsidRPr="00611D02">
        <w:rPr>
          <w:rFonts w:ascii="Calibri" w:hAnsi="Calibri" w:cs="Calibri"/>
        </w:rPr>
        <w:t>(14), 252. https://doi.org/10.3991/ijet.v15i14.14149</w:t>
      </w:r>
    </w:p>
    <w:p w14:paraId="2A9205E2" w14:textId="77777777" w:rsidR="00611D02" w:rsidRPr="00611D02" w:rsidRDefault="00611D02" w:rsidP="00611D02">
      <w:pPr>
        <w:pStyle w:val="Bibliography"/>
        <w:rPr>
          <w:rFonts w:ascii="Calibri" w:hAnsi="Calibri" w:cs="Calibri"/>
        </w:rPr>
      </w:pPr>
      <w:r w:rsidRPr="00611D02">
        <w:rPr>
          <w:rFonts w:ascii="Calibri" w:hAnsi="Calibri" w:cs="Calibri"/>
        </w:rPr>
        <w:t xml:space="preserve">Shemshack, A., Kinshuk, &amp; Spector, J. M. (2021). A comprehensive analysis of personalized learning components. </w:t>
      </w:r>
      <w:r w:rsidRPr="00611D02">
        <w:rPr>
          <w:rFonts w:ascii="Calibri" w:hAnsi="Calibri" w:cs="Calibri"/>
          <w:i/>
          <w:iCs/>
        </w:rPr>
        <w:t>Journal of Computers in Education</w:t>
      </w:r>
      <w:r w:rsidRPr="00611D02">
        <w:rPr>
          <w:rFonts w:ascii="Calibri" w:hAnsi="Calibri" w:cs="Calibri"/>
        </w:rPr>
        <w:t xml:space="preserve">, </w:t>
      </w:r>
      <w:r w:rsidRPr="00611D02">
        <w:rPr>
          <w:rFonts w:ascii="Calibri" w:hAnsi="Calibri" w:cs="Calibri"/>
          <w:i/>
          <w:iCs/>
        </w:rPr>
        <w:t>8</w:t>
      </w:r>
      <w:r w:rsidRPr="00611D02">
        <w:rPr>
          <w:rFonts w:ascii="Calibri" w:hAnsi="Calibri" w:cs="Calibri"/>
        </w:rPr>
        <w:t>(4), 485–503. https://doi.org/10.1007/s40692-021-00188-7</w:t>
      </w:r>
    </w:p>
    <w:p w14:paraId="3EF8778F" w14:textId="77777777" w:rsidR="00611D02" w:rsidRPr="00611D02" w:rsidRDefault="00611D02" w:rsidP="00611D02">
      <w:pPr>
        <w:pStyle w:val="Bibliography"/>
        <w:rPr>
          <w:rFonts w:ascii="Calibri" w:hAnsi="Calibri" w:cs="Calibri"/>
        </w:rPr>
      </w:pPr>
      <w:r w:rsidRPr="00611D02">
        <w:rPr>
          <w:rFonts w:ascii="Calibri" w:hAnsi="Calibri" w:cs="Calibri"/>
        </w:rPr>
        <w:t xml:space="preserve">Tetzlaff, L., Schmiedek, F., &amp; Brod, G. (2021). Developing Personalized Education: A Dynamic Framework. </w:t>
      </w:r>
      <w:r w:rsidRPr="00611D02">
        <w:rPr>
          <w:rFonts w:ascii="Calibri" w:hAnsi="Calibri" w:cs="Calibri"/>
          <w:i/>
          <w:iCs/>
        </w:rPr>
        <w:t>Educational Psychology Review</w:t>
      </w:r>
      <w:r w:rsidRPr="00611D02">
        <w:rPr>
          <w:rFonts w:ascii="Calibri" w:hAnsi="Calibri" w:cs="Calibri"/>
        </w:rPr>
        <w:t xml:space="preserve">, </w:t>
      </w:r>
      <w:r w:rsidRPr="00611D02">
        <w:rPr>
          <w:rFonts w:ascii="Calibri" w:hAnsi="Calibri" w:cs="Calibri"/>
          <w:i/>
          <w:iCs/>
        </w:rPr>
        <w:t>33</w:t>
      </w:r>
      <w:r w:rsidRPr="00611D02">
        <w:rPr>
          <w:rFonts w:ascii="Calibri" w:hAnsi="Calibri" w:cs="Calibri"/>
        </w:rPr>
        <w:t>(3), 863–882. https://doi.org/10.1007/s10648-020-09570-w</w:t>
      </w:r>
    </w:p>
    <w:p w14:paraId="5D0F753A" w14:textId="77777777" w:rsidR="00611D02" w:rsidRPr="00611D02" w:rsidRDefault="00611D02" w:rsidP="00611D02">
      <w:pPr>
        <w:pStyle w:val="Bibliography"/>
        <w:rPr>
          <w:rFonts w:ascii="Calibri" w:hAnsi="Calibri" w:cs="Calibri"/>
        </w:rPr>
      </w:pPr>
      <w:r w:rsidRPr="00611D02">
        <w:rPr>
          <w:rFonts w:ascii="Calibri" w:hAnsi="Calibri" w:cs="Calibri"/>
        </w:rPr>
        <w:t xml:space="preserve">Trenholm, S. (2022). Media effects accompanying the use of recorded lecture videos in undergraduate mathematics instruction. </w:t>
      </w:r>
      <w:r w:rsidRPr="00611D02">
        <w:rPr>
          <w:rFonts w:ascii="Calibri" w:hAnsi="Calibri" w:cs="Calibri"/>
          <w:i/>
          <w:iCs/>
        </w:rPr>
        <w:t>International Journal of Mathematical Education in Science and Technology</w:t>
      </w:r>
      <w:r w:rsidRPr="00611D02">
        <w:rPr>
          <w:rFonts w:ascii="Calibri" w:hAnsi="Calibri" w:cs="Calibri"/>
        </w:rPr>
        <w:t xml:space="preserve">, </w:t>
      </w:r>
      <w:r w:rsidRPr="00611D02">
        <w:rPr>
          <w:rFonts w:ascii="Calibri" w:hAnsi="Calibri" w:cs="Calibri"/>
          <w:i/>
          <w:iCs/>
        </w:rPr>
        <w:t>53</w:t>
      </w:r>
      <w:r w:rsidRPr="00611D02">
        <w:rPr>
          <w:rFonts w:ascii="Calibri" w:hAnsi="Calibri" w:cs="Calibri"/>
        </w:rPr>
        <w:t>(11), 3015–3043. https://doi.org/10.1080/0020739X.2021.1930221</w:t>
      </w:r>
    </w:p>
    <w:p w14:paraId="35110877" w14:textId="77777777" w:rsidR="00611D02" w:rsidRPr="00611D02" w:rsidRDefault="00611D02" w:rsidP="00611D02">
      <w:pPr>
        <w:pStyle w:val="Bibliography"/>
        <w:rPr>
          <w:rFonts w:ascii="Calibri" w:hAnsi="Calibri" w:cs="Calibri"/>
        </w:rPr>
      </w:pPr>
      <w:r w:rsidRPr="00611D02">
        <w:rPr>
          <w:rFonts w:ascii="Calibri" w:hAnsi="Calibri" w:cs="Calibri"/>
        </w:rPr>
        <w:t xml:space="preserve">Xiao, Y., &amp; Hew, K. F. (2022). The Relationships Among ICT-Related Psychological Factors, School Contextual Factors and Secondary Students’ Reading Performance: A Multilevel Analysis Across 47 Economies. </w:t>
      </w:r>
      <w:r w:rsidRPr="00611D02">
        <w:rPr>
          <w:rFonts w:ascii="Calibri" w:hAnsi="Calibri" w:cs="Calibri"/>
          <w:i/>
          <w:iCs/>
        </w:rPr>
        <w:t>Journal of Educational Computing Research</w:t>
      </w:r>
      <w:r w:rsidRPr="00611D02">
        <w:rPr>
          <w:rFonts w:ascii="Calibri" w:hAnsi="Calibri" w:cs="Calibri"/>
        </w:rPr>
        <w:t xml:space="preserve">, </w:t>
      </w:r>
      <w:r w:rsidRPr="00611D02">
        <w:rPr>
          <w:rFonts w:ascii="Calibri" w:hAnsi="Calibri" w:cs="Calibri"/>
          <w:i/>
          <w:iCs/>
        </w:rPr>
        <w:t>60</w:t>
      </w:r>
      <w:r w:rsidRPr="00611D02">
        <w:rPr>
          <w:rFonts w:ascii="Calibri" w:hAnsi="Calibri" w:cs="Calibri"/>
        </w:rPr>
        <w:t>(5), 1166–1196. https://doi.org/10.1177/07356331211070975</w:t>
      </w:r>
    </w:p>
    <w:p w14:paraId="0B32D477" w14:textId="562515D3" w:rsidR="00D120D4" w:rsidRPr="00D120D4" w:rsidRDefault="00945896" w:rsidP="00D120D4">
      <w:pPr>
        <w:rPr>
          <w:lang w:val="en-US"/>
        </w:rPr>
      </w:pPr>
      <w:r>
        <w:rPr>
          <w:lang w:val="en-US"/>
        </w:rPr>
        <w:fldChar w:fldCharType="end"/>
      </w:r>
    </w:p>
    <w:sectPr w:rsidR="00D120D4" w:rsidRPr="00D120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54679" w14:textId="77777777" w:rsidR="00014924" w:rsidRDefault="00014924" w:rsidP="00334A8F">
      <w:pPr>
        <w:spacing w:after="0" w:line="240" w:lineRule="auto"/>
      </w:pPr>
      <w:r>
        <w:separator/>
      </w:r>
    </w:p>
  </w:endnote>
  <w:endnote w:type="continuationSeparator" w:id="0">
    <w:p w14:paraId="00776264" w14:textId="77777777" w:rsidR="00014924" w:rsidRDefault="00014924"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07D56" w14:textId="77777777" w:rsidR="00014924" w:rsidRDefault="00014924" w:rsidP="00334A8F">
      <w:pPr>
        <w:spacing w:after="0" w:line="240" w:lineRule="auto"/>
      </w:pPr>
      <w:r>
        <w:separator/>
      </w:r>
    </w:p>
  </w:footnote>
  <w:footnote w:type="continuationSeparator" w:id="0">
    <w:p w14:paraId="46220275" w14:textId="77777777" w:rsidR="00014924" w:rsidRDefault="00014924"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2533561">
    <w:abstractNumId w:val="8"/>
  </w:num>
  <w:num w:numId="2" w16cid:durableId="1583248789">
    <w:abstractNumId w:val="3"/>
  </w:num>
  <w:num w:numId="3" w16cid:durableId="379088828">
    <w:abstractNumId w:val="4"/>
  </w:num>
  <w:num w:numId="4" w16cid:durableId="779683430">
    <w:abstractNumId w:val="9"/>
  </w:num>
  <w:num w:numId="5" w16cid:durableId="1800028660">
    <w:abstractNumId w:val="2"/>
  </w:num>
  <w:num w:numId="6" w16cid:durableId="1200707130">
    <w:abstractNumId w:val="0"/>
  </w:num>
  <w:num w:numId="7" w16cid:durableId="114655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8802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500047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75849110">
    <w:abstractNumId w:val="7"/>
  </w:num>
  <w:num w:numId="11" w16cid:durableId="238365435">
    <w:abstractNumId w:val="1"/>
  </w:num>
  <w:num w:numId="12" w16cid:durableId="1965302898">
    <w:abstractNumId w:val="6"/>
  </w:num>
  <w:num w:numId="13" w16cid:durableId="1481578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14924"/>
    <w:rsid w:val="0002468E"/>
    <w:rsid w:val="00025C41"/>
    <w:rsid w:val="0003543E"/>
    <w:rsid w:val="00040D1B"/>
    <w:rsid w:val="00041E88"/>
    <w:rsid w:val="00042846"/>
    <w:rsid w:val="00046752"/>
    <w:rsid w:val="000506A8"/>
    <w:rsid w:val="00050A24"/>
    <w:rsid w:val="0006482E"/>
    <w:rsid w:val="00070494"/>
    <w:rsid w:val="00074BB8"/>
    <w:rsid w:val="0008000E"/>
    <w:rsid w:val="0008396B"/>
    <w:rsid w:val="00083FAF"/>
    <w:rsid w:val="00085879"/>
    <w:rsid w:val="00085A16"/>
    <w:rsid w:val="0009238C"/>
    <w:rsid w:val="00094CE8"/>
    <w:rsid w:val="000A0A40"/>
    <w:rsid w:val="000A5567"/>
    <w:rsid w:val="000B20A6"/>
    <w:rsid w:val="000B2FD0"/>
    <w:rsid w:val="000C0ACA"/>
    <w:rsid w:val="000C10A4"/>
    <w:rsid w:val="000D035A"/>
    <w:rsid w:val="000D1A7C"/>
    <w:rsid w:val="000D2EEC"/>
    <w:rsid w:val="000D690D"/>
    <w:rsid w:val="000D75BD"/>
    <w:rsid w:val="000E60F3"/>
    <w:rsid w:val="000F0BA3"/>
    <w:rsid w:val="001002C8"/>
    <w:rsid w:val="00100F24"/>
    <w:rsid w:val="00111EF0"/>
    <w:rsid w:val="00112853"/>
    <w:rsid w:val="00113C60"/>
    <w:rsid w:val="00114F5B"/>
    <w:rsid w:val="001217F3"/>
    <w:rsid w:val="00127C86"/>
    <w:rsid w:val="00131F75"/>
    <w:rsid w:val="00133B32"/>
    <w:rsid w:val="00143EA3"/>
    <w:rsid w:val="00146615"/>
    <w:rsid w:val="00146761"/>
    <w:rsid w:val="00155728"/>
    <w:rsid w:val="00155FC5"/>
    <w:rsid w:val="00156853"/>
    <w:rsid w:val="00163E55"/>
    <w:rsid w:val="00180732"/>
    <w:rsid w:val="001845F6"/>
    <w:rsid w:val="00185E8C"/>
    <w:rsid w:val="001875E3"/>
    <w:rsid w:val="00191A21"/>
    <w:rsid w:val="001924FB"/>
    <w:rsid w:val="00193AA0"/>
    <w:rsid w:val="00193AC2"/>
    <w:rsid w:val="0019493B"/>
    <w:rsid w:val="00196187"/>
    <w:rsid w:val="00196455"/>
    <w:rsid w:val="0019700D"/>
    <w:rsid w:val="00197EFC"/>
    <w:rsid w:val="001A4C9C"/>
    <w:rsid w:val="001B19A4"/>
    <w:rsid w:val="001B1C85"/>
    <w:rsid w:val="001B378A"/>
    <w:rsid w:val="001B5F94"/>
    <w:rsid w:val="001C0AB9"/>
    <w:rsid w:val="001C1D41"/>
    <w:rsid w:val="001C50CD"/>
    <w:rsid w:val="001D6D3B"/>
    <w:rsid w:val="001E2B13"/>
    <w:rsid w:val="001E5E41"/>
    <w:rsid w:val="001E75C6"/>
    <w:rsid w:val="001F39D7"/>
    <w:rsid w:val="00200198"/>
    <w:rsid w:val="00205556"/>
    <w:rsid w:val="00205AA2"/>
    <w:rsid w:val="00207BDD"/>
    <w:rsid w:val="00216BB9"/>
    <w:rsid w:val="002227FE"/>
    <w:rsid w:val="002258EE"/>
    <w:rsid w:val="00227550"/>
    <w:rsid w:val="00230DE8"/>
    <w:rsid w:val="002318AF"/>
    <w:rsid w:val="00231FF0"/>
    <w:rsid w:val="00233597"/>
    <w:rsid w:val="00242E7E"/>
    <w:rsid w:val="00243606"/>
    <w:rsid w:val="00243A7F"/>
    <w:rsid w:val="0024559C"/>
    <w:rsid w:val="002466E4"/>
    <w:rsid w:val="00247256"/>
    <w:rsid w:val="00247AFA"/>
    <w:rsid w:val="00264083"/>
    <w:rsid w:val="00272692"/>
    <w:rsid w:val="00290A3E"/>
    <w:rsid w:val="0029620F"/>
    <w:rsid w:val="002B0081"/>
    <w:rsid w:val="002B551E"/>
    <w:rsid w:val="002C0557"/>
    <w:rsid w:val="002C169B"/>
    <w:rsid w:val="002C21AF"/>
    <w:rsid w:val="002C6B3A"/>
    <w:rsid w:val="002C7060"/>
    <w:rsid w:val="002D0F73"/>
    <w:rsid w:val="002D2CA3"/>
    <w:rsid w:val="002D7BCD"/>
    <w:rsid w:val="002E1057"/>
    <w:rsid w:val="002F13C8"/>
    <w:rsid w:val="002F3AC8"/>
    <w:rsid w:val="003009ED"/>
    <w:rsid w:val="00304032"/>
    <w:rsid w:val="00306FA0"/>
    <w:rsid w:val="0031560D"/>
    <w:rsid w:val="00321C2D"/>
    <w:rsid w:val="00330FE7"/>
    <w:rsid w:val="00331855"/>
    <w:rsid w:val="003322D8"/>
    <w:rsid w:val="00332454"/>
    <w:rsid w:val="00333407"/>
    <w:rsid w:val="003343AE"/>
    <w:rsid w:val="00334A8F"/>
    <w:rsid w:val="00335379"/>
    <w:rsid w:val="00336051"/>
    <w:rsid w:val="00337153"/>
    <w:rsid w:val="00337E0A"/>
    <w:rsid w:val="003452C7"/>
    <w:rsid w:val="003454BD"/>
    <w:rsid w:val="00360F63"/>
    <w:rsid w:val="00372C2B"/>
    <w:rsid w:val="003730A3"/>
    <w:rsid w:val="00380745"/>
    <w:rsid w:val="00380760"/>
    <w:rsid w:val="003910D3"/>
    <w:rsid w:val="003911F5"/>
    <w:rsid w:val="00393C6E"/>
    <w:rsid w:val="00394806"/>
    <w:rsid w:val="003974C2"/>
    <w:rsid w:val="003A0499"/>
    <w:rsid w:val="003A311F"/>
    <w:rsid w:val="003A7301"/>
    <w:rsid w:val="003B7050"/>
    <w:rsid w:val="003C0653"/>
    <w:rsid w:val="003C503C"/>
    <w:rsid w:val="003D0BDC"/>
    <w:rsid w:val="003D5954"/>
    <w:rsid w:val="003D741C"/>
    <w:rsid w:val="003E077C"/>
    <w:rsid w:val="003E5137"/>
    <w:rsid w:val="003F05C4"/>
    <w:rsid w:val="003F0DE5"/>
    <w:rsid w:val="003F7DAC"/>
    <w:rsid w:val="00402117"/>
    <w:rsid w:val="00402600"/>
    <w:rsid w:val="00404797"/>
    <w:rsid w:val="0040713F"/>
    <w:rsid w:val="00411BA5"/>
    <w:rsid w:val="0041240D"/>
    <w:rsid w:val="00414611"/>
    <w:rsid w:val="00415125"/>
    <w:rsid w:val="004208F5"/>
    <w:rsid w:val="00423309"/>
    <w:rsid w:val="00424CEA"/>
    <w:rsid w:val="00425AA9"/>
    <w:rsid w:val="00431CE2"/>
    <w:rsid w:val="0043569B"/>
    <w:rsid w:val="00436230"/>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2D32"/>
    <w:rsid w:val="004D78C0"/>
    <w:rsid w:val="004E06AF"/>
    <w:rsid w:val="004E1393"/>
    <w:rsid w:val="004F238E"/>
    <w:rsid w:val="004F4CEA"/>
    <w:rsid w:val="0050177E"/>
    <w:rsid w:val="00502042"/>
    <w:rsid w:val="00511121"/>
    <w:rsid w:val="00513844"/>
    <w:rsid w:val="00514DDF"/>
    <w:rsid w:val="0052140B"/>
    <w:rsid w:val="00521888"/>
    <w:rsid w:val="00523895"/>
    <w:rsid w:val="00532ECF"/>
    <w:rsid w:val="00541875"/>
    <w:rsid w:val="00544CCD"/>
    <w:rsid w:val="005473DB"/>
    <w:rsid w:val="00550064"/>
    <w:rsid w:val="005500CF"/>
    <w:rsid w:val="00551E52"/>
    <w:rsid w:val="00555054"/>
    <w:rsid w:val="00555396"/>
    <w:rsid w:val="00560D61"/>
    <w:rsid w:val="00573B0C"/>
    <w:rsid w:val="005805E7"/>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1114"/>
    <w:rsid w:val="005D03D9"/>
    <w:rsid w:val="005D3C6C"/>
    <w:rsid w:val="005D3D65"/>
    <w:rsid w:val="005D59C1"/>
    <w:rsid w:val="005E0F33"/>
    <w:rsid w:val="005E105E"/>
    <w:rsid w:val="005E32B1"/>
    <w:rsid w:val="005E55B6"/>
    <w:rsid w:val="005F1862"/>
    <w:rsid w:val="005F3D62"/>
    <w:rsid w:val="005F3FE5"/>
    <w:rsid w:val="005F6C73"/>
    <w:rsid w:val="006024AE"/>
    <w:rsid w:val="00611D02"/>
    <w:rsid w:val="0061289B"/>
    <w:rsid w:val="00613989"/>
    <w:rsid w:val="00634E84"/>
    <w:rsid w:val="00636521"/>
    <w:rsid w:val="00642AC4"/>
    <w:rsid w:val="00653110"/>
    <w:rsid w:val="00653EDE"/>
    <w:rsid w:val="00657E2B"/>
    <w:rsid w:val="006619C3"/>
    <w:rsid w:val="00664E35"/>
    <w:rsid w:val="006652B3"/>
    <w:rsid w:val="00667DCA"/>
    <w:rsid w:val="00667DD4"/>
    <w:rsid w:val="00672535"/>
    <w:rsid w:val="0067511B"/>
    <w:rsid w:val="0068183F"/>
    <w:rsid w:val="006920AC"/>
    <w:rsid w:val="006A182C"/>
    <w:rsid w:val="006A40E7"/>
    <w:rsid w:val="006A4143"/>
    <w:rsid w:val="006A4D27"/>
    <w:rsid w:val="006B095E"/>
    <w:rsid w:val="006B2E4E"/>
    <w:rsid w:val="006B3DA8"/>
    <w:rsid w:val="006B435B"/>
    <w:rsid w:val="006C1234"/>
    <w:rsid w:val="006D24D4"/>
    <w:rsid w:val="006D25B5"/>
    <w:rsid w:val="006D403F"/>
    <w:rsid w:val="006E1B2A"/>
    <w:rsid w:val="006F0EFC"/>
    <w:rsid w:val="006F5D30"/>
    <w:rsid w:val="00707A9C"/>
    <w:rsid w:val="00710040"/>
    <w:rsid w:val="00712AD1"/>
    <w:rsid w:val="00723F04"/>
    <w:rsid w:val="007264BF"/>
    <w:rsid w:val="00727138"/>
    <w:rsid w:val="00727543"/>
    <w:rsid w:val="007302DA"/>
    <w:rsid w:val="00730D17"/>
    <w:rsid w:val="007346E8"/>
    <w:rsid w:val="0073483D"/>
    <w:rsid w:val="007448CF"/>
    <w:rsid w:val="0074524E"/>
    <w:rsid w:val="00746B5E"/>
    <w:rsid w:val="00750F51"/>
    <w:rsid w:val="007555E4"/>
    <w:rsid w:val="00755824"/>
    <w:rsid w:val="00782A4C"/>
    <w:rsid w:val="00782B62"/>
    <w:rsid w:val="007851A1"/>
    <w:rsid w:val="00791502"/>
    <w:rsid w:val="00791836"/>
    <w:rsid w:val="00791D5D"/>
    <w:rsid w:val="00793985"/>
    <w:rsid w:val="00794F26"/>
    <w:rsid w:val="00795AA1"/>
    <w:rsid w:val="00796807"/>
    <w:rsid w:val="007C1B63"/>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12DE"/>
    <w:rsid w:val="00842741"/>
    <w:rsid w:val="008445FB"/>
    <w:rsid w:val="0085369A"/>
    <w:rsid w:val="00856E10"/>
    <w:rsid w:val="00860EFF"/>
    <w:rsid w:val="00864F10"/>
    <w:rsid w:val="00875AF2"/>
    <w:rsid w:val="00880BC7"/>
    <w:rsid w:val="0088520C"/>
    <w:rsid w:val="008911FF"/>
    <w:rsid w:val="00894913"/>
    <w:rsid w:val="00895354"/>
    <w:rsid w:val="00896308"/>
    <w:rsid w:val="008979F3"/>
    <w:rsid w:val="008A4790"/>
    <w:rsid w:val="008A4D30"/>
    <w:rsid w:val="008A5283"/>
    <w:rsid w:val="008B0F10"/>
    <w:rsid w:val="008B189F"/>
    <w:rsid w:val="008C0A87"/>
    <w:rsid w:val="008C3573"/>
    <w:rsid w:val="008C3C14"/>
    <w:rsid w:val="008D0571"/>
    <w:rsid w:val="008D2BD9"/>
    <w:rsid w:val="008D42F2"/>
    <w:rsid w:val="008E2808"/>
    <w:rsid w:val="008E3FD3"/>
    <w:rsid w:val="008E4EF2"/>
    <w:rsid w:val="008E67DC"/>
    <w:rsid w:val="008E7276"/>
    <w:rsid w:val="008F6ADB"/>
    <w:rsid w:val="00900E5E"/>
    <w:rsid w:val="0090549F"/>
    <w:rsid w:val="009133D7"/>
    <w:rsid w:val="0092360C"/>
    <w:rsid w:val="009236B9"/>
    <w:rsid w:val="00925EF7"/>
    <w:rsid w:val="009345A5"/>
    <w:rsid w:val="00937D8E"/>
    <w:rsid w:val="00940BB7"/>
    <w:rsid w:val="00944EB8"/>
    <w:rsid w:val="00945896"/>
    <w:rsid w:val="00946C19"/>
    <w:rsid w:val="00951AD1"/>
    <w:rsid w:val="00956A64"/>
    <w:rsid w:val="0096693D"/>
    <w:rsid w:val="0097024D"/>
    <w:rsid w:val="00981A43"/>
    <w:rsid w:val="0098490E"/>
    <w:rsid w:val="0098623D"/>
    <w:rsid w:val="00987746"/>
    <w:rsid w:val="009930BE"/>
    <w:rsid w:val="009937F3"/>
    <w:rsid w:val="00993F9F"/>
    <w:rsid w:val="00997875"/>
    <w:rsid w:val="009A0533"/>
    <w:rsid w:val="009A0F2A"/>
    <w:rsid w:val="009A50AC"/>
    <w:rsid w:val="009A6124"/>
    <w:rsid w:val="009B4218"/>
    <w:rsid w:val="009B775D"/>
    <w:rsid w:val="009C46A2"/>
    <w:rsid w:val="009C7BF5"/>
    <w:rsid w:val="009D1706"/>
    <w:rsid w:val="009D3AAD"/>
    <w:rsid w:val="009D3CE1"/>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78BF"/>
    <w:rsid w:val="00A40253"/>
    <w:rsid w:val="00A43E17"/>
    <w:rsid w:val="00A45E9D"/>
    <w:rsid w:val="00A54500"/>
    <w:rsid w:val="00A57B84"/>
    <w:rsid w:val="00A63408"/>
    <w:rsid w:val="00A6451B"/>
    <w:rsid w:val="00A65484"/>
    <w:rsid w:val="00A66FE6"/>
    <w:rsid w:val="00A749E1"/>
    <w:rsid w:val="00A821B0"/>
    <w:rsid w:val="00A85397"/>
    <w:rsid w:val="00A9102F"/>
    <w:rsid w:val="00A93A11"/>
    <w:rsid w:val="00A963E5"/>
    <w:rsid w:val="00AA0FBF"/>
    <w:rsid w:val="00AA20F0"/>
    <w:rsid w:val="00AA2918"/>
    <w:rsid w:val="00AA3588"/>
    <w:rsid w:val="00AA471E"/>
    <w:rsid w:val="00AB1234"/>
    <w:rsid w:val="00AB7D96"/>
    <w:rsid w:val="00AC6DAC"/>
    <w:rsid w:val="00AD28D0"/>
    <w:rsid w:val="00AD3037"/>
    <w:rsid w:val="00AD45C7"/>
    <w:rsid w:val="00AD622F"/>
    <w:rsid w:val="00AE09F5"/>
    <w:rsid w:val="00AE6C2F"/>
    <w:rsid w:val="00AF6075"/>
    <w:rsid w:val="00B04921"/>
    <w:rsid w:val="00B1184F"/>
    <w:rsid w:val="00B21CFB"/>
    <w:rsid w:val="00B22CB3"/>
    <w:rsid w:val="00B26C90"/>
    <w:rsid w:val="00B26D1C"/>
    <w:rsid w:val="00B32087"/>
    <w:rsid w:val="00B5544E"/>
    <w:rsid w:val="00B562BC"/>
    <w:rsid w:val="00B61E08"/>
    <w:rsid w:val="00B632D4"/>
    <w:rsid w:val="00B6562C"/>
    <w:rsid w:val="00B739D5"/>
    <w:rsid w:val="00B81A4A"/>
    <w:rsid w:val="00B83862"/>
    <w:rsid w:val="00B9179A"/>
    <w:rsid w:val="00BA1D1A"/>
    <w:rsid w:val="00BA574E"/>
    <w:rsid w:val="00BB60A6"/>
    <w:rsid w:val="00BB7BC7"/>
    <w:rsid w:val="00BC2F08"/>
    <w:rsid w:val="00BC40C9"/>
    <w:rsid w:val="00BC730C"/>
    <w:rsid w:val="00BD17B0"/>
    <w:rsid w:val="00BD23FD"/>
    <w:rsid w:val="00BE32BB"/>
    <w:rsid w:val="00BE4F36"/>
    <w:rsid w:val="00BE6309"/>
    <w:rsid w:val="00BF0397"/>
    <w:rsid w:val="00BF3AE1"/>
    <w:rsid w:val="00BF61B7"/>
    <w:rsid w:val="00C0052E"/>
    <w:rsid w:val="00C12D7A"/>
    <w:rsid w:val="00C2570A"/>
    <w:rsid w:val="00C26B1B"/>
    <w:rsid w:val="00C26FA5"/>
    <w:rsid w:val="00C270CD"/>
    <w:rsid w:val="00C305A2"/>
    <w:rsid w:val="00C34445"/>
    <w:rsid w:val="00C36C37"/>
    <w:rsid w:val="00C4343E"/>
    <w:rsid w:val="00C55221"/>
    <w:rsid w:val="00C57A1E"/>
    <w:rsid w:val="00C60649"/>
    <w:rsid w:val="00C617C1"/>
    <w:rsid w:val="00C64238"/>
    <w:rsid w:val="00C75966"/>
    <w:rsid w:val="00C8059F"/>
    <w:rsid w:val="00C82440"/>
    <w:rsid w:val="00C8395E"/>
    <w:rsid w:val="00C845D3"/>
    <w:rsid w:val="00C84D42"/>
    <w:rsid w:val="00C968E4"/>
    <w:rsid w:val="00CA271E"/>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08BF"/>
    <w:rsid w:val="00D120D4"/>
    <w:rsid w:val="00D12971"/>
    <w:rsid w:val="00D14AFB"/>
    <w:rsid w:val="00D16BFA"/>
    <w:rsid w:val="00D2053F"/>
    <w:rsid w:val="00D3693F"/>
    <w:rsid w:val="00D41C8E"/>
    <w:rsid w:val="00D45104"/>
    <w:rsid w:val="00D45FDA"/>
    <w:rsid w:val="00D57514"/>
    <w:rsid w:val="00D615E4"/>
    <w:rsid w:val="00D633B8"/>
    <w:rsid w:val="00D64E3E"/>
    <w:rsid w:val="00D65953"/>
    <w:rsid w:val="00D67057"/>
    <w:rsid w:val="00D67BE6"/>
    <w:rsid w:val="00D751E0"/>
    <w:rsid w:val="00D86D77"/>
    <w:rsid w:val="00DB317B"/>
    <w:rsid w:val="00DB5B09"/>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539"/>
    <w:rsid w:val="00E22CED"/>
    <w:rsid w:val="00E27449"/>
    <w:rsid w:val="00E31527"/>
    <w:rsid w:val="00E36DB5"/>
    <w:rsid w:val="00E414E4"/>
    <w:rsid w:val="00E53276"/>
    <w:rsid w:val="00E541ED"/>
    <w:rsid w:val="00E57438"/>
    <w:rsid w:val="00E604DA"/>
    <w:rsid w:val="00E61442"/>
    <w:rsid w:val="00E61DD1"/>
    <w:rsid w:val="00E71856"/>
    <w:rsid w:val="00E76F8B"/>
    <w:rsid w:val="00E805ED"/>
    <w:rsid w:val="00E8123E"/>
    <w:rsid w:val="00E819AD"/>
    <w:rsid w:val="00E8378C"/>
    <w:rsid w:val="00E8566F"/>
    <w:rsid w:val="00E91CC1"/>
    <w:rsid w:val="00E93730"/>
    <w:rsid w:val="00E94E6B"/>
    <w:rsid w:val="00EA6DF7"/>
    <w:rsid w:val="00EA7901"/>
    <w:rsid w:val="00EA7BA9"/>
    <w:rsid w:val="00EB3DFF"/>
    <w:rsid w:val="00EB6134"/>
    <w:rsid w:val="00EB68E2"/>
    <w:rsid w:val="00EC35E4"/>
    <w:rsid w:val="00ED0447"/>
    <w:rsid w:val="00ED5A33"/>
    <w:rsid w:val="00ED70DD"/>
    <w:rsid w:val="00EE0523"/>
    <w:rsid w:val="00EE065E"/>
    <w:rsid w:val="00EE2B60"/>
    <w:rsid w:val="00EF35CA"/>
    <w:rsid w:val="00F11DE3"/>
    <w:rsid w:val="00F16C51"/>
    <w:rsid w:val="00F22638"/>
    <w:rsid w:val="00F26F2E"/>
    <w:rsid w:val="00F27BA8"/>
    <w:rsid w:val="00F30D17"/>
    <w:rsid w:val="00F50E8A"/>
    <w:rsid w:val="00F64DA9"/>
    <w:rsid w:val="00F74226"/>
    <w:rsid w:val="00F7476E"/>
    <w:rsid w:val="00F77886"/>
    <w:rsid w:val="00F77A7C"/>
    <w:rsid w:val="00F806C5"/>
    <w:rsid w:val="00F87A03"/>
    <w:rsid w:val="00F90C23"/>
    <w:rsid w:val="00F920B5"/>
    <w:rsid w:val="00F972D3"/>
    <w:rsid w:val="00F97E9F"/>
    <w:rsid w:val="00FA1581"/>
    <w:rsid w:val="00FA40DA"/>
    <w:rsid w:val="00FA63F2"/>
    <w:rsid w:val="00FB1188"/>
    <w:rsid w:val="00FB20F6"/>
    <w:rsid w:val="00FB5612"/>
    <w:rsid w:val="00FB6879"/>
    <w:rsid w:val="00FD438E"/>
    <w:rsid w:val="00FE6E5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F535-A849-4D57-B6B7-45D4D255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9</Pages>
  <Words>9806</Words>
  <Characters>55898</Characters>
  <Application>Microsoft Office Word</Application>
  <DocSecurity>0</DocSecurity>
  <Lines>465</Lines>
  <Paragraphs>131</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65573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550</cp:revision>
  <cp:lastPrinted>2023-09-30T17:21:00Z</cp:lastPrinted>
  <dcterms:created xsi:type="dcterms:W3CDTF">2023-09-23T17:00:00Z</dcterms:created>
  <dcterms:modified xsi:type="dcterms:W3CDTF">2024-06-16T05:55:00Z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id="hiCMI0RJ"/&gt;&lt;style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