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6A200782" w:rsidR="00566FB9" w:rsidRPr="00D60930" w:rsidRDefault="00B37DC5" w:rsidP="00566FB9">
      <w:pPr>
        <w:jc w:val="center"/>
        <w:rPr>
          <w:sz w:val="32"/>
          <w:szCs w:val="28"/>
          <w:lang w:val="sl-SI"/>
        </w:rPr>
      </w:pPr>
      <w:r>
        <w:rPr>
          <w:sz w:val="32"/>
          <w:szCs w:val="28"/>
          <w:lang w:val="sl-SI"/>
        </w:rPr>
        <w:t xml:space="preserve">Vpliv spola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743CFE0A" w14:textId="5DAA5F8D" w:rsidR="001462B5"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108353" w:history="1">
            <w:r w:rsidR="001462B5" w:rsidRPr="00CE36D4">
              <w:rPr>
                <w:rStyle w:val="Hyperlink"/>
                <w:noProof/>
                <w:lang w:val="sl-SI"/>
              </w:rPr>
              <w:t>Povzetek</w:t>
            </w:r>
            <w:r w:rsidR="001462B5">
              <w:rPr>
                <w:noProof/>
                <w:webHidden/>
              </w:rPr>
              <w:tab/>
            </w:r>
            <w:r w:rsidR="001462B5">
              <w:rPr>
                <w:noProof/>
                <w:webHidden/>
              </w:rPr>
              <w:fldChar w:fldCharType="begin"/>
            </w:r>
            <w:r w:rsidR="001462B5">
              <w:rPr>
                <w:noProof/>
                <w:webHidden/>
              </w:rPr>
              <w:instrText xml:space="preserve"> PAGEREF _Toc153108353 \h </w:instrText>
            </w:r>
            <w:r w:rsidR="001462B5">
              <w:rPr>
                <w:noProof/>
                <w:webHidden/>
              </w:rPr>
            </w:r>
            <w:r w:rsidR="001462B5">
              <w:rPr>
                <w:noProof/>
                <w:webHidden/>
              </w:rPr>
              <w:fldChar w:fldCharType="separate"/>
            </w:r>
            <w:r w:rsidR="001462B5">
              <w:rPr>
                <w:noProof/>
                <w:webHidden/>
              </w:rPr>
              <w:t>3</w:t>
            </w:r>
            <w:r w:rsidR="001462B5">
              <w:rPr>
                <w:noProof/>
                <w:webHidden/>
              </w:rPr>
              <w:fldChar w:fldCharType="end"/>
            </w:r>
          </w:hyperlink>
        </w:p>
        <w:p w14:paraId="62EABCD8" w14:textId="50BE519A" w:rsidR="001462B5" w:rsidRDefault="00000000">
          <w:pPr>
            <w:pStyle w:val="TOC1"/>
            <w:tabs>
              <w:tab w:val="right" w:leader="dot" w:pos="9062"/>
            </w:tabs>
            <w:rPr>
              <w:rFonts w:eastAsiaTheme="minorEastAsia"/>
              <w:noProof/>
              <w:sz w:val="22"/>
              <w:lang w:val="sl-SI" w:eastAsia="sl-SI"/>
            </w:rPr>
          </w:pPr>
          <w:hyperlink w:anchor="_Toc153108354" w:history="1">
            <w:r w:rsidR="001462B5" w:rsidRPr="00CE36D4">
              <w:rPr>
                <w:rStyle w:val="Hyperlink"/>
                <w:noProof/>
                <w:lang w:val="sl-SI"/>
              </w:rPr>
              <w:t>Uvod</w:t>
            </w:r>
            <w:r w:rsidR="001462B5">
              <w:rPr>
                <w:noProof/>
                <w:webHidden/>
              </w:rPr>
              <w:tab/>
            </w:r>
            <w:r w:rsidR="001462B5">
              <w:rPr>
                <w:noProof/>
                <w:webHidden/>
              </w:rPr>
              <w:fldChar w:fldCharType="begin"/>
            </w:r>
            <w:r w:rsidR="001462B5">
              <w:rPr>
                <w:noProof/>
                <w:webHidden/>
              </w:rPr>
              <w:instrText xml:space="preserve"> PAGEREF _Toc153108354 \h </w:instrText>
            </w:r>
            <w:r w:rsidR="001462B5">
              <w:rPr>
                <w:noProof/>
                <w:webHidden/>
              </w:rPr>
            </w:r>
            <w:r w:rsidR="001462B5">
              <w:rPr>
                <w:noProof/>
                <w:webHidden/>
              </w:rPr>
              <w:fldChar w:fldCharType="separate"/>
            </w:r>
            <w:r w:rsidR="001462B5">
              <w:rPr>
                <w:noProof/>
                <w:webHidden/>
              </w:rPr>
              <w:t>3</w:t>
            </w:r>
            <w:r w:rsidR="001462B5">
              <w:rPr>
                <w:noProof/>
                <w:webHidden/>
              </w:rPr>
              <w:fldChar w:fldCharType="end"/>
            </w:r>
          </w:hyperlink>
        </w:p>
        <w:p w14:paraId="625B8402" w14:textId="4FFE1EDF" w:rsidR="001462B5" w:rsidRDefault="00000000">
          <w:pPr>
            <w:pStyle w:val="TOC2"/>
            <w:tabs>
              <w:tab w:val="right" w:leader="dot" w:pos="9062"/>
            </w:tabs>
            <w:rPr>
              <w:rFonts w:eastAsiaTheme="minorEastAsia"/>
              <w:noProof/>
              <w:sz w:val="22"/>
              <w:lang w:val="sl-SI" w:eastAsia="sl-SI"/>
            </w:rPr>
          </w:pPr>
          <w:hyperlink w:anchor="_Toc153108355" w:history="1">
            <w:r w:rsidR="001462B5" w:rsidRPr="00CE36D4">
              <w:rPr>
                <w:rStyle w:val="Hyperlink"/>
                <w:noProof/>
                <w:lang w:val="sl-SI"/>
              </w:rPr>
              <w:t>Matematična anksioznost</w:t>
            </w:r>
            <w:r w:rsidR="001462B5">
              <w:rPr>
                <w:noProof/>
                <w:webHidden/>
              </w:rPr>
              <w:tab/>
            </w:r>
            <w:r w:rsidR="001462B5">
              <w:rPr>
                <w:noProof/>
                <w:webHidden/>
              </w:rPr>
              <w:fldChar w:fldCharType="begin"/>
            </w:r>
            <w:r w:rsidR="001462B5">
              <w:rPr>
                <w:noProof/>
                <w:webHidden/>
              </w:rPr>
              <w:instrText xml:space="preserve"> PAGEREF _Toc153108355 \h </w:instrText>
            </w:r>
            <w:r w:rsidR="001462B5">
              <w:rPr>
                <w:noProof/>
                <w:webHidden/>
              </w:rPr>
            </w:r>
            <w:r w:rsidR="001462B5">
              <w:rPr>
                <w:noProof/>
                <w:webHidden/>
              </w:rPr>
              <w:fldChar w:fldCharType="separate"/>
            </w:r>
            <w:r w:rsidR="001462B5">
              <w:rPr>
                <w:noProof/>
                <w:webHidden/>
              </w:rPr>
              <w:t>3</w:t>
            </w:r>
            <w:r w:rsidR="001462B5">
              <w:rPr>
                <w:noProof/>
                <w:webHidden/>
              </w:rPr>
              <w:fldChar w:fldCharType="end"/>
            </w:r>
          </w:hyperlink>
        </w:p>
        <w:p w14:paraId="6BE41CE3" w14:textId="53EFF0D9" w:rsidR="001462B5" w:rsidRDefault="00000000">
          <w:pPr>
            <w:pStyle w:val="TOC2"/>
            <w:tabs>
              <w:tab w:val="right" w:leader="dot" w:pos="9062"/>
            </w:tabs>
            <w:rPr>
              <w:rFonts w:eastAsiaTheme="minorEastAsia"/>
              <w:noProof/>
              <w:sz w:val="22"/>
              <w:lang w:val="sl-SI" w:eastAsia="sl-SI"/>
            </w:rPr>
          </w:pPr>
          <w:hyperlink w:anchor="_Toc153108356" w:history="1">
            <w:r w:rsidR="001462B5" w:rsidRPr="00CE36D4">
              <w:rPr>
                <w:rStyle w:val="Hyperlink"/>
                <w:noProof/>
                <w:lang w:val="sl-SI"/>
              </w:rPr>
              <w:t>Vpliv spola na matematično anksioznost</w:t>
            </w:r>
            <w:r w:rsidR="001462B5">
              <w:rPr>
                <w:noProof/>
                <w:webHidden/>
              </w:rPr>
              <w:tab/>
            </w:r>
            <w:r w:rsidR="001462B5">
              <w:rPr>
                <w:noProof/>
                <w:webHidden/>
              </w:rPr>
              <w:fldChar w:fldCharType="begin"/>
            </w:r>
            <w:r w:rsidR="001462B5">
              <w:rPr>
                <w:noProof/>
                <w:webHidden/>
              </w:rPr>
              <w:instrText xml:space="preserve"> PAGEREF _Toc153108356 \h </w:instrText>
            </w:r>
            <w:r w:rsidR="001462B5">
              <w:rPr>
                <w:noProof/>
                <w:webHidden/>
              </w:rPr>
            </w:r>
            <w:r w:rsidR="001462B5">
              <w:rPr>
                <w:noProof/>
                <w:webHidden/>
              </w:rPr>
              <w:fldChar w:fldCharType="separate"/>
            </w:r>
            <w:r w:rsidR="001462B5">
              <w:rPr>
                <w:noProof/>
                <w:webHidden/>
              </w:rPr>
              <w:t>4</w:t>
            </w:r>
            <w:r w:rsidR="001462B5">
              <w:rPr>
                <w:noProof/>
                <w:webHidden/>
              </w:rPr>
              <w:fldChar w:fldCharType="end"/>
            </w:r>
          </w:hyperlink>
        </w:p>
        <w:p w14:paraId="29351A57" w14:textId="148B38F2" w:rsidR="001462B5" w:rsidRDefault="00000000">
          <w:pPr>
            <w:pStyle w:val="TOC2"/>
            <w:tabs>
              <w:tab w:val="right" w:leader="dot" w:pos="9062"/>
            </w:tabs>
            <w:rPr>
              <w:rFonts w:eastAsiaTheme="minorEastAsia"/>
              <w:noProof/>
              <w:sz w:val="22"/>
              <w:lang w:val="sl-SI" w:eastAsia="sl-SI"/>
            </w:rPr>
          </w:pPr>
          <w:hyperlink w:anchor="_Toc153108357" w:history="1">
            <w:r w:rsidR="001462B5" w:rsidRPr="00CE36D4">
              <w:rPr>
                <w:rStyle w:val="Hyperlink"/>
                <w:noProof/>
                <w:lang w:val="sl-SI"/>
              </w:rPr>
              <w:t>Vpliv matematične anksioznosti na uspeh</w:t>
            </w:r>
            <w:r w:rsidR="001462B5">
              <w:rPr>
                <w:noProof/>
                <w:webHidden/>
              </w:rPr>
              <w:tab/>
            </w:r>
            <w:r w:rsidR="001462B5">
              <w:rPr>
                <w:noProof/>
                <w:webHidden/>
              </w:rPr>
              <w:fldChar w:fldCharType="begin"/>
            </w:r>
            <w:r w:rsidR="001462B5">
              <w:rPr>
                <w:noProof/>
                <w:webHidden/>
              </w:rPr>
              <w:instrText xml:space="preserve"> PAGEREF _Toc153108357 \h </w:instrText>
            </w:r>
            <w:r w:rsidR="001462B5">
              <w:rPr>
                <w:noProof/>
                <w:webHidden/>
              </w:rPr>
            </w:r>
            <w:r w:rsidR="001462B5">
              <w:rPr>
                <w:noProof/>
                <w:webHidden/>
              </w:rPr>
              <w:fldChar w:fldCharType="separate"/>
            </w:r>
            <w:r w:rsidR="001462B5">
              <w:rPr>
                <w:noProof/>
                <w:webHidden/>
              </w:rPr>
              <w:t>4</w:t>
            </w:r>
            <w:r w:rsidR="001462B5">
              <w:rPr>
                <w:noProof/>
                <w:webHidden/>
              </w:rPr>
              <w:fldChar w:fldCharType="end"/>
            </w:r>
          </w:hyperlink>
        </w:p>
        <w:p w14:paraId="75404867" w14:textId="70F3286B" w:rsidR="001462B5" w:rsidRDefault="00000000">
          <w:pPr>
            <w:pStyle w:val="TOC1"/>
            <w:tabs>
              <w:tab w:val="right" w:leader="dot" w:pos="9062"/>
            </w:tabs>
            <w:rPr>
              <w:rFonts w:eastAsiaTheme="minorEastAsia"/>
              <w:noProof/>
              <w:sz w:val="22"/>
              <w:lang w:val="sl-SI" w:eastAsia="sl-SI"/>
            </w:rPr>
          </w:pPr>
          <w:hyperlink w:anchor="_Toc153108358" w:history="1">
            <w:r w:rsidR="001462B5" w:rsidRPr="00CE36D4">
              <w:rPr>
                <w:rStyle w:val="Hyperlink"/>
                <w:noProof/>
                <w:lang w:val="sl-SI"/>
              </w:rPr>
              <w:t>Metode</w:t>
            </w:r>
            <w:r w:rsidR="001462B5">
              <w:rPr>
                <w:noProof/>
                <w:webHidden/>
              </w:rPr>
              <w:tab/>
            </w:r>
            <w:r w:rsidR="001462B5">
              <w:rPr>
                <w:noProof/>
                <w:webHidden/>
              </w:rPr>
              <w:fldChar w:fldCharType="begin"/>
            </w:r>
            <w:r w:rsidR="001462B5">
              <w:rPr>
                <w:noProof/>
                <w:webHidden/>
              </w:rPr>
              <w:instrText xml:space="preserve"> PAGEREF _Toc153108358 \h </w:instrText>
            </w:r>
            <w:r w:rsidR="001462B5">
              <w:rPr>
                <w:noProof/>
                <w:webHidden/>
              </w:rPr>
            </w:r>
            <w:r w:rsidR="001462B5">
              <w:rPr>
                <w:noProof/>
                <w:webHidden/>
              </w:rPr>
              <w:fldChar w:fldCharType="separate"/>
            </w:r>
            <w:r w:rsidR="001462B5">
              <w:rPr>
                <w:noProof/>
                <w:webHidden/>
              </w:rPr>
              <w:t>4</w:t>
            </w:r>
            <w:r w:rsidR="001462B5">
              <w:rPr>
                <w:noProof/>
                <w:webHidden/>
              </w:rPr>
              <w:fldChar w:fldCharType="end"/>
            </w:r>
          </w:hyperlink>
        </w:p>
        <w:p w14:paraId="3E269E97" w14:textId="45E8E2A9" w:rsidR="001462B5" w:rsidRDefault="00000000">
          <w:pPr>
            <w:pStyle w:val="TOC2"/>
            <w:tabs>
              <w:tab w:val="right" w:leader="dot" w:pos="9062"/>
            </w:tabs>
            <w:rPr>
              <w:rFonts w:eastAsiaTheme="minorEastAsia"/>
              <w:noProof/>
              <w:sz w:val="22"/>
              <w:lang w:val="sl-SI" w:eastAsia="sl-SI"/>
            </w:rPr>
          </w:pPr>
          <w:hyperlink w:anchor="_Toc153108359" w:history="1">
            <w:r w:rsidR="001462B5" w:rsidRPr="00CE36D4">
              <w:rPr>
                <w:rStyle w:val="Hyperlink"/>
                <w:noProof/>
                <w:lang w:val="sl-SI"/>
              </w:rPr>
              <w:t>Problem, namen, cilji, hipoteze, metodologija</w:t>
            </w:r>
            <w:r w:rsidR="001462B5">
              <w:rPr>
                <w:noProof/>
                <w:webHidden/>
              </w:rPr>
              <w:tab/>
            </w:r>
            <w:r w:rsidR="001462B5">
              <w:rPr>
                <w:noProof/>
                <w:webHidden/>
              </w:rPr>
              <w:fldChar w:fldCharType="begin"/>
            </w:r>
            <w:r w:rsidR="001462B5">
              <w:rPr>
                <w:noProof/>
                <w:webHidden/>
              </w:rPr>
              <w:instrText xml:space="preserve"> PAGEREF _Toc153108359 \h </w:instrText>
            </w:r>
            <w:r w:rsidR="001462B5">
              <w:rPr>
                <w:noProof/>
                <w:webHidden/>
              </w:rPr>
            </w:r>
            <w:r w:rsidR="001462B5">
              <w:rPr>
                <w:noProof/>
                <w:webHidden/>
              </w:rPr>
              <w:fldChar w:fldCharType="separate"/>
            </w:r>
            <w:r w:rsidR="001462B5">
              <w:rPr>
                <w:noProof/>
                <w:webHidden/>
              </w:rPr>
              <w:t>4</w:t>
            </w:r>
            <w:r w:rsidR="001462B5">
              <w:rPr>
                <w:noProof/>
                <w:webHidden/>
              </w:rPr>
              <w:fldChar w:fldCharType="end"/>
            </w:r>
          </w:hyperlink>
        </w:p>
        <w:p w14:paraId="6A9ED467" w14:textId="152054F4" w:rsidR="001462B5" w:rsidRDefault="00000000">
          <w:pPr>
            <w:pStyle w:val="TOC2"/>
            <w:tabs>
              <w:tab w:val="right" w:leader="dot" w:pos="9062"/>
            </w:tabs>
            <w:rPr>
              <w:rFonts w:eastAsiaTheme="minorEastAsia"/>
              <w:noProof/>
              <w:sz w:val="22"/>
              <w:lang w:val="sl-SI" w:eastAsia="sl-SI"/>
            </w:rPr>
          </w:pPr>
          <w:hyperlink w:anchor="_Toc153108360" w:history="1">
            <w:r w:rsidR="001462B5" w:rsidRPr="00CE36D4">
              <w:rPr>
                <w:rStyle w:val="Hyperlink"/>
                <w:noProof/>
                <w:lang w:val="sl-SI"/>
              </w:rPr>
              <w:t>Vzorec</w:t>
            </w:r>
            <w:r w:rsidR="001462B5">
              <w:rPr>
                <w:noProof/>
                <w:webHidden/>
              </w:rPr>
              <w:tab/>
            </w:r>
            <w:r w:rsidR="001462B5">
              <w:rPr>
                <w:noProof/>
                <w:webHidden/>
              </w:rPr>
              <w:fldChar w:fldCharType="begin"/>
            </w:r>
            <w:r w:rsidR="001462B5">
              <w:rPr>
                <w:noProof/>
                <w:webHidden/>
              </w:rPr>
              <w:instrText xml:space="preserve"> PAGEREF _Toc153108360 \h </w:instrText>
            </w:r>
            <w:r w:rsidR="001462B5">
              <w:rPr>
                <w:noProof/>
                <w:webHidden/>
              </w:rPr>
            </w:r>
            <w:r w:rsidR="001462B5">
              <w:rPr>
                <w:noProof/>
                <w:webHidden/>
              </w:rPr>
              <w:fldChar w:fldCharType="separate"/>
            </w:r>
            <w:r w:rsidR="001462B5">
              <w:rPr>
                <w:noProof/>
                <w:webHidden/>
              </w:rPr>
              <w:t>5</w:t>
            </w:r>
            <w:r w:rsidR="001462B5">
              <w:rPr>
                <w:noProof/>
                <w:webHidden/>
              </w:rPr>
              <w:fldChar w:fldCharType="end"/>
            </w:r>
          </w:hyperlink>
        </w:p>
        <w:p w14:paraId="6A47738B" w14:textId="61E1433C" w:rsidR="001462B5" w:rsidRDefault="00000000">
          <w:pPr>
            <w:pStyle w:val="TOC2"/>
            <w:tabs>
              <w:tab w:val="right" w:leader="dot" w:pos="9062"/>
            </w:tabs>
            <w:rPr>
              <w:rFonts w:eastAsiaTheme="minorEastAsia"/>
              <w:noProof/>
              <w:sz w:val="22"/>
              <w:lang w:val="sl-SI" w:eastAsia="sl-SI"/>
            </w:rPr>
          </w:pPr>
          <w:hyperlink w:anchor="_Toc153108361" w:history="1">
            <w:r w:rsidR="001462B5" w:rsidRPr="00CE36D4">
              <w:rPr>
                <w:rStyle w:val="Hyperlink"/>
                <w:noProof/>
                <w:lang w:val="sl"/>
              </w:rPr>
              <w:t>Zbiranje podatkov</w:t>
            </w:r>
            <w:r w:rsidR="001462B5">
              <w:rPr>
                <w:noProof/>
                <w:webHidden/>
              </w:rPr>
              <w:tab/>
            </w:r>
            <w:r w:rsidR="001462B5">
              <w:rPr>
                <w:noProof/>
                <w:webHidden/>
              </w:rPr>
              <w:fldChar w:fldCharType="begin"/>
            </w:r>
            <w:r w:rsidR="001462B5">
              <w:rPr>
                <w:noProof/>
                <w:webHidden/>
              </w:rPr>
              <w:instrText xml:space="preserve"> PAGEREF _Toc153108361 \h </w:instrText>
            </w:r>
            <w:r w:rsidR="001462B5">
              <w:rPr>
                <w:noProof/>
                <w:webHidden/>
              </w:rPr>
            </w:r>
            <w:r w:rsidR="001462B5">
              <w:rPr>
                <w:noProof/>
                <w:webHidden/>
              </w:rPr>
              <w:fldChar w:fldCharType="separate"/>
            </w:r>
            <w:r w:rsidR="001462B5">
              <w:rPr>
                <w:noProof/>
                <w:webHidden/>
              </w:rPr>
              <w:t>5</w:t>
            </w:r>
            <w:r w:rsidR="001462B5">
              <w:rPr>
                <w:noProof/>
                <w:webHidden/>
              </w:rPr>
              <w:fldChar w:fldCharType="end"/>
            </w:r>
          </w:hyperlink>
        </w:p>
        <w:p w14:paraId="52288C90" w14:textId="1D7208CD" w:rsidR="001462B5" w:rsidRDefault="00000000">
          <w:pPr>
            <w:pStyle w:val="TOC3"/>
            <w:tabs>
              <w:tab w:val="right" w:leader="dot" w:pos="9062"/>
            </w:tabs>
            <w:rPr>
              <w:rFonts w:eastAsiaTheme="minorEastAsia"/>
              <w:noProof/>
              <w:sz w:val="22"/>
              <w:lang w:val="sl-SI" w:eastAsia="sl-SI"/>
            </w:rPr>
          </w:pPr>
          <w:hyperlink w:anchor="_Toc153108362" w:history="1">
            <w:r w:rsidR="001462B5" w:rsidRPr="00CE36D4">
              <w:rPr>
                <w:rStyle w:val="Hyperlink"/>
                <w:noProof/>
                <w:lang w:val="sl"/>
              </w:rPr>
              <w:t>Instrumenti</w:t>
            </w:r>
            <w:r w:rsidR="001462B5">
              <w:rPr>
                <w:noProof/>
                <w:webHidden/>
              </w:rPr>
              <w:tab/>
            </w:r>
            <w:r w:rsidR="001462B5">
              <w:rPr>
                <w:noProof/>
                <w:webHidden/>
              </w:rPr>
              <w:fldChar w:fldCharType="begin"/>
            </w:r>
            <w:r w:rsidR="001462B5">
              <w:rPr>
                <w:noProof/>
                <w:webHidden/>
              </w:rPr>
              <w:instrText xml:space="preserve"> PAGEREF _Toc153108362 \h </w:instrText>
            </w:r>
            <w:r w:rsidR="001462B5">
              <w:rPr>
                <w:noProof/>
                <w:webHidden/>
              </w:rPr>
            </w:r>
            <w:r w:rsidR="001462B5">
              <w:rPr>
                <w:noProof/>
                <w:webHidden/>
              </w:rPr>
              <w:fldChar w:fldCharType="separate"/>
            </w:r>
            <w:r w:rsidR="001462B5">
              <w:rPr>
                <w:noProof/>
                <w:webHidden/>
              </w:rPr>
              <w:t>5</w:t>
            </w:r>
            <w:r w:rsidR="001462B5">
              <w:rPr>
                <w:noProof/>
                <w:webHidden/>
              </w:rPr>
              <w:fldChar w:fldCharType="end"/>
            </w:r>
          </w:hyperlink>
        </w:p>
        <w:p w14:paraId="78A54DD2" w14:textId="717A9B4F" w:rsidR="001462B5" w:rsidRDefault="00000000">
          <w:pPr>
            <w:pStyle w:val="TOC2"/>
            <w:tabs>
              <w:tab w:val="right" w:leader="dot" w:pos="9062"/>
            </w:tabs>
            <w:rPr>
              <w:rFonts w:eastAsiaTheme="minorEastAsia"/>
              <w:noProof/>
              <w:sz w:val="22"/>
              <w:lang w:val="sl-SI" w:eastAsia="sl-SI"/>
            </w:rPr>
          </w:pPr>
          <w:hyperlink w:anchor="_Toc153108363" w:history="1">
            <w:r w:rsidR="001462B5" w:rsidRPr="00CE36D4">
              <w:rPr>
                <w:rStyle w:val="Hyperlink"/>
                <w:noProof/>
                <w:lang w:val="sl"/>
              </w:rPr>
              <w:t>Obdelava podatkov</w:t>
            </w:r>
            <w:r w:rsidR="001462B5">
              <w:rPr>
                <w:noProof/>
                <w:webHidden/>
              </w:rPr>
              <w:tab/>
            </w:r>
            <w:r w:rsidR="001462B5">
              <w:rPr>
                <w:noProof/>
                <w:webHidden/>
              </w:rPr>
              <w:fldChar w:fldCharType="begin"/>
            </w:r>
            <w:r w:rsidR="001462B5">
              <w:rPr>
                <w:noProof/>
                <w:webHidden/>
              </w:rPr>
              <w:instrText xml:space="preserve"> PAGEREF _Toc153108363 \h </w:instrText>
            </w:r>
            <w:r w:rsidR="001462B5">
              <w:rPr>
                <w:noProof/>
                <w:webHidden/>
              </w:rPr>
            </w:r>
            <w:r w:rsidR="001462B5">
              <w:rPr>
                <w:noProof/>
                <w:webHidden/>
              </w:rPr>
              <w:fldChar w:fldCharType="separate"/>
            </w:r>
            <w:r w:rsidR="001462B5">
              <w:rPr>
                <w:noProof/>
                <w:webHidden/>
              </w:rPr>
              <w:t>6</w:t>
            </w:r>
            <w:r w:rsidR="001462B5">
              <w:rPr>
                <w:noProof/>
                <w:webHidden/>
              </w:rPr>
              <w:fldChar w:fldCharType="end"/>
            </w:r>
          </w:hyperlink>
        </w:p>
        <w:p w14:paraId="78A76580" w14:textId="1DC88945" w:rsidR="001462B5" w:rsidRDefault="00000000">
          <w:pPr>
            <w:pStyle w:val="TOC1"/>
            <w:tabs>
              <w:tab w:val="right" w:leader="dot" w:pos="9062"/>
            </w:tabs>
            <w:rPr>
              <w:rFonts w:eastAsiaTheme="minorEastAsia"/>
              <w:noProof/>
              <w:sz w:val="22"/>
              <w:lang w:val="sl-SI" w:eastAsia="sl-SI"/>
            </w:rPr>
          </w:pPr>
          <w:hyperlink w:anchor="_Toc153108364" w:history="1">
            <w:r w:rsidR="001462B5" w:rsidRPr="00CE36D4">
              <w:rPr>
                <w:rStyle w:val="Hyperlink"/>
                <w:noProof/>
                <w:lang w:val="sl-SI"/>
              </w:rPr>
              <w:t>Rezultati</w:t>
            </w:r>
            <w:r w:rsidR="001462B5">
              <w:rPr>
                <w:noProof/>
                <w:webHidden/>
              </w:rPr>
              <w:tab/>
            </w:r>
            <w:r w:rsidR="001462B5">
              <w:rPr>
                <w:noProof/>
                <w:webHidden/>
              </w:rPr>
              <w:fldChar w:fldCharType="begin"/>
            </w:r>
            <w:r w:rsidR="001462B5">
              <w:rPr>
                <w:noProof/>
                <w:webHidden/>
              </w:rPr>
              <w:instrText xml:space="preserve"> PAGEREF _Toc153108364 \h </w:instrText>
            </w:r>
            <w:r w:rsidR="001462B5">
              <w:rPr>
                <w:noProof/>
                <w:webHidden/>
              </w:rPr>
            </w:r>
            <w:r w:rsidR="001462B5">
              <w:rPr>
                <w:noProof/>
                <w:webHidden/>
              </w:rPr>
              <w:fldChar w:fldCharType="separate"/>
            </w:r>
            <w:r w:rsidR="001462B5">
              <w:rPr>
                <w:noProof/>
                <w:webHidden/>
              </w:rPr>
              <w:t>6</w:t>
            </w:r>
            <w:r w:rsidR="001462B5">
              <w:rPr>
                <w:noProof/>
                <w:webHidden/>
              </w:rPr>
              <w:fldChar w:fldCharType="end"/>
            </w:r>
          </w:hyperlink>
        </w:p>
        <w:p w14:paraId="48EDD536" w14:textId="50F9DEC5" w:rsidR="001462B5" w:rsidRDefault="00000000">
          <w:pPr>
            <w:pStyle w:val="TOC1"/>
            <w:tabs>
              <w:tab w:val="right" w:leader="dot" w:pos="9062"/>
            </w:tabs>
            <w:rPr>
              <w:rFonts w:eastAsiaTheme="minorEastAsia"/>
              <w:noProof/>
              <w:sz w:val="22"/>
              <w:lang w:val="sl-SI" w:eastAsia="sl-SI"/>
            </w:rPr>
          </w:pPr>
          <w:hyperlink w:anchor="_Toc153108365" w:history="1">
            <w:r w:rsidR="001462B5" w:rsidRPr="00CE36D4">
              <w:rPr>
                <w:rStyle w:val="Hyperlink"/>
                <w:noProof/>
                <w:lang w:val="sl-SI"/>
              </w:rPr>
              <w:t>Diskusija</w:t>
            </w:r>
            <w:r w:rsidR="001462B5">
              <w:rPr>
                <w:noProof/>
                <w:webHidden/>
              </w:rPr>
              <w:tab/>
            </w:r>
            <w:r w:rsidR="001462B5">
              <w:rPr>
                <w:noProof/>
                <w:webHidden/>
              </w:rPr>
              <w:fldChar w:fldCharType="begin"/>
            </w:r>
            <w:r w:rsidR="001462B5">
              <w:rPr>
                <w:noProof/>
                <w:webHidden/>
              </w:rPr>
              <w:instrText xml:space="preserve"> PAGEREF _Toc153108365 \h </w:instrText>
            </w:r>
            <w:r w:rsidR="001462B5">
              <w:rPr>
                <w:noProof/>
                <w:webHidden/>
              </w:rPr>
            </w:r>
            <w:r w:rsidR="001462B5">
              <w:rPr>
                <w:noProof/>
                <w:webHidden/>
              </w:rPr>
              <w:fldChar w:fldCharType="separate"/>
            </w:r>
            <w:r w:rsidR="001462B5">
              <w:rPr>
                <w:noProof/>
                <w:webHidden/>
              </w:rPr>
              <w:t>7</w:t>
            </w:r>
            <w:r w:rsidR="001462B5">
              <w:rPr>
                <w:noProof/>
                <w:webHidden/>
              </w:rPr>
              <w:fldChar w:fldCharType="end"/>
            </w:r>
          </w:hyperlink>
        </w:p>
        <w:p w14:paraId="6719603E" w14:textId="513DA03F" w:rsidR="001462B5" w:rsidRDefault="00000000">
          <w:pPr>
            <w:pStyle w:val="TOC1"/>
            <w:tabs>
              <w:tab w:val="right" w:leader="dot" w:pos="9062"/>
            </w:tabs>
            <w:rPr>
              <w:rFonts w:eastAsiaTheme="minorEastAsia"/>
              <w:noProof/>
              <w:sz w:val="22"/>
              <w:lang w:val="sl-SI" w:eastAsia="sl-SI"/>
            </w:rPr>
          </w:pPr>
          <w:hyperlink w:anchor="_Toc153108366" w:history="1">
            <w:r w:rsidR="001462B5" w:rsidRPr="00CE36D4">
              <w:rPr>
                <w:rStyle w:val="Hyperlink"/>
                <w:noProof/>
                <w:lang w:val="sl-SI"/>
              </w:rPr>
              <w:t>Sklep</w:t>
            </w:r>
            <w:r w:rsidR="001462B5">
              <w:rPr>
                <w:noProof/>
                <w:webHidden/>
              </w:rPr>
              <w:tab/>
            </w:r>
            <w:r w:rsidR="001462B5">
              <w:rPr>
                <w:noProof/>
                <w:webHidden/>
              </w:rPr>
              <w:fldChar w:fldCharType="begin"/>
            </w:r>
            <w:r w:rsidR="001462B5">
              <w:rPr>
                <w:noProof/>
                <w:webHidden/>
              </w:rPr>
              <w:instrText xml:space="preserve"> PAGEREF _Toc153108366 \h </w:instrText>
            </w:r>
            <w:r w:rsidR="001462B5">
              <w:rPr>
                <w:noProof/>
                <w:webHidden/>
              </w:rPr>
            </w:r>
            <w:r w:rsidR="001462B5">
              <w:rPr>
                <w:noProof/>
                <w:webHidden/>
              </w:rPr>
              <w:fldChar w:fldCharType="separate"/>
            </w:r>
            <w:r w:rsidR="001462B5">
              <w:rPr>
                <w:noProof/>
                <w:webHidden/>
              </w:rPr>
              <w:t>8</w:t>
            </w:r>
            <w:r w:rsidR="001462B5">
              <w:rPr>
                <w:noProof/>
                <w:webHidden/>
              </w:rPr>
              <w:fldChar w:fldCharType="end"/>
            </w:r>
          </w:hyperlink>
        </w:p>
        <w:p w14:paraId="538E0C61" w14:textId="71E14929" w:rsidR="001462B5" w:rsidRDefault="00000000">
          <w:pPr>
            <w:pStyle w:val="TOC1"/>
            <w:tabs>
              <w:tab w:val="right" w:leader="dot" w:pos="9062"/>
            </w:tabs>
            <w:rPr>
              <w:rFonts w:eastAsiaTheme="minorEastAsia"/>
              <w:noProof/>
              <w:sz w:val="22"/>
              <w:lang w:val="sl-SI" w:eastAsia="sl-SI"/>
            </w:rPr>
          </w:pPr>
          <w:hyperlink w:anchor="_Toc153108367" w:history="1">
            <w:r w:rsidR="001462B5" w:rsidRPr="00CE36D4">
              <w:rPr>
                <w:rStyle w:val="Hyperlink"/>
                <w:noProof/>
                <w:lang w:val="sl-SI"/>
              </w:rPr>
              <w:t>Literatura</w:t>
            </w:r>
            <w:r w:rsidR="001462B5">
              <w:rPr>
                <w:noProof/>
                <w:webHidden/>
              </w:rPr>
              <w:tab/>
            </w:r>
            <w:r w:rsidR="001462B5">
              <w:rPr>
                <w:noProof/>
                <w:webHidden/>
              </w:rPr>
              <w:fldChar w:fldCharType="begin"/>
            </w:r>
            <w:r w:rsidR="001462B5">
              <w:rPr>
                <w:noProof/>
                <w:webHidden/>
              </w:rPr>
              <w:instrText xml:space="preserve"> PAGEREF _Toc153108367 \h </w:instrText>
            </w:r>
            <w:r w:rsidR="001462B5">
              <w:rPr>
                <w:noProof/>
                <w:webHidden/>
              </w:rPr>
            </w:r>
            <w:r w:rsidR="001462B5">
              <w:rPr>
                <w:noProof/>
                <w:webHidden/>
              </w:rPr>
              <w:fldChar w:fldCharType="separate"/>
            </w:r>
            <w:r w:rsidR="001462B5">
              <w:rPr>
                <w:noProof/>
                <w:webHidden/>
              </w:rPr>
              <w:t>8</w:t>
            </w:r>
            <w:r w:rsidR="001462B5">
              <w:rPr>
                <w:noProof/>
                <w:webHidden/>
              </w:rPr>
              <w:fldChar w:fldCharType="end"/>
            </w:r>
          </w:hyperlink>
        </w:p>
        <w:p w14:paraId="0B7DC79F" w14:textId="7BB489B3" w:rsidR="001462B5" w:rsidRDefault="00000000">
          <w:pPr>
            <w:pStyle w:val="TOC1"/>
            <w:tabs>
              <w:tab w:val="right" w:leader="dot" w:pos="9062"/>
            </w:tabs>
            <w:rPr>
              <w:rFonts w:eastAsiaTheme="minorEastAsia"/>
              <w:noProof/>
              <w:sz w:val="22"/>
              <w:lang w:val="sl-SI" w:eastAsia="sl-SI"/>
            </w:rPr>
          </w:pPr>
          <w:hyperlink w:anchor="_Toc153108368" w:history="1">
            <w:r w:rsidR="001462B5" w:rsidRPr="00CE36D4">
              <w:rPr>
                <w:rStyle w:val="Hyperlink"/>
                <w:noProof/>
                <w:lang w:val="sl-SI"/>
              </w:rPr>
              <w:t>Priloge</w:t>
            </w:r>
            <w:r w:rsidR="001462B5">
              <w:rPr>
                <w:noProof/>
                <w:webHidden/>
              </w:rPr>
              <w:tab/>
            </w:r>
            <w:r w:rsidR="001462B5">
              <w:rPr>
                <w:noProof/>
                <w:webHidden/>
              </w:rPr>
              <w:fldChar w:fldCharType="begin"/>
            </w:r>
            <w:r w:rsidR="001462B5">
              <w:rPr>
                <w:noProof/>
                <w:webHidden/>
              </w:rPr>
              <w:instrText xml:space="preserve"> PAGEREF _Toc153108368 \h </w:instrText>
            </w:r>
            <w:r w:rsidR="001462B5">
              <w:rPr>
                <w:noProof/>
                <w:webHidden/>
              </w:rPr>
            </w:r>
            <w:r w:rsidR="001462B5">
              <w:rPr>
                <w:noProof/>
                <w:webHidden/>
              </w:rPr>
              <w:fldChar w:fldCharType="separate"/>
            </w:r>
            <w:r w:rsidR="001462B5">
              <w:rPr>
                <w:noProof/>
                <w:webHidden/>
              </w:rPr>
              <w:t>12</w:t>
            </w:r>
            <w:r w:rsidR="001462B5">
              <w:rPr>
                <w:noProof/>
                <w:webHidden/>
              </w:rPr>
              <w:fldChar w:fldCharType="end"/>
            </w:r>
          </w:hyperlink>
        </w:p>
        <w:p w14:paraId="5C61CEC9" w14:textId="735FE531"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108353"/>
      <w:r>
        <w:rPr>
          <w:lang w:val="sl-SI"/>
        </w:rPr>
        <w:lastRenderedPageBreak/>
        <w:t>Povzetek</w:t>
      </w:r>
      <w:bookmarkEnd w:id="0"/>
    </w:p>
    <w:p w14:paraId="3E1B2D0F" w14:textId="0FF2EF6E"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A8077A8"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 razredne razlike</w:t>
      </w:r>
    </w:p>
    <w:p w14:paraId="6B7FED2B" w14:textId="6C2C978E" w:rsidR="001615BE" w:rsidRDefault="001615BE" w:rsidP="001615BE">
      <w:pPr>
        <w:pStyle w:val="Heading1"/>
        <w:rPr>
          <w:lang w:val="sl-SI"/>
        </w:rPr>
      </w:pPr>
      <w:bookmarkStart w:id="1" w:name="_Toc153108354"/>
      <w:r>
        <w:rPr>
          <w:lang w:val="sl-SI"/>
        </w:rPr>
        <w:t>Uvod</w:t>
      </w:r>
      <w:bookmarkEnd w:id="1"/>
    </w:p>
    <w:p w14:paraId="3A4D01DA" w14:textId="2490A549"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A44AFC">
        <w:rPr>
          <w:lang w:val="sl-SI"/>
        </w:rPr>
        <w:t xml:space="preserve">Na uspešnost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xml:space="preserve">, med drugim matematično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 xml:space="preserve">(Barroso </w:t>
      </w:r>
      <w:proofErr w:type="spellStart"/>
      <w:r w:rsidR="00A44AFC" w:rsidRPr="00A44AFC">
        <w:rPr>
          <w:rFonts w:ascii="Calibri" w:hAnsi="Calibri" w:cs="Calibri"/>
        </w:rPr>
        <w:t>idr</w:t>
      </w:r>
      <w:proofErr w:type="spellEnd"/>
      <w:r w:rsidR="00A44AFC" w:rsidRPr="00A44AFC">
        <w:rPr>
          <w:rFonts w:ascii="Calibri" w:hAnsi="Calibri" w:cs="Calibri"/>
        </w:rPr>
        <w:t>.,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584355C" w14:textId="368BFB95" w:rsidR="00985F76" w:rsidRDefault="00985F76" w:rsidP="00985F76">
      <w:pPr>
        <w:pStyle w:val="Heading2"/>
        <w:rPr>
          <w:lang w:val="sl-SI"/>
        </w:rPr>
      </w:pPr>
      <w:bookmarkStart w:id="2" w:name="_Toc153108355"/>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327053B2" w:rsidR="002B40ED" w:rsidRDefault="000673E7" w:rsidP="002B40ED">
      <w:pPr>
        <w:pStyle w:val="Heading2"/>
        <w:rPr>
          <w:lang w:val="sl-SI"/>
        </w:rPr>
      </w:pPr>
      <w:bookmarkStart w:id="3" w:name="_Toc153108356"/>
      <w:r>
        <w:rPr>
          <w:lang w:val="sl-SI"/>
        </w:rPr>
        <w:t xml:space="preserve">Vpliv spola na matematično </w:t>
      </w:r>
      <w:proofErr w:type="spellStart"/>
      <w:r>
        <w:rPr>
          <w:lang w:val="sl-SI"/>
        </w:rPr>
        <w:t>anksioznost</w:t>
      </w:r>
      <w:bookmarkEnd w:id="3"/>
      <w:proofErr w:type="spellEnd"/>
      <w:r w:rsidR="00210A12">
        <w:rPr>
          <w:lang w:val="sl-SI"/>
        </w:rPr>
        <w:t xml:space="preserve"> in uspeh</w:t>
      </w:r>
    </w:p>
    <w:p w14:paraId="3165D1F9" w14:textId="6B21C0D6" w:rsidR="00177758" w:rsidRPr="00177758" w:rsidRDefault="00177758" w:rsidP="000E4B3E">
      <w:pPr>
        <w:rPr>
          <w:lang w:val="sl-SI"/>
        </w:rPr>
      </w:pPr>
      <w:r>
        <w:rPr>
          <w:lang w:val="sl-SI"/>
        </w:rPr>
        <w:t xml:space="preserve">Razlike v spolu z ozirom na matematično </w:t>
      </w:r>
      <w:proofErr w:type="spellStart"/>
      <w:r>
        <w:rPr>
          <w:lang w:val="sl-SI"/>
        </w:rPr>
        <w:t>anksioznost</w:t>
      </w:r>
      <w:proofErr w:type="spellEnd"/>
      <w:r>
        <w:rPr>
          <w:lang w:val="sl-SI"/>
        </w:rPr>
        <w:t xml:space="preserve"> so že bile ekstenzivno narejene. Pogosto kažejo, da imajo ženske višjo stopnjo matematične </w:t>
      </w:r>
      <w:proofErr w:type="spellStart"/>
      <w:r>
        <w:rPr>
          <w:lang w:val="sl-SI"/>
        </w:rPr>
        <w:t>anksioznosti</w:t>
      </w:r>
      <w:proofErr w:type="spellEnd"/>
      <w:r>
        <w:rPr>
          <w:lang w:val="sl-SI"/>
        </w:rPr>
        <w:t xml:space="preserve">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041E6C">
        <w:rPr>
          <w:rFonts w:ascii="Calibri" w:hAnsi="Calibri" w:cs="Calibri"/>
        </w:rPr>
        <w:t>(Devine idr., 2012; Doz idr., 2023; Lutovac, 2008; Vos idr., 2023)</w:t>
      </w:r>
      <w:r w:rsidR="00041E6C">
        <w:rPr>
          <w:lang w:val="sl-SI"/>
        </w:rPr>
        <w:fldChar w:fldCharType="end"/>
      </w:r>
      <w:r>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041E6C" w:rsidRPr="00041E6C">
        <w:rPr>
          <w:rFonts w:ascii="Calibri" w:hAnsi="Calibri" w:cs="Calibri"/>
        </w:rPr>
        <w:t>(</w:t>
      </w:r>
      <w:r w:rsidR="00041E6C">
        <w:rPr>
          <w:rFonts w:ascii="Calibri" w:hAnsi="Calibri" w:cs="Calibri"/>
        </w:rPr>
        <w:t xml:space="preserve">povzeto po </w:t>
      </w:r>
      <w:r w:rsidR="00041E6C" w:rsidRPr="00041E6C">
        <w:rPr>
          <w:rFonts w:ascii="Calibri" w:hAnsi="Calibri" w:cs="Calibri"/>
        </w:rPr>
        <w:t>Devine idr., 2012; Doz idr., 2023)</w:t>
      </w:r>
      <w:r w:rsidR="00041E6C">
        <w:rPr>
          <w:lang w:val="sl-SI"/>
        </w:rPr>
        <w:fldChar w:fldCharType="end"/>
      </w:r>
      <w:r w:rsidR="00041E6C">
        <w:rPr>
          <w:rFonts w:ascii="Calibri" w:hAnsi="Calibri" w:cs="Calibri"/>
          <w:lang w:val="sl-SI"/>
        </w:rPr>
        <w:t>.</w:t>
      </w:r>
      <w:r w:rsidRPr="00177758">
        <w:t xml:space="preserve">Ta </w:t>
      </w:r>
      <w:proofErr w:type="spellStart"/>
      <w:r w:rsidRPr="00177758">
        <w:t>razhajanja</w:t>
      </w:r>
      <w:proofErr w:type="spellEnd"/>
      <w:r w:rsidRPr="00177758">
        <w:t xml:space="preserve"> v </w:t>
      </w:r>
      <w:proofErr w:type="spellStart"/>
      <w:r w:rsidRPr="00177758">
        <w:t>raziskavah</w:t>
      </w:r>
      <w:proofErr w:type="spellEnd"/>
      <w:r w:rsidRPr="00177758">
        <w:t xml:space="preserve"> </w:t>
      </w:r>
      <w:proofErr w:type="spellStart"/>
      <w:r w:rsidRPr="00177758">
        <w:t>kažejo</w:t>
      </w:r>
      <w:proofErr w:type="spellEnd"/>
      <w:r w:rsidRPr="00177758">
        <w:t xml:space="preserve"> </w:t>
      </w:r>
      <w:proofErr w:type="spellStart"/>
      <w:r w:rsidRPr="00177758">
        <w:t>na</w:t>
      </w:r>
      <w:proofErr w:type="spellEnd"/>
      <w:r w:rsidRPr="00177758">
        <w:t xml:space="preserve"> </w:t>
      </w:r>
      <w:proofErr w:type="spellStart"/>
      <w:r w:rsidRPr="00177758">
        <w:t>kompleksnost</w:t>
      </w:r>
      <w:proofErr w:type="spellEnd"/>
      <w:r w:rsidRPr="00177758">
        <w:t xml:space="preserve"> </w:t>
      </w:r>
      <w:proofErr w:type="spellStart"/>
      <w:r w:rsidRPr="00177758">
        <w:t>vplivov</w:t>
      </w:r>
      <w:proofErr w:type="spellEnd"/>
      <w:r w:rsidRPr="00177758">
        <w:t xml:space="preserve">, ki </w:t>
      </w:r>
      <w:proofErr w:type="spellStart"/>
      <w:r w:rsidRPr="00177758">
        <w:t>vplivajo</w:t>
      </w:r>
      <w:proofErr w:type="spellEnd"/>
      <w:r w:rsidRPr="00177758">
        <w:t xml:space="preserve"> </w:t>
      </w:r>
      <w:proofErr w:type="spellStart"/>
      <w:r w:rsidRPr="00177758">
        <w:t>na</w:t>
      </w:r>
      <w:proofErr w:type="spellEnd"/>
      <w:r w:rsidRPr="00177758">
        <w:t xml:space="preserve"> </w:t>
      </w:r>
      <w:proofErr w:type="spellStart"/>
      <w:r w:rsidRPr="00177758">
        <w:t>matematično</w:t>
      </w:r>
      <w:proofErr w:type="spellEnd"/>
      <w:r w:rsidRPr="00177758">
        <w:t xml:space="preserve"> </w:t>
      </w:r>
      <w:proofErr w:type="spellStart"/>
      <w:r w:rsidRPr="00177758">
        <w:t>tesnobo</w:t>
      </w:r>
      <w:proofErr w:type="spellEnd"/>
      <w:r w:rsidRPr="00177758">
        <w:t xml:space="preserve">, </w:t>
      </w:r>
      <w:proofErr w:type="spellStart"/>
      <w:r w:rsidRPr="00177758">
        <w:t>kar</w:t>
      </w:r>
      <w:proofErr w:type="spellEnd"/>
      <w:r w:rsidRPr="00177758">
        <w:t xml:space="preserve"> </w:t>
      </w:r>
      <w:proofErr w:type="spellStart"/>
      <w:r w:rsidRPr="00177758">
        <w:t>poudarja</w:t>
      </w:r>
      <w:proofErr w:type="spellEnd"/>
      <w:r w:rsidRPr="00177758">
        <w:t xml:space="preserve"> </w:t>
      </w:r>
      <w:proofErr w:type="spellStart"/>
      <w:r w:rsidRPr="00177758">
        <w:t>potrebo</w:t>
      </w:r>
      <w:proofErr w:type="spellEnd"/>
      <w:r w:rsidRPr="00177758">
        <w:t xml:space="preserve"> po </w:t>
      </w:r>
      <w:proofErr w:type="spellStart"/>
      <w:r w:rsidRPr="00177758">
        <w:t>nadaljnjem</w:t>
      </w:r>
      <w:proofErr w:type="spellEnd"/>
      <w:r w:rsidRPr="00177758">
        <w:t xml:space="preserve"> </w:t>
      </w:r>
      <w:proofErr w:type="spellStart"/>
      <w:r w:rsidRPr="00177758">
        <w:t>raziskovanju</w:t>
      </w:r>
      <w:proofErr w:type="spellEnd"/>
      <w:r w:rsidRPr="00177758">
        <w:t xml:space="preserve"> in </w:t>
      </w:r>
      <w:proofErr w:type="spellStart"/>
      <w:r w:rsidRPr="00177758">
        <w:t>boljšem</w:t>
      </w:r>
      <w:proofErr w:type="spellEnd"/>
      <w:r w:rsidRPr="00177758">
        <w:t xml:space="preserve"> </w:t>
      </w:r>
      <w:proofErr w:type="spellStart"/>
      <w:r w:rsidRPr="00177758">
        <w:t>razumevanju</w:t>
      </w:r>
      <w:proofErr w:type="spellEnd"/>
      <w:r w:rsidRPr="00177758">
        <w:t xml:space="preserve"> </w:t>
      </w:r>
      <w:proofErr w:type="spellStart"/>
      <w:r w:rsidRPr="00177758">
        <w:t>dejavnikov</w:t>
      </w:r>
      <w:proofErr w:type="spellEnd"/>
      <w:r w:rsidRPr="00177758">
        <w:t xml:space="preserve">, ki </w:t>
      </w:r>
      <w:proofErr w:type="spellStart"/>
      <w:r w:rsidRPr="00177758">
        <w:t>stojijo</w:t>
      </w:r>
      <w:proofErr w:type="spellEnd"/>
      <w:r w:rsidRPr="00177758">
        <w:t xml:space="preserve"> za </w:t>
      </w:r>
      <w:proofErr w:type="spellStart"/>
      <w:r w:rsidRPr="00177758">
        <w:t>razlikami</w:t>
      </w:r>
      <w:proofErr w:type="spellEnd"/>
      <w:r w:rsidRPr="00177758">
        <w:t xml:space="preserve"> med </w:t>
      </w:r>
      <w:proofErr w:type="spellStart"/>
      <w:r w:rsidRPr="00177758">
        <w:t>spoloma</w:t>
      </w:r>
      <w:proofErr w:type="spellEnd"/>
      <w:r w:rsidRPr="00177758">
        <w:t xml:space="preserve"> v </w:t>
      </w:r>
      <w:proofErr w:type="spellStart"/>
      <w:r w:rsidRPr="00177758">
        <w:t>tej</w:t>
      </w:r>
      <w:proofErr w:type="spellEnd"/>
      <w:r w:rsidRPr="00177758">
        <w:t xml:space="preserve"> </w:t>
      </w:r>
      <w:proofErr w:type="spellStart"/>
      <w:r w:rsidRPr="00177758">
        <w:t>domeni</w:t>
      </w:r>
      <w:proofErr w:type="spellEnd"/>
      <w:r>
        <w:rPr>
          <w:lang w:val="sl-SI"/>
        </w:rPr>
        <w:t>.</w:t>
      </w:r>
      <w:r w:rsidR="00FD44DC">
        <w:rPr>
          <w:lang w:val="sl-SI"/>
        </w:rPr>
        <w:t xml:space="preserve"> Za razumevanja vpliva spola na matematično </w:t>
      </w:r>
      <w:proofErr w:type="spellStart"/>
      <w:r w:rsidR="00FD44DC">
        <w:rPr>
          <w:lang w:val="sl-SI"/>
        </w:rPr>
        <w:t>anksioznost</w:t>
      </w:r>
      <w:proofErr w:type="spellEnd"/>
      <w:r w:rsidR="00FD44DC">
        <w:rPr>
          <w:lang w:val="sl-SI"/>
        </w:rPr>
        <w:t xml:space="preserve">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806315">
        <w:rPr>
          <w:rFonts w:ascii="Calibri" w:hAnsi="Calibri" w:cs="Calibri"/>
        </w:rPr>
        <w:t>(Hedges &amp; Nowell, 1995; Hyde idr.,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10A12">
        <w:rPr>
          <w:rFonts w:ascii="Calibri" w:hAnsi="Calibri" w:cs="Calibri"/>
        </w:rPr>
        <w:t>(Rossi idr., 2022; Vanbinst idr., 2020)</w:t>
      </w:r>
      <w:r w:rsidR="00210A12">
        <w:rPr>
          <w:lang w:val="sl-SI"/>
        </w:rPr>
        <w:fldChar w:fldCharType="end"/>
      </w:r>
      <w:r w:rsidR="00806315">
        <w:rPr>
          <w:lang w:val="sl-SI"/>
        </w:rPr>
        <w:t xml:space="preserve">. </w:t>
      </w:r>
      <w:r w:rsidR="000E4B3E">
        <w:rPr>
          <w:lang w:val="sl-SI"/>
        </w:rPr>
        <w:t xml:space="preserve">Slednje velja tudi za Slovenijo, </w:t>
      </w:r>
      <w:r w:rsidR="000E4B3E" w:rsidRPr="000E4B3E">
        <w:t xml:space="preserve">v </w:t>
      </w:r>
      <w:proofErr w:type="spellStart"/>
      <w:r w:rsidR="000E4B3E" w:rsidRPr="000E4B3E">
        <w:t>vseh</w:t>
      </w:r>
      <w:proofErr w:type="spellEnd"/>
      <w:r w:rsidR="000E4B3E" w:rsidRPr="000E4B3E">
        <w:t xml:space="preserve"> </w:t>
      </w:r>
      <w:proofErr w:type="spellStart"/>
      <w:r w:rsidR="000E4B3E" w:rsidRPr="000E4B3E">
        <w:t>dosedanjih</w:t>
      </w:r>
      <w:proofErr w:type="spellEnd"/>
      <w:r w:rsidR="000E4B3E" w:rsidRPr="000E4B3E">
        <w:t xml:space="preserve"> </w:t>
      </w:r>
      <w:proofErr w:type="spellStart"/>
      <w:r w:rsidR="000E4B3E" w:rsidRPr="000E4B3E">
        <w:t>ciklih</w:t>
      </w:r>
      <w:proofErr w:type="spellEnd"/>
      <w:r w:rsidR="000E4B3E" w:rsidRPr="000E4B3E">
        <w:t xml:space="preserve"> </w:t>
      </w:r>
      <w:proofErr w:type="spellStart"/>
      <w:r w:rsidR="000E4B3E" w:rsidRPr="000E4B3E">
        <w:t>raziskave</w:t>
      </w:r>
      <w:proofErr w:type="spellEnd"/>
      <w:r w:rsidR="000E4B3E" w:rsidRPr="000E4B3E">
        <w:t xml:space="preserve"> </w:t>
      </w:r>
      <w:proofErr w:type="spellStart"/>
      <w:r w:rsidR="000E4B3E" w:rsidRPr="000E4B3E">
        <w:t>razlik</w:t>
      </w:r>
      <w:proofErr w:type="spellEnd"/>
      <w:r w:rsidR="000E4B3E" w:rsidRPr="000E4B3E">
        <w:t xml:space="preserve"> med </w:t>
      </w:r>
      <w:proofErr w:type="spellStart"/>
      <w:r w:rsidR="000E4B3E" w:rsidRPr="000E4B3E">
        <w:t>spoloma</w:t>
      </w:r>
      <w:proofErr w:type="spellEnd"/>
      <w:r w:rsidR="000E4B3E" w:rsidRPr="000E4B3E">
        <w:t xml:space="preserve"> v </w:t>
      </w:r>
      <w:proofErr w:type="spellStart"/>
      <w:r w:rsidR="000E4B3E" w:rsidRPr="000E4B3E">
        <w:t>matematični</w:t>
      </w:r>
      <w:proofErr w:type="spellEnd"/>
      <w:r w:rsidR="000E4B3E" w:rsidRPr="000E4B3E">
        <w:t xml:space="preserve"> </w:t>
      </w:r>
      <w:proofErr w:type="spellStart"/>
      <w:r w:rsidR="000E4B3E" w:rsidRPr="000E4B3E">
        <w:t>pismenosti</w:t>
      </w:r>
      <w:proofErr w:type="spellEnd"/>
      <w:r w:rsidR="000E4B3E" w:rsidRPr="000E4B3E">
        <w:t xml:space="preserve"> PISA </w:t>
      </w:r>
      <w:r w:rsidR="000E4B3E">
        <w:t>(</w:t>
      </w:r>
      <w:proofErr w:type="spellStart"/>
      <w:r w:rsidR="000E4B3E">
        <w:t>vzeto</w:t>
      </w:r>
      <w:proofErr w:type="spellEnd"/>
      <w:r w:rsidR="000E4B3E">
        <w:t xml:space="preserve"> do </w:t>
      </w:r>
      <w:proofErr w:type="spellStart"/>
      <w:r w:rsidR="000E4B3E">
        <w:t>leta</w:t>
      </w:r>
      <w:proofErr w:type="spellEnd"/>
      <w:r w:rsidR="000E4B3E">
        <w:t xml:space="preserve"> 2022)</w:t>
      </w:r>
      <w:r w:rsidR="000E4B3E" w:rsidRPr="000E4B3E">
        <w:t xml:space="preserve"> v </w:t>
      </w:r>
      <w:proofErr w:type="spellStart"/>
      <w:r w:rsidR="000E4B3E" w:rsidRPr="000E4B3E">
        <w:t>Sloveniji</w:t>
      </w:r>
      <w:proofErr w:type="spellEnd"/>
      <w:r w:rsidR="000E4B3E" w:rsidRPr="000E4B3E">
        <w:t xml:space="preserve"> </w:t>
      </w:r>
      <w:proofErr w:type="spellStart"/>
      <w:r w:rsidR="000E4B3E" w:rsidRPr="000E4B3E">
        <w:t>ni</w:t>
      </w:r>
      <w:proofErr w:type="spellEnd"/>
      <w:r w:rsidR="00474B01">
        <w:t xml:space="preserve"> </w:t>
      </w:r>
      <w:r w:rsidR="00474B01">
        <w:fldChar w:fldCharType="begin"/>
      </w:r>
      <w:r w:rsidR="00474B01">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474B01">
        <w:rPr>
          <w:rFonts w:ascii="Calibri" w:hAnsi="Calibri" w:cs="Calibri"/>
          <w:kern w:val="0"/>
          <w:szCs w:val="24"/>
        </w:rPr>
        <w:t>(</w:t>
      </w:r>
      <w:proofErr w:type="spellStart"/>
      <w:r w:rsidR="00474B01" w:rsidRPr="00474B01">
        <w:rPr>
          <w:rFonts w:ascii="Calibri" w:hAnsi="Calibri" w:cs="Calibri"/>
          <w:kern w:val="0"/>
          <w:szCs w:val="24"/>
        </w:rPr>
        <w:t>Ministrstvo</w:t>
      </w:r>
      <w:proofErr w:type="spellEnd"/>
      <w:r w:rsidR="00474B01" w:rsidRPr="00474B01">
        <w:rPr>
          <w:rFonts w:ascii="Calibri" w:hAnsi="Calibri" w:cs="Calibri"/>
          <w:kern w:val="0"/>
          <w:szCs w:val="24"/>
        </w:rPr>
        <w:t xml:space="preserve"> za </w:t>
      </w:r>
      <w:proofErr w:type="spellStart"/>
      <w:r w:rsidR="00474B01" w:rsidRPr="00474B01">
        <w:rPr>
          <w:rFonts w:ascii="Calibri" w:hAnsi="Calibri" w:cs="Calibri"/>
          <w:kern w:val="0"/>
          <w:szCs w:val="24"/>
        </w:rPr>
        <w:t>vzgojo</w:t>
      </w:r>
      <w:proofErr w:type="spellEnd"/>
      <w:r w:rsidR="00474B01" w:rsidRPr="00474B01">
        <w:rPr>
          <w:rFonts w:ascii="Calibri" w:hAnsi="Calibri" w:cs="Calibri"/>
          <w:kern w:val="0"/>
          <w:szCs w:val="24"/>
        </w:rPr>
        <w:t xml:space="preserve"> in izobraževanje RS &amp; Pedagoški inštitut, 2023)</w:t>
      </w:r>
      <w:r w:rsidR="00474B01">
        <w:fldChar w:fldCharType="end"/>
      </w:r>
      <w:r w:rsidR="000E4B3E" w:rsidRPr="000E4B3E">
        <w:t>.</w:t>
      </w:r>
    </w:p>
    <w:p w14:paraId="4A01845A" w14:textId="4D10C6A6" w:rsidR="000673E7" w:rsidRDefault="000673E7" w:rsidP="000673E7">
      <w:pPr>
        <w:pStyle w:val="Heading2"/>
        <w:rPr>
          <w:lang w:val="sl-SI"/>
        </w:rPr>
      </w:pPr>
      <w:bookmarkStart w:id="4" w:name="_Toc153108357"/>
      <w:r>
        <w:rPr>
          <w:lang w:val="sl-SI"/>
        </w:rPr>
        <w:t xml:space="preserve">Vpliv matematične </w:t>
      </w:r>
      <w:proofErr w:type="spellStart"/>
      <w:r>
        <w:rPr>
          <w:lang w:val="sl-SI"/>
        </w:rPr>
        <w:t>anksioznosti</w:t>
      </w:r>
      <w:proofErr w:type="spellEnd"/>
      <w:r>
        <w:rPr>
          <w:lang w:val="sl-SI"/>
        </w:rPr>
        <w:t xml:space="preserve"> na uspeh</w:t>
      </w:r>
      <w:bookmarkEnd w:id="4"/>
    </w:p>
    <w:p w14:paraId="15FA00B1" w14:textId="439BF012" w:rsidR="000673E7" w:rsidRDefault="000673E7" w:rsidP="000673E7">
      <w:pPr>
        <w:rPr>
          <w:lang w:val="sl-SI"/>
        </w:rPr>
      </w:pPr>
      <w:r>
        <w:rPr>
          <w:lang w:val="sl-SI"/>
        </w:rPr>
        <w:t xml:space="preserve">Matematična </w:t>
      </w:r>
      <w:proofErr w:type="spellStart"/>
      <w:r>
        <w:rPr>
          <w:lang w:val="sl-SI"/>
        </w:rPr>
        <w:t>anksioznost</w:t>
      </w:r>
      <w:proofErr w:type="spellEnd"/>
      <w:r>
        <w:rPr>
          <w:lang w:val="sl-SI"/>
        </w:rPr>
        <w:t xml:space="preserve">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863D64">
        <w:rPr>
          <w:rFonts w:ascii="Calibri" w:hAnsi="Calibri" w:cs="Calibri"/>
          <w:kern w:val="0"/>
          <w:szCs w:val="24"/>
        </w:rPr>
        <w:t xml:space="preserve">(Jansen </w:t>
      </w:r>
      <w:proofErr w:type="spellStart"/>
      <w:r w:rsidRPr="00863D64">
        <w:rPr>
          <w:rFonts w:ascii="Calibri" w:hAnsi="Calibri" w:cs="Calibri"/>
          <w:kern w:val="0"/>
          <w:szCs w:val="24"/>
        </w:rPr>
        <w:t>idr</w:t>
      </w:r>
      <w:proofErr w:type="spellEnd"/>
      <w:r w:rsidRPr="00863D64">
        <w:rPr>
          <w:rFonts w:ascii="Calibri" w:hAnsi="Calibri" w:cs="Calibri"/>
          <w:kern w:val="0"/>
          <w:szCs w:val="24"/>
        </w:rPr>
        <w:t>., 2013; Rodríguez idr., 2020)</w:t>
      </w:r>
      <w:r>
        <w:rPr>
          <w:lang w:val="sl-SI"/>
        </w:rPr>
        <w:fldChar w:fldCharType="end"/>
      </w:r>
      <w:r>
        <w:rPr>
          <w:lang w:val="sl-SI"/>
        </w:rPr>
        <w:t xml:space="preserve">. </w:t>
      </w:r>
    </w:p>
    <w:p w14:paraId="305630B9" w14:textId="69295D38" w:rsidR="000673E7" w:rsidRPr="000673E7" w:rsidRDefault="000673E7" w:rsidP="000673E7">
      <w:r>
        <w:rPr>
          <w:lang w:val="sl-SI"/>
        </w:rPr>
        <w:t xml:space="preserve">Torej je ključno identificirati, kako pri učencih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F95C31">
        <w:rPr>
          <w:rFonts w:ascii="Calibri" w:hAnsi="Calibri" w:cs="Calibri"/>
          <w:kern w:val="0"/>
          <w:szCs w:val="24"/>
        </w:rPr>
        <w:t>(</w:t>
      </w:r>
      <w:proofErr w:type="spellStart"/>
      <w:r w:rsidRPr="00F95C31">
        <w:rPr>
          <w:rFonts w:ascii="Calibri" w:hAnsi="Calibri" w:cs="Calibri"/>
          <w:kern w:val="0"/>
          <w:szCs w:val="24"/>
        </w:rPr>
        <w:t>Szczygieł</w:t>
      </w:r>
      <w:proofErr w:type="spellEnd"/>
      <w:r w:rsidRPr="00F95C31">
        <w:rPr>
          <w:rFonts w:ascii="Calibri" w:hAnsi="Calibri" w:cs="Calibri"/>
          <w:kern w:val="0"/>
          <w:szCs w:val="24"/>
        </w:rPr>
        <w:t>, 2022)</w:t>
      </w:r>
      <w:r>
        <w:rPr>
          <w:lang w:val="sl-SI"/>
        </w:rPr>
        <w:fldChar w:fldCharType="end"/>
      </w:r>
      <w:r>
        <w:rPr>
          <w:lang w:val="sl-SI"/>
        </w:rPr>
        <w:t xml:space="preserve">, toda literatura, kako to doseči je škrbinasta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F95C31">
        <w:rPr>
          <w:rFonts w:ascii="Calibri" w:hAnsi="Calibri" w:cs="Calibri"/>
        </w:rPr>
        <w:t>(Samuel &amp; Warner, 2021)</w:t>
      </w:r>
      <w:r>
        <w:rPr>
          <w:lang w:val="sl-SI"/>
        </w:rPr>
        <w:fldChar w:fldCharType="end"/>
      </w:r>
      <w:r>
        <w:rPr>
          <w:lang w:val="sl-SI"/>
        </w:rPr>
        <w:t xml:space="preserve">. </w:t>
      </w:r>
      <w:r w:rsidRPr="00E52C92">
        <w:t xml:space="preserve">Za </w:t>
      </w:r>
      <w:proofErr w:type="spellStart"/>
      <w:r w:rsidRPr="00E52C92">
        <w:t>zmanjšanje</w:t>
      </w:r>
      <w:proofErr w:type="spellEnd"/>
      <w:r w:rsidRPr="00E52C92">
        <w:t xml:space="preserve"> </w:t>
      </w:r>
      <w:proofErr w:type="spellStart"/>
      <w:r w:rsidRPr="00E52C92">
        <w:t>tesnobe</w:t>
      </w:r>
      <w:proofErr w:type="spellEnd"/>
      <w:r w:rsidRPr="00E52C92">
        <w:t xml:space="preserve"> so </w:t>
      </w:r>
      <w:proofErr w:type="spellStart"/>
      <w:r w:rsidRPr="00E52C92">
        <w:t>uporabljene</w:t>
      </w:r>
      <w:proofErr w:type="spellEnd"/>
      <w:r w:rsidRPr="00E52C92">
        <w:t xml:space="preserve"> </w:t>
      </w:r>
      <w:proofErr w:type="spellStart"/>
      <w:r w:rsidRPr="00E52C92">
        <w:t>tehnike</w:t>
      </w:r>
      <w:proofErr w:type="spellEnd"/>
      <w:r w:rsidRPr="00E52C92">
        <w:t xml:space="preserve">, </w:t>
      </w:r>
      <w:proofErr w:type="spellStart"/>
      <w:r w:rsidRPr="00E52C92">
        <w:t>kot</w:t>
      </w:r>
      <w:proofErr w:type="spellEnd"/>
      <w:r w:rsidRPr="00E52C92">
        <w:t xml:space="preserve"> so </w:t>
      </w:r>
      <w:proofErr w:type="spellStart"/>
      <w:r w:rsidRPr="00E52C92">
        <w:t>prakse</w:t>
      </w:r>
      <w:proofErr w:type="spellEnd"/>
      <w:r w:rsidRPr="00E52C92">
        <w:t xml:space="preserve"> </w:t>
      </w:r>
      <w:proofErr w:type="spellStart"/>
      <w:r w:rsidRPr="00E52C92">
        <w:t>zavedanja</w:t>
      </w:r>
      <w:proofErr w:type="spellEnd"/>
      <w:r>
        <w:t xml:space="preserve"> (</w:t>
      </w:r>
      <w:proofErr w:type="spellStart"/>
      <w:r>
        <w:t>čuječnost</w:t>
      </w:r>
      <w:proofErr w:type="spellEnd"/>
      <w:r>
        <w:t>)</w:t>
      </w:r>
      <w:r w:rsidRPr="00E52C92">
        <w:t xml:space="preserve">, </w:t>
      </w:r>
      <w:proofErr w:type="spellStart"/>
      <w:r w:rsidRPr="00E52C92">
        <w:t>spodbujanje</w:t>
      </w:r>
      <w:proofErr w:type="spellEnd"/>
      <w:r w:rsidRPr="00E52C92">
        <w:t xml:space="preserve"> </w:t>
      </w:r>
      <w:proofErr w:type="spellStart"/>
      <w:r w:rsidRPr="00E52C92">
        <w:t>razvojnega</w:t>
      </w:r>
      <w:proofErr w:type="spellEnd"/>
      <w:r w:rsidRPr="00E52C92">
        <w:t xml:space="preserve"> </w:t>
      </w:r>
      <w:proofErr w:type="spellStart"/>
      <w:r w:rsidRPr="00E52C92">
        <w:t>mišljenja</w:t>
      </w:r>
      <w:proofErr w:type="spellEnd"/>
      <w:r w:rsidRPr="00E52C92">
        <w:t xml:space="preserve"> </w:t>
      </w:r>
      <w:proofErr w:type="spellStart"/>
      <w:r w:rsidRPr="00E52C92">
        <w:t>ter</w:t>
      </w:r>
      <w:proofErr w:type="spellEnd"/>
      <w:r w:rsidRPr="00E52C92">
        <w:t xml:space="preserve"> </w:t>
      </w:r>
      <w:proofErr w:type="spellStart"/>
      <w:r w:rsidRPr="00E52C92">
        <w:t>intervencije</w:t>
      </w:r>
      <w:proofErr w:type="spellEnd"/>
      <w:r w:rsidRPr="00E52C92">
        <w:t xml:space="preserve"> za </w:t>
      </w:r>
      <w:proofErr w:type="spellStart"/>
      <w:r w:rsidRPr="00E52C92">
        <w:t>utrjevanje</w:t>
      </w:r>
      <w:proofErr w:type="spellEnd"/>
      <w:r w:rsidRPr="00E52C92">
        <w:t xml:space="preserve"> </w:t>
      </w:r>
      <w:proofErr w:type="spellStart"/>
      <w:r w:rsidRPr="00E52C92">
        <w:t>samopodobe</w:t>
      </w:r>
      <w:proofErr w:type="spellEnd"/>
      <w:r w:rsidRPr="00E52C92">
        <w:t xml:space="preserve">, </w:t>
      </w:r>
      <w:proofErr w:type="spellStart"/>
      <w:r w:rsidRPr="00E52C92">
        <w:t>kar</w:t>
      </w:r>
      <w:proofErr w:type="spellEnd"/>
      <w:r w:rsidRPr="00E52C92">
        <w:t xml:space="preserve"> </w:t>
      </w:r>
      <w:proofErr w:type="spellStart"/>
      <w:r w:rsidRPr="00E52C92">
        <w:t>pomaga</w:t>
      </w:r>
      <w:proofErr w:type="spellEnd"/>
      <w:r w:rsidRPr="00E52C92">
        <w:t xml:space="preserve"> </w:t>
      </w:r>
      <w:proofErr w:type="spellStart"/>
      <w:r w:rsidRPr="00E52C92">
        <w:t>študentom</w:t>
      </w:r>
      <w:proofErr w:type="spellEnd"/>
      <w:r w:rsidRPr="00E52C92">
        <w:t xml:space="preserve"> </w:t>
      </w:r>
      <w:proofErr w:type="spellStart"/>
      <w:r w:rsidRPr="00E52C92">
        <w:lastRenderedPageBreak/>
        <w:t>preusmeriti</w:t>
      </w:r>
      <w:proofErr w:type="spellEnd"/>
      <w:r w:rsidRPr="00E52C92">
        <w:t xml:space="preserve"> </w:t>
      </w:r>
      <w:proofErr w:type="spellStart"/>
      <w:r w:rsidRPr="00E52C92">
        <w:t>pozornost</w:t>
      </w:r>
      <w:proofErr w:type="spellEnd"/>
      <w:r w:rsidRPr="00E52C92">
        <w:t xml:space="preserve"> </w:t>
      </w:r>
      <w:proofErr w:type="spellStart"/>
      <w:r w:rsidRPr="00E52C92">
        <w:t>stran</w:t>
      </w:r>
      <w:proofErr w:type="spellEnd"/>
      <w:r w:rsidRPr="00E52C92">
        <w:t xml:space="preserve"> </w:t>
      </w:r>
      <w:proofErr w:type="spellStart"/>
      <w:r w:rsidRPr="00E52C92">
        <w:t>od</w:t>
      </w:r>
      <w:proofErr w:type="spellEnd"/>
      <w:r w:rsidRPr="00E52C92">
        <w:t xml:space="preserve"> </w:t>
      </w:r>
      <w:proofErr w:type="spellStart"/>
      <w:r w:rsidRPr="00E52C92">
        <w:t>tesnobnih</w:t>
      </w:r>
      <w:proofErr w:type="spellEnd"/>
      <w:r w:rsidRPr="00E52C92">
        <w:t xml:space="preserve"> </w:t>
      </w:r>
      <w:proofErr w:type="spellStart"/>
      <w:r w:rsidRPr="00E52C92">
        <w:t>misli</w:t>
      </w:r>
      <w:proofErr w:type="spellEnd"/>
      <w:r w:rsidRPr="00E52C92">
        <w:t xml:space="preserve">, </w:t>
      </w:r>
      <w:proofErr w:type="spellStart"/>
      <w:r w:rsidRPr="00E52C92">
        <w:t>spodbuja</w:t>
      </w:r>
      <w:proofErr w:type="spellEnd"/>
      <w:r w:rsidRPr="00E52C92">
        <w:t xml:space="preserve"> </w:t>
      </w:r>
      <w:proofErr w:type="spellStart"/>
      <w:r w:rsidRPr="00E52C92">
        <w:t>učenje</w:t>
      </w:r>
      <w:proofErr w:type="spellEnd"/>
      <w:r w:rsidRPr="00E52C92">
        <w:t xml:space="preserve"> </w:t>
      </w:r>
      <w:proofErr w:type="spellStart"/>
      <w:r w:rsidRPr="00E52C92">
        <w:t>iz</w:t>
      </w:r>
      <w:proofErr w:type="spellEnd"/>
      <w:r w:rsidRPr="00E52C92">
        <w:t xml:space="preserve"> </w:t>
      </w:r>
      <w:proofErr w:type="spellStart"/>
      <w:r w:rsidRPr="00E52C92">
        <w:t>napak</w:t>
      </w:r>
      <w:proofErr w:type="spellEnd"/>
      <w:r w:rsidRPr="00E52C92">
        <w:t xml:space="preserve"> </w:t>
      </w:r>
      <w:proofErr w:type="spellStart"/>
      <w:r w:rsidRPr="00E52C92">
        <w:t>ter</w:t>
      </w:r>
      <w:proofErr w:type="spellEnd"/>
      <w:r w:rsidRPr="00E52C92">
        <w:t xml:space="preserve"> </w:t>
      </w:r>
      <w:proofErr w:type="spellStart"/>
      <w:r w:rsidRPr="00E52C92">
        <w:t>krepi</w:t>
      </w:r>
      <w:proofErr w:type="spellEnd"/>
      <w:r w:rsidRPr="00E52C92">
        <w:t xml:space="preserve"> </w:t>
      </w:r>
      <w:proofErr w:type="spellStart"/>
      <w:r w:rsidRPr="00E52C92">
        <w:t>samozavest</w:t>
      </w:r>
      <w:proofErr w:type="spellEnd"/>
      <w:r w:rsidRPr="00E52C92">
        <w:t xml:space="preserve"> </w:t>
      </w:r>
      <w:proofErr w:type="spellStart"/>
      <w:r w:rsidRPr="00E52C92">
        <w:t>pri</w:t>
      </w:r>
      <w:proofErr w:type="spellEnd"/>
      <w:r w:rsidRPr="00E52C92">
        <w:t xml:space="preserve"> </w:t>
      </w:r>
      <w:proofErr w:type="spellStart"/>
      <w:r w:rsidRPr="00E52C92">
        <w:t>reševanju</w:t>
      </w:r>
      <w:proofErr w:type="spellEnd"/>
      <w:r w:rsidRPr="00E52C92">
        <w:t xml:space="preserve"> </w:t>
      </w:r>
      <w:proofErr w:type="spellStart"/>
      <w:r w:rsidRPr="00E52C92">
        <w:t>matematičnih</w:t>
      </w:r>
      <w:proofErr w:type="spellEnd"/>
      <w:r w:rsidRPr="00E52C92">
        <w:t xml:space="preserve"> </w:t>
      </w:r>
      <w:proofErr w:type="spellStart"/>
      <w:r w:rsidRPr="00E52C92">
        <w:t>nalog</w:t>
      </w:r>
      <w:proofErr w:type="spellEnd"/>
      <w:r>
        <w:t xml:space="preserve"> </w:t>
      </w:r>
      <w:r>
        <w:fldChar w:fldCharType="begin"/>
      </w:r>
      <w: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52C92">
        <w:rPr>
          <w:rFonts w:ascii="Calibri" w:hAnsi="Calibri" w:cs="Calibri"/>
        </w:rPr>
        <w:t>(Samuel &amp; Warner, 2021)</w:t>
      </w:r>
      <w:r>
        <w:fldChar w:fldCharType="end"/>
      </w:r>
      <w:r>
        <w:t>.</w:t>
      </w:r>
    </w:p>
    <w:p w14:paraId="0BD8287C" w14:textId="0D865353" w:rsidR="001615BE" w:rsidRDefault="001615BE" w:rsidP="001615BE">
      <w:pPr>
        <w:pStyle w:val="Heading1"/>
        <w:rPr>
          <w:lang w:val="sl-SI"/>
        </w:rPr>
      </w:pPr>
      <w:bookmarkStart w:id="5" w:name="_Toc153108358"/>
      <w:r>
        <w:rPr>
          <w:lang w:val="sl-SI"/>
        </w:rPr>
        <w:t>Metode</w:t>
      </w:r>
      <w:bookmarkEnd w:id="5"/>
    </w:p>
    <w:p w14:paraId="3500743D" w14:textId="4763F0AB" w:rsidR="00A151A6" w:rsidRDefault="00A151A6" w:rsidP="00A151A6">
      <w:pPr>
        <w:pStyle w:val="Heading2"/>
        <w:rPr>
          <w:lang w:val="sl-SI"/>
        </w:rPr>
      </w:pPr>
      <w:bookmarkStart w:id="6" w:name="_Toc153108359"/>
      <w:r>
        <w:rPr>
          <w:lang w:val="sl-SI"/>
        </w:rPr>
        <w:t>Problem, namen, cilji, hipoteze, metodologija</w:t>
      </w:r>
      <w:bookmarkEnd w:id="6"/>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w:t>
      </w:r>
      <w:proofErr w:type="spellStart"/>
      <w:r w:rsidR="00187D0A">
        <w:rPr>
          <w:lang w:val="sl-SI"/>
        </w:rPr>
        <w:t>anksioznost</w:t>
      </w:r>
      <w:proofErr w:type="spellEnd"/>
      <w:r w:rsidR="00187D0A">
        <w:rPr>
          <w:lang w:val="sl-SI"/>
        </w:rPr>
        <w:t xml:space="preserve">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 xml:space="preserve">Ženske imajo blago večjo predispozicijo do matematične </w:t>
      </w:r>
      <w:proofErr w:type="spellStart"/>
      <w:r w:rsidR="00187D0A">
        <w:rPr>
          <w:lang w:val="sl-SI"/>
        </w:rPr>
        <w:t>anksioznosti</w:t>
      </w:r>
      <w:proofErr w:type="spellEnd"/>
      <w:r>
        <w:rPr>
          <w:lang w:val="sl-SI"/>
        </w:rPr>
        <w:t>.</w:t>
      </w:r>
    </w:p>
    <w:p w14:paraId="136FF80D" w14:textId="283F078D" w:rsidR="00A151A6" w:rsidRDefault="00A151A6" w:rsidP="00A151A6">
      <w:pPr>
        <w:pStyle w:val="Heading2"/>
        <w:rPr>
          <w:lang w:val="sl-SI"/>
        </w:rPr>
      </w:pPr>
      <w:bookmarkStart w:id="7" w:name="_Toc153108360"/>
      <w:r>
        <w:rPr>
          <w:lang w:val="sl-SI"/>
        </w:rPr>
        <w:t>Vzorec</w:t>
      </w:r>
      <w:bookmarkEnd w:id="7"/>
    </w:p>
    <w:p w14:paraId="2A873BB1" w14:textId="6DB67C79" w:rsidR="00617B01" w:rsidRDefault="00617B01" w:rsidP="00617B01">
      <w:pPr>
        <w:rPr>
          <w:lang w:val="sl"/>
        </w:rPr>
      </w:pPr>
      <w:r w:rsidRPr="00617B01">
        <w:rPr>
          <w:lang w:val="sl"/>
        </w:rPr>
        <w:t>Po predpripravi podatkov, je finalna kohorta obsegala n dijakov s 54 rešenimi odgovori, ki so določali m spr</w:t>
      </w:r>
      <w:r w:rsidR="002D7427">
        <w:rPr>
          <w:lang w:val="sl"/>
        </w:rPr>
        <w:t>e</w:t>
      </w:r>
      <w:r w:rsidRPr="00617B01">
        <w:rPr>
          <w:lang w:val="sl"/>
        </w:rPr>
        <w:t xml:space="preserve">menljivk.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68B7FCAC" w14:textId="0159FDC3" w:rsidR="000F65D1" w:rsidRDefault="000F65D1" w:rsidP="00617B01">
      <w:pPr>
        <w:rPr>
          <w:lang w:val="sl"/>
        </w:rPr>
      </w:pPr>
      <w:proofErr w:type="spellStart"/>
      <w:r w:rsidRPr="000F65D1">
        <w:t>Iz</w:t>
      </w:r>
      <w:proofErr w:type="spellEnd"/>
      <w:r w:rsidRPr="000F65D1">
        <w:t xml:space="preserve"> </w:t>
      </w:r>
      <w:proofErr w:type="spellStart"/>
      <w:r w:rsidRPr="000F65D1">
        <w:t>šolskega</w:t>
      </w:r>
      <w:proofErr w:type="spellEnd"/>
      <w:r w:rsidRPr="000F65D1">
        <w:t xml:space="preserve"> </w:t>
      </w:r>
      <w:proofErr w:type="spellStart"/>
      <w:r w:rsidRPr="000F65D1">
        <w:t>arhiva</w:t>
      </w:r>
      <w:proofErr w:type="spellEnd"/>
      <w:r w:rsidRPr="000F65D1">
        <w:t xml:space="preserve"> je </w:t>
      </w:r>
      <w:proofErr w:type="spellStart"/>
      <w:r w:rsidRPr="000F65D1">
        <w:t>bilo</w:t>
      </w:r>
      <w:proofErr w:type="spellEnd"/>
      <w:r w:rsidRPr="000F65D1">
        <w:t xml:space="preserve"> </w:t>
      </w:r>
      <w:proofErr w:type="spellStart"/>
      <w:r w:rsidRPr="000F65D1">
        <w:t>razvidno</w:t>
      </w:r>
      <w:proofErr w:type="spellEnd"/>
      <w:r w:rsidRPr="000F65D1">
        <w:t xml:space="preserve">, da so </w:t>
      </w:r>
      <w:proofErr w:type="spellStart"/>
      <w:r w:rsidRPr="000F65D1">
        <w:t>dijaki</w:t>
      </w:r>
      <w:proofErr w:type="spellEnd"/>
      <w:r w:rsidRPr="000F65D1">
        <w:t>….</w:t>
      </w:r>
      <w:r>
        <w:t xml:space="preserve"> </w:t>
      </w:r>
      <w:proofErr w:type="spellStart"/>
      <w:r>
        <w:t>iz</w:t>
      </w:r>
      <w:proofErr w:type="spellEnd"/>
      <w:r>
        <w:t xml:space="preserve"> </w:t>
      </w:r>
      <w:proofErr w:type="spellStart"/>
      <w:r>
        <w:t>socialno</w:t>
      </w:r>
      <w:proofErr w:type="spellEnd"/>
      <w:r>
        <w:t xml:space="preserve"> </w:t>
      </w:r>
      <w:proofErr w:type="spellStart"/>
      <w:r>
        <w:t>ekonomskega</w:t>
      </w:r>
      <w:proofErr w:type="spellEnd"/>
      <w:r>
        <w:t xml:space="preserve"> </w:t>
      </w:r>
      <w:proofErr w:type="spellStart"/>
      <w:r>
        <w:t>stanja</w:t>
      </w:r>
      <w:proofErr w:type="spellEnd"/>
      <w:r>
        <w:t xml:space="preserve"> ....</w:t>
      </w:r>
    </w:p>
    <w:p w14:paraId="3A2A6D5A" w14:textId="4AB7D164" w:rsidR="003509D3" w:rsidRDefault="00B8449A" w:rsidP="00617B01">
      <w:pPr>
        <w:rPr>
          <w:lang w:val="sl"/>
        </w:rPr>
      </w:pPr>
      <w:r>
        <w:rPr>
          <w:noProof/>
        </w:rPr>
        <w:drawing>
          <wp:inline distT="0" distB="0" distL="0" distR="0" wp14:anchorId="0466A993" wp14:editId="2D0C6532">
            <wp:extent cx="3168650" cy="2530519"/>
            <wp:effectExtent l="0" t="0" r="0" b="3175"/>
            <wp:docPr id="1894871913" name="Picture 1" descr="A green and orange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71913" name="Picture 1" descr="A green and orange shap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405" cy="2533518"/>
                    </a:xfrm>
                    <a:prstGeom prst="rect">
                      <a:avLst/>
                    </a:prstGeom>
                    <a:noFill/>
                    <a:ln>
                      <a:noFill/>
                    </a:ln>
                  </pic:spPr>
                </pic:pic>
              </a:graphicData>
            </a:graphic>
          </wp:inline>
        </w:drawing>
      </w:r>
    </w:p>
    <w:p w14:paraId="740C50D2" w14:textId="77777777" w:rsidR="00617B01" w:rsidRPr="00617B01" w:rsidRDefault="00617B01" w:rsidP="0067258A">
      <w:pPr>
        <w:pStyle w:val="Heading2"/>
        <w:rPr>
          <w:lang w:val="sl"/>
        </w:rPr>
      </w:pPr>
      <w:bookmarkStart w:id="8" w:name="_Toc153108361"/>
      <w:r w:rsidRPr="00617B01">
        <w:rPr>
          <w:lang w:val="sl"/>
        </w:rPr>
        <w:t>Zbiranje podatkov</w:t>
      </w:r>
      <w:bookmarkEnd w:id="8"/>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w:t>
      </w:r>
      <w:r w:rsidRPr="00617B01">
        <w:rPr>
          <w:lang w:val="sl"/>
        </w:rPr>
        <w:lastRenderedPageBreak/>
        <w:t>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3108362"/>
      <w:r>
        <w:rPr>
          <w:lang w:val="sl"/>
        </w:rPr>
        <w:t>Instrumenti</w:t>
      </w:r>
      <w:bookmarkEnd w:id="9"/>
    </w:p>
    <w:p w14:paraId="42A27889" w14:textId="5E517EB1"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097F65">
        <w:rPr>
          <w:lang w:val="sl"/>
        </w:rPr>
        <w:t>Oba testa sta</w:t>
      </w:r>
      <w:r w:rsidR="00617B01" w:rsidRPr="00617B01">
        <w:rPr>
          <w:lang w:val="sl"/>
        </w:rPr>
        <w:t xml:space="preserve"> dokazano zanesljiv</w:t>
      </w:r>
      <w:r w:rsidR="00097F65">
        <w:rPr>
          <w:lang w:val="sl"/>
        </w:rPr>
        <w:t>a</w:t>
      </w:r>
      <w:r w:rsidR="00617B01" w:rsidRPr="00617B01">
        <w:rPr>
          <w:lang w:val="sl"/>
        </w:rPr>
        <w:t>, veljavn</w:t>
      </w:r>
      <w:r w:rsidR="00097F65">
        <w:rPr>
          <w:lang w:val="sl"/>
        </w:rPr>
        <w:t>a</w:t>
      </w:r>
      <w:r w:rsidR="00617B01" w:rsidRPr="00617B01">
        <w:rPr>
          <w:lang w:val="sl"/>
        </w:rPr>
        <w:t xml:space="preserve"> in učinkovit</w:t>
      </w:r>
      <w:r w:rsidR="00097F65">
        <w:rPr>
          <w:lang w:val="sl"/>
        </w:rPr>
        <w:t>a</w:t>
      </w:r>
      <w:r w:rsidR="00617B01"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10" w:name="_Toc153108363"/>
      <w:r w:rsidRPr="00617B01">
        <w:rPr>
          <w:lang w:val="sl"/>
        </w:rPr>
        <w:t>Obdelava podatkov</w:t>
      </w:r>
      <w:bookmarkEnd w:id="10"/>
    </w:p>
    <w:p w14:paraId="0C56DC5A" w14:textId="63AAFC6D" w:rsidR="00617B01"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6EE6DA06"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w:t>
      </w:r>
      <w:proofErr w:type="spellStart"/>
      <w:r w:rsidR="00D53E1A">
        <w:rPr>
          <w:lang w:val="sl"/>
        </w:rPr>
        <w:t>anksioznost</w:t>
      </w:r>
      <w:proofErr w:type="spellEnd"/>
      <w:r w:rsidR="00D53E1A">
        <w:rPr>
          <w:lang w:val="sl"/>
        </w:rPr>
        <w:t xml:space="preserve">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B566A8">
        <w:rPr>
          <w:lang w:val="sl"/>
        </w:rPr>
        <w:t xml:space="preserve">Cohenovega </w:t>
      </w:r>
      <w:r w:rsidR="00B566A8" w:rsidRPr="00B566A8">
        <w:rPr>
          <w:i/>
          <w:iCs/>
          <w:lang w:val="sl"/>
        </w:rPr>
        <w:t>d</w:t>
      </w:r>
      <w:r w:rsidR="00B566A8">
        <w:rPr>
          <w:lang w:val="sl"/>
        </w:rPr>
        <w:t xml:space="preserve"> in </w:t>
      </w:r>
      <w:proofErr w:type="spellStart"/>
      <w:r w:rsidR="00B566A8">
        <w:rPr>
          <w:lang w:val="sl"/>
        </w:rPr>
        <w:t>eta</w:t>
      </w:r>
      <w:proofErr w:type="spellEnd"/>
      <w:r w:rsidR="00B566A8">
        <w:rPr>
          <w:lang w:val="sl"/>
        </w:rPr>
        <w:t xml:space="preserve"> kvadrat-a</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w:t>
      </w:r>
      <w:r w:rsidR="00B566A8">
        <w:rPr>
          <w:lang w:val="sl"/>
        </w:rPr>
        <w:t>.</w:t>
      </w:r>
    </w:p>
    <w:p w14:paraId="64D80F6E" w14:textId="45B7769F" w:rsidR="001615BE" w:rsidRDefault="001615BE" w:rsidP="001615BE">
      <w:pPr>
        <w:pStyle w:val="Heading1"/>
        <w:rPr>
          <w:lang w:val="sl-SI"/>
        </w:rPr>
      </w:pPr>
      <w:bookmarkStart w:id="11" w:name="_Toc153108364"/>
      <w:r>
        <w:rPr>
          <w:lang w:val="sl-SI"/>
        </w:rPr>
        <w:t>Rezultati</w:t>
      </w:r>
      <w:bookmarkEnd w:id="11"/>
    </w:p>
    <w:p w14:paraId="4CDBE146" w14:textId="4CEB55D4"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w:t>
      </w:r>
      <w:r w:rsidR="00B525BE">
        <w:t>mo</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lastRenderedPageBreak/>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Default="004743B8" w:rsidP="004743B8">
      <w:pPr>
        <w:rPr>
          <w:lang w:val="sl-SI"/>
        </w:rPr>
      </w:pPr>
    </w:p>
    <w:p w14:paraId="4F0BA24D" w14:textId="359FEFE2" w:rsidR="00683CDF" w:rsidRDefault="00683CDF" w:rsidP="00683CDF">
      <w:pPr>
        <w:rPr>
          <w:lang w:val="sl-SI"/>
        </w:rPr>
      </w:pPr>
      <w:r>
        <w:rPr>
          <w:lang w:val="sl-SI"/>
        </w:rPr>
        <w:t xml:space="preserve">Normalnost matematične </w:t>
      </w:r>
      <w:proofErr w:type="spellStart"/>
      <w:r>
        <w:rPr>
          <w:lang w:val="sl-SI"/>
        </w:rPr>
        <w:t>anksioznosti</w:t>
      </w:r>
      <w:proofErr w:type="spellEnd"/>
      <w:r>
        <w:rPr>
          <w:lang w:val="sl-SI"/>
        </w:rPr>
        <w:t xml:space="preserve"> smo preverili s </w:t>
      </w:r>
      <w:proofErr w:type="spellStart"/>
      <w:r>
        <w:rPr>
          <w:lang w:val="sl-SI"/>
        </w:rPr>
        <w:t>Shapiro-Wilkovim</w:t>
      </w:r>
      <w:proofErr w:type="spellEnd"/>
      <w:r>
        <w:rPr>
          <w:lang w:val="sl-SI"/>
        </w:rPr>
        <w:t xml:space="preserve"> testom, ki ničelne hipoteze, da porazdelitev ni normalna ne more ovreči (p-vrednost 0.3751). Normalnost se vidi tudi na podlagi histograma in QQ-grafikona na sliki ... Dijakinje so predstavljale 70% vzorca, kar je v skladu s porazdelitvijo spola ob vpisu na to gimnazijo.</w:t>
      </w:r>
    </w:p>
    <w:p w14:paraId="6E671DF5" w14:textId="2288332C" w:rsidR="00683CDF" w:rsidRDefault="00683CDF" w:rsidP="00683CDF">
      <w:pPr>
        <w:rPr>
          <w:lang w:val="sl-SI"/>
        </w:rPr>
      </w:pPr>
      <w:r w:rsidRPr="002F1800">
        <w:rPr>
          <w:noProof/>
          <w:color w:val="FF0000"/>
          <w:lang w:val="sl-SI"/>
        </w:rPr>
        <w:drawing>
          <wp:inline distT="0" distB="0" distL="0" distR="0" wp14:anchorId="75E224AE" wp14:editId="190C6AA3">
            <wp:extent cx="5691030" cy="1866900"/>
            <wp:effectExtent l="0" t="0" r="5080" b="0"/>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1"/>
                    <a:stretch>
                      <a:fillRect/>
                    </a:stretch>
                  </pic:blipFill>
                  <pic:spPr>
                    <a:xfrm>
                      <a:off x="0" y="0"/>
                      <a:ext cx="5742922" cy="1883923"/>
                    </a:xfrm>
                    <a:prstGeom prst="rect">
                      <a:avLst/>
                    </a:prstGeom>
                  </pic:spPr>
                </pic:pic>
              </a:graphicData>
            </a:graphic>
          </wp:inline>
        </w:drawing>
      </w:r>
    </w:p>
    <w:tbl>
      <w:tblPr>
        <w:tblStyle w:val="TableGrid"/>
        <w:tblW w:w="0" w:type="auto"/>
        <w:tblLook w:val="04A0" w:firstRow="1" w:lastRow="0" w:firstColumn="1" w:lastColumn="0" w:noHBand="0" w:noVBand="1"/>
      </w:tblPr>
      <w:tblGrid>
        <w:gridCol w:w="4531"/>
        <w:gridCol w:w="4531"/>
      </w:tblGrid>
      <w:tr w:rsidR="00B525BE" w14:paraId="395BACDC" w14:textId="77777777" w:rsidTr="00FF3AA2">
        <w:tc>
          <w:tcPr>
            <w:tcW w:w="4531" w:type="dxa"/>
          </w:tcPr>
          <w:p w14:paraId="18591083" w14:textId="77777777" w:rsidR="00683CDF" w:rsidRDefault="00683CDF" w:rsidP="00B525BE">
            <w:pPr>
              <w:jc w:val="center"/>
              <w:rPr>
                <w:lang w:val="sl-SI"/>
              </w:rPr>
            </w:pPr>
          </w:p>
          <w:p w14:paraId="2A376B4B" w14:textId="0C5E4A67" w:rsidR="00B525BE" w:rsidRPr="00B566A8" w:rsidRDefault="00B525BE" w:rsidP="00B525BE">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Pr>
                <w:lang w:val="sl-SI"/>
              </w:rPr>
              <w:t>p-vrednost</w:t>
            </w:r>
          </w:p>
        </w:tc>
      </w:tr>
      <w:tr w:rsidR="00B525BE" w14:paraId="40D20311" w14:textId="77777777" w:rsidTr="00FA3A17">
        <w:tc>
          <w:tcPr>
            <w:tcW w:w="9062" w:type="dxa"/>
            <w:gridSpan w:val="2"/>
          </w:tcPr>
          <w:p w14:paraId="70E94A3D" w14:textId="1D1C5390" w:rsidR="00B525BE" w:rsidRPr="00B566A8" w:rsidRDefault="00B525BE" w:rsidP="00B525BE">
            <w:pPr>
              <w:jc w:val="center"/>
              <w:rPr>
                <w:lang w:val="sl-SI"/>
              </w:rPr>
            </w:pPr>
            <w:r w:rsidRPr="00B566A8">
              <w:rPr>
                <w:lang w:val="sl-SI"/>
              </w:rPr>
              <w:t>t-test</w:t>
            </w:r>
          </w:p>
        </w:tc>
      </w:tr>
      <w:tr w:rsidR="00B525BE" w14:paraId="30A77370" w14:textId="77777777" w:rsidTr="00B566A8">
        <w:tc>
          <w:tcPr>
            <w:tcW w:w="4531" w:type="dxa"/>
          </w:tcPr>
          <w:p w14:paraId="1E223798" w14:textId="20C03BD6" w:rsidR="00B525BE" w:rsidRDefault="00B525BE" w:rsidP="00B525BE">
            <w:pPr>
              <w:rPr>
                <w:lang w:val="sl-SI"/>
              </w:rPr>
            </w:pPr>
            <w:r w:rsidRPr="00B566A8">
              <w:rPr>
                <w:lang w:val="sl-SI"/>
              </w:rPr>
              <w:t>-1.336</w:t>
            </w:r>
          </w:p>
        </w:tc>
        <w:tc>
          <w:tcPr>
            <w:tcW w:w="4531" w:type="dxa"/>
          </w:tcPr>
          <w:p w14:paraId="21BB7C97" w14:textId="1BB14CA5" w:rsidR="00B525BE" w:rsidRDefault="00B525BE" w:rsidP="00B525BE">
            <w:pPr>
              <w:rPr>
                <w:lang w:val="sl-SI"/>
              </w:rPr>
            </w:pPr>
            <w:r w:rsidRPr="00B566A8">
              <w:rPr>
                <w:lang w:val="sl-SI"/>
              </w:rPr>
              <w:t>0.189</w:t>
            </w:r>
          </w:p>
        </w:tc>
      </w:tr>
      <w:tr w:rsidR="00B525BE" w14:paraId="24646702" w14:textId="77777777" w:rsidTr="00603BCC">
        <w:tc>
          <w:tcPr>
            <w:tcW w:w="9062" w:type="dxa"/>
            <w:gridSpan w:val="2"/>
          </w:tcPr>
          <w:p w14:paraId="63AAA40D" w14:textId="34A15CC6" w:rsidR="00B525BE" w:rsidRPr="00B566A8" w:rsidRDefault="00B525BE" w:rsidP="00B525BE">
            <w:pPr>
              <w:jc w:val="center"/>
              <w:rPr>
                <w:lang w:val="sl-SI"/>
              </w:rPr>
            </w:pPr>
            <w:r>
              <w:rPr>
                <w:lang w:val="sl-SI"/>
              </w:rPr>
              <w:t>f-test</w:t>
            </w:r>
          </w:p>
        </w:tc>
      </w:tr>
      <w:tr w:rsidR="00B525BE" w14:paraId="37C768F7" w14:textId="77777777" w:rsidTr="00B525BE">
        <w:tc>
          <w:tcPr>
            <w:tcW w:w="4531" w:type="dxa"/>
            <w:tcBorders>
              <w:bottom w:val="double" w:sz="4" w:space="0" w:color="auto"/>
            </w:tcBorders>
          </w:tcPr>
          <w:p w14:paraId="23046D93" w14:textId="2F048C8A" w:rsidR="00B525BE" w:rsidRDefault="00B525BE" w:rsidP="00B525BE">
            <w:pPr>
              <w:rPr>
                <w:lang w:val="sl-SI"/>
              </w:rPr>
            </w:pPr>
            <w:r w:rsidRPr="00B566A8">
              <w:rPr>
                <w:lang w:val="sl-SI"/>
              </w:rPr>
              <w:t>1.786</w:t>
            </w:r>
          </w:p>
        </w:tc>
        <w:tc>
          <w:tcPr>
            <w:tcW w:w="4531" w:type="dxa"/>
            <w:tcBorders>
              <w:bottom w:val="double" w:sz="4" w:space="0" w:color="auto"/>
            </w:tcBorders>
          </w:tcPr>
          <w:p w14:paraId="7BEC6ABA" w14:textId="23458310" w:rsidR="00B525BE" w:rsidRDefault="00B525BE" w:rsidP="00B525BE">
            <w:pPr>
              <w:rPr>
                <w:lang w:val="sl-SI"/>
              </w:rPr>
            </w:pPr>
            <w:r w:rsidRPr="00B566A8">
              <w:rPr>
                <w:lang w:val="sl-SI"/>
              </w:rPr>
              <w:t>0.189</w:t>
            </w:r>
          </w:p>
        </w:tc>
      </w:tr>
      <w:tr w:rsidR="00B525BE" w14:paraId="3A8B51F9" w14:textId="77777777" w:rsidTr="00B525BE">
        <w:tc>
          <w:tcPr>
            <w:tcW w:w="4531" w:type="dxa"/>
            <w:tcBorders>
              <w:top w:val="double" w:sz="4" w:space="0" w:color="auto"/>
            </w:tcBorders>
          </w:tcPr>
          <w:p w14:paraId="7812AE42" w14:textId="14D02DF6" w:rsidR="00B525BE" w:rsidRDefault="00B525BE" w:rsidP="00B525BE">
            <w:pPr>
              <w:rPr>
                <w:lang w:val="sl-SI"/>
              </w:rPr>
            </w:pPr>
            <w:r>
              <w:rPr>
                <w:lang w:val="sl-SI"/>
              </w:rPr>
              <w:t>Cohen d</w:t>
            </w:r>
          </w:p>
        </w:tc>
        <w:tc>
          <w:tcPr>
            <w:tcW w:w="4531" w:type="dxa"/>
            <w:tcBorders>
              <w:top w:val="double" w:sz="4" w:space="0" w:color="auto"/>
            </w:tcBorders>
          </w:tcPr>
          <w:p w14:paraId="7FB414B5" w14:textId="1C1CC09D" w:rsidR="00B525BE" w:rsidRDefault="00B525BE" w:rsidP="00B525BE">
            <w:pPr>
              <w:rPr>
                <w:lang w:val="sl-SI"/>
              </w:rPr>
            </w:pPr>
            <w:r>
              <w:rPr>
                <w:lang w:val="sl-SI"/>
              </w:rPr>
              <w:t>eta^2</w:t>
            </w:r>
          </w:p>
        </w:tc>
      </w:tr>
      <w:tr w:rsidR="00B525BE" w14:paraId="44B9D203" w14:textId="77777777" w:rsidTr="00B566A8">
        <w:tc>
          <w:tcPr>
            <w:tcW w:w="4531" w:type="dxa"/>
          </w:tcPr>
          <w:p w14:paraId="4C7C451D" w14:textId="0F71A43A" w:rsidR="00B525BE" w:rsidRDefault="00B525BE" w:rsidP="00B525BE">
            <w:pPr>
              <w:rPr>
                <w:lang w:val="sl-SI"/>
              </w:rPr>
            </w:pPr>
            <w:r w:rsidRPr="00B566A8">
              <w:rPr>
                <w:lang w:val="sl-SI"/>
              </w:rPr>
              <w:t>-0.45</w:t>
            </w:r>
            <w:r>
              <w:rPr>
                <w:lang w:val="sl-SI"/>
              </w:rPr>
              <w:t>2</w:t>
            </w:r>
          </w:p>
        </w:tc>
        <w:tc>
          <w:tcPr>
            <w:tcW w:w="4531" w:type="dxa"/>
          </w:tcPr>
          <w:p w14:paraId="56743FA0" w14:textId="2D70DA51" w:rsidR="00B525BE" w:rsidRDefault="00B525BE" w:rsidP="00B525BE">
            <w:pPr>
              <w:rPr>
                <w:lang w:val="sl-SI"/>
              </w:rPr>
            </w:pPr>
            <w:r w:rsidRPr="00B566A8">
              <w:rPr>
                <w:lang w:val="sl-SI"/>
              </w:rPr>
              <w:t>0.001</w:t>
            </w:r>
          </w:p>
        </w:tc>
      </w:tr>
    </w:tbl>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2" w:name="_Toc153108365"/>
      <w:r>
        <w:rPr>
          <w:lang w:val="sl-SI"/>
        </w:rPr>
        <w:t>Diskusija</w:t>
      </w:r>
      <w:bookmarkEnd w:id="12"/>
    </w:p>
    <w:p w14:paraId="122C595A" w14:textId="05FE1D06" w:rsidR="00177758" w:rsidRDefault="00177758" w:rsidP="00177758">
      <w:pPr>
        <w:rPr>
          <w:lang w:val="sl-SI"/>
        </w:rPr>
      </w:pPr>
      <w:r>
        <w:rPr>
          <w:lang w:val="sl-SI"/>
        </w:rPr>
        <w:t xml:space="preserve">še test </w:t>
      </w:r>
      <w:proofErr w:type="spellStart"/>
      <w:r>
        <w:rPr>
          <w:lang w:val="sl-SI"/>
        </w:rPr>
        <w:t>anxiety</w:t>
      </w:r>
      <w:proofErr w:type="spellEnd"/>
      <w:r w:rsidR="00041E6C">
        <w:rPr>
          <w:lang w:val="sl-SI"/>
        </w:rPr>
        <w:t xml:space="preserve"> (</w:t>
      </w:r>
      <w:hyperlink r:id="rId12" w:history="1">
        <w:r w:rsidR="00041E6C" w:rsidRPr="00041E6C">
          <w:rPr>
            <w:rStyle w:val="Hyperlink"/>
          </w:rPr>
          <w:t xml:space="preserve">Gender differences in mathematics anxiety and the relation to mathematics performance while controlling for test anxiety | </w:t>
        </w:r>
        <w:proofErr w:type="spellStart"/>
        <w:r w:rsidR="00041E6C" w:rsidRPr="00041E6C">
          <w:rPr>
            <w:rStyle w:val="Hyperlink"/>
          </w:rPr>
          <w:t>Behavioral</w:t>
        </w:r>
        <w:proofErr w:type="spellEnd"/>
        <w:r w:rsidR="00041E6C" w:rsidRPr="00041E6C">
          <w:rPr>
            <w:rStyle w:val="Hyperlink"/>
          </w:rPr>
          <w:t xml:space="preserve"> and Brain Functions | Full Text (biomedcentral.com)</w:t>
        </w:r>
      </w:hyperlink>
      <w:r w:rsidR="00041E6C">
        <w:rPr>
          <w:lang w:val="sl-SI"/>
        </w:rPr>
        <w:t xml:space="preserve">) in genetika </w:t>
      </w:r>
      <w:hyperlink r:id="rId13" w:history="1">
        <w:r w:rsidR="00041E6C" w:rsidRPr="00041E6C">
          <w:rPr>
            <w:rStyle w:val="Hyperlink"/>
          </w:rPr>
          <w:t xml:space="preserve">Frontiers | Mathematics Anxiety: An Intergenerational </w:t>
        </w:r>
        <w:r w:rsidR="00041E6C" w:rsidRPr="00041E6C">
          <w:rPr>
            <w:rStyle w:val="Hyperlink"/>
          </w:rPr>
          <w:lastRenderedPageBreak/>
          <w:t>Approach (frontiersin.org)</w:t>
        </w:r>
      </w:hyperlink>
      <w:r w:rsidR="00D71335">
        <w:rPr>
          <w:lang w:val="sl-SI"/>
        </w:rPr>
        <w:t>. Poglej še v empiriji ali imajo ženske višjo oceno</w:t>
      </w:r>
      <w:r w:rsidR="00B20332">
        <w:rPr>
          <w:lang w:val="sl-SI"/>
        </w:rPr>
        <w:t xml:space="preserve"> (ministrstvo pravi da ne</w:t>
      </w:r>
      <w:r w:rsidR="00D71335">
        <w:rPr>
          <w:lang w:val="sl-SI"/>
        </w:rPr>
        <w:t>!</w:t>
      </w:r>
    </w:p>
    <w:p w14:paraId="198EC40A" w14:textId="77777777" w:rsidR="00E95DAA" w:rsidRPr="00E95DAA" w:rsidRDefault="00E95DAA" w:rsidP="00E95DAA">
      <w:pPr>
        <w:rPr>
          <w:lang w:val="en-US"/>
        </w:rPr>
      </w:pPr>
      <w:proofErr w:type="spellStart"/>
      <w:r w:rsidRPr="00E95DAA">
        <w:t>Süren</w:t>
      </w:r>
      <w:proofErr w:type="spellEnd"/>
      <w:r w:rsidRPr="00E95DAA">
        <w:t>, N., &amp; Kandemir, M. (2020). The Effects of Mathematics Anxiety and Motivation on Students’ Mathematics Achievement. </w:t>
      </w:r>
      <w:r w:rsidRPr="00E95DAA">
        <w:rPr>
          <w:i/>
          <w:iCs/>
        </w:rPr>
        <w:t>International Journal of Education in Mathematics, Science and Technology</w:t>
      </w:r>
      <w:r w:rsidRPr="00E95DAA">
        <w:t>. </w:t>
      </w:r>
      <w:hyperlink r:id="rId14" w:tgtFrame="_blank" w:history="1">
        <w:r w:rsidRPr="00E95DAA">
          <w:rPr>
            <w:rStyle w:val="Hyperlink"/>
          </w:rPr>
          <w:t>https://doi.org/10.46328/ijemst.v8i3.926</w:t>
        </w:r>
      </w:hyperlink>
      <w:r w:rsidRPr="00E95DAA">
        <w:t>.</w:t>
      </w:r>
    </w:p>
    <w:p w14:paraId="4161519E" w14:textId="148F0C02" w:rsidR="00E95DAA" w:rsidRPr="00177758" w:rsidRDefault="00E95DAA" w:rsidP="00177758">
      <w:pPr>
        <w:rPr>
          <w:lang w:val="sl-SI"/>
        </w:rPr>
      </w:pPr>
      <w:r>
        <w:rPr>
          <w:lang w:val="sl-SI"/>
        </w:rPr>
        <w:t xml:space="preserve">tole zgori so različne </w:t>
      </w:r>
      <w:proofErr w:type="spellStart"/>
      <w:r>
        <w:rPr>
          <w:lang w:val="sl-SI"/>
        </w:rPr>
        <w:t>anksioznosti</w:t>
      </w:r>
      <w:proofErr w:type="spellEnd"/>
    </w:p>
    <w:p w14:paraId="3456A6D2" w14:textId="25D2C4E9" w:rsidR="00B566A8" w:rsidRPr="00B566A8" w:rsidRDefault="00BF2E18" w:rsidP="00B566A8">
      <w:pPr>
        <w:rPr>
          <w:lang w:val="sl-SI"/>
        </w:rPr>
      </w:pPr>
      <w:proofErr w:type="spellStart"/>
      <w:r w:rsidRPr="00BF2E18">
        <w:t>Raziskave</w:t>
      </w:r>
      <w:proofErr w:type="spellEnd"/>
      <w:r w:rsidRPr="00BF2E18">
        <w:t xml:space="preserve"> </w:t>
      </w:r>
      <w:proofErr w:type="spellStart"/>
      <w:r w:rsidRPr="00BF2E18">
        <w:t>kažejo</w:t>
      </w:r>
      <w:proofErr w:type="spellEnd"/>
      <w:r w:rsidRPr="00BF2E18">
        <w:t xml:space="preserve">, da </w:t>
      </w:r>
      <w:proofErr w:type="spellStart"/>
      <w:r w:rsidRPr="00BF2E18">
        <w:t>kljub</w:t>
      </w:r>
      <w:proofErr w:type="spellEnd"/>
      <w:r w:rsidRPr="00BF2E18">
        <w:t xml:space="preserve"> </w:t>
      </w:r>
      <w:proofErr w:type="spellStart"/>
      <w:r w:rsidRPr="00BF2E18">
        <w:t>napredku</w:t>
      </w:r>
      <w:proofErr w:type="spellEnd"/>
      <w:r w:rsidRPr="00BF2E18">
        <w:t xml:space="preserve"> v </w:t>
      </w:r>
      <w:proofErr w:type="spellStart"/>
      <w:r w:rsidRPr="00BF2E18">
        <w:t>enakopravnosti</w:t>
      </w:r>
      <w:proofErr w:type="spellEnd"/>
      <w:r w:rsidRPr="00BF2E18">
        <w:t xml:space="preserve"> </w:t>
      </w:r>
      <w:proofErr w:type="spellStart"/>
      <w:r w:rsidRPr="00BF2E18">
        <w:t>spolov</w:t>
      </w:r>
      <w:proofErr w:type="spellEnd"/>
      <w:r w:rsidRPr="00BF2E18">
        <w:t xml:space="preserve"> </w:t>
      </w:r>
      <w:proofErr w:type="spellStart"/>
      <w:r w:rsidRPr="00BF2E18">
        <w:t>ženske</w:t>
      </w:r>
      <w:proofErr w:type="spellEnd"/>
      <w:r w:rsidRPr="00BF2E18">
        <w:t xml:space="preserve"> </w:t>
      </w:r>
      <w:proofErr w:type="spellStart"/>
      <w:r w:rsidRPr="00BF2E18">
        <w:t>še</w:t>
      </w:r>
      <w:proofErr w:type="spellEnd"/>
      <w:r w:rsidRPr="00BF2E18">
        <w:t xml:space="preserve"> </w:t>
      </w:r>
      <w:proofErr w:type="spellStart"/>
      <w:r w:rsidRPr="00BF2E18">
        <w:t>vedno</w:t>
      </w:r>
      <w:proofErr w:type="spellEnd"/>
      <w:r w:rsidRPr="00BF2E18">
        <w:t xml:space="preserve"> </w:t>
      </w:r>
      <w:proofErr w:type="spellStart"/>
      <w:r w:rsidRPr="00BF2E18">
        <w:t>ostajajo</w:t>
      </w:r>
      <w:proofErr w:type="spellEnd"/>
      <w:r w:rsidRPr="00BF2E18">
        <w:t xml:space="preserve"> </w:t>
      </w:r>
      <w:proofErr w:type="spellStart"/>
      <w:r w:rsidRPr="00BF2E18">
        <w:t>manj</w:t>
      </w:r>
      <w:proofErr w:type="spellEnd"/>
      <w:r w:rsidRPr="00BF2E18">
        <w:t xml:space="preserve"> </w:t>
      </w:r>
      <w:proofErr w:type="spellStart"/>
      <w:r w:rsidRPr="00BF2E18">
        <w:t>vključene</w:t>
      </w:r>
      <w:proofErr w:type="spellEnd"/>
      <w:r w:rsidRPr="00BF2E18">
        <w:t xml:space="preserve"> v </w:t>
      </w:r>
      <w:proofErr w:type="spellStart"/>
      <w:r w:rsidRPr="00BF2E18">
        <w:t>področje</w:t>
      </w:r>
      <w:proofErr w:type="spellEnd"/>
      <w:r w:rsidRPr="00BF2E18">
        <w:t xml:space="preserve"> </w:t>
      </w:r>
      <w:proofErr w:type="spellStart"/>
      <w:r w:rsidRPr="00BF2E18">
        <w:t>znanosti</w:t>
      </w:r>
      <w:proofErr w:type="spellEnd"/>
      <w:r w:rsidRPr="00BF2E18">
        <w:t xml:space="preserve">, </w:t>
      </w:r>
      <w:proofErr w:type="spellStart"/>
      <w:r w:rsidRPr="00BF2E18">
        <w:t>zlasti</w:t>
      </w:r>
      <w:proofErr w:type="spellEnd"/>
      <w:r w:rsidRPr="00BF2E18">
        <w:t xml:space="preserve"> v </w:t>
      </w:r>
      <w:proofErr w:type="spellStart"/>
      <w:r w:rsidRPr="00BF2E18">
        <w:t>matematične</w:t>
      </w:r>
      <w:proofErr w:type="spellEnd"/>
      <w:r w:rsidRPr="00BF2E18">
        <w:t xml:space="preserve"> </w:t>
      </w:r>
      <w:proofErr w:type="spellStart"/>
      <w:r w:rsidRPr="00BF2E18">
        <w:t>vsebine</w:t>
      </w:r>
      <w:proofErr w:type="spellEnd"/>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Analize </w:t>
      </w:r>
      <w:proofErr w:type="spellStart"/>
      <w:r w:rsidRPr="00BF2E18">
        <w:t>ocen</w:t>
      </w:r>
      <w:proofErr w:type="spellEnd"/>
      <w:r w:rsidRPr="00BF2E18">
        <w:t xml:space="preserve"> v </w:t>
      </w:r>
      <w:proofErr w:type="spellStart"/>
      <w:r w:rsidRPr="00BF2E18">
        <w:t>matematiki</w:t>
      </w:r>
      <w:proofErr w:type="spellEnd"/>
      <w:r w:rsidRPr="00BF2E18">
        <w:t xml:space="preserve"> so </w:t>
      </w:r>
      <w:proofErr w:type="spellStart"/>
      <w:r w:rsidRPr="00BF2E18">
        <w:t>razkrile</w:t>
      </w:r>
      <w:proofErr w:type="spellEnd"/>
      <w:r w:rsidRPr="00BF2E18">
        <w:t xml:space="preserve"> </w:t>
      </w:r>
      <w:proofErr w:type="spellStart"/>
      <w:r w:rsidRPr="00BF2E18">
        <w:t>neenakosti</w:t>
      </w:r>
      <w:proofErr w:type="spellEnd"/>
      <w:r>
        <w:t xml:space="preserve"> (</w:t>
      </w:r>
      <w:proofErr w:type="spellStart"/>
      <w:r>
        <w:t>še</w:t>
      </w:r>
      <w:proofErr w:type="spellEnd"/>
      <w:r>
        <w:t xml:space="preserve"> </w:t>
      </w:r>
      <w:proofErr w:type="spellStart"/>
      <w:r>
        <w:t>posebej</w:t>
      </w:r>
      <w:proofErr w:type="spellEnd"/>
      <w:r>
        <w:t xml:space="preserve"> po </w:t>
      </w:r>
      <w:proofErr w:type="spellStart"/>
      <w:r>
        <w:t>otroštvu</w:t>
      </w:r>
      <w:proofErr w:type="spellEnd"/>
      <w:r>
        <w:t>)</w:t>
      </w:r>
      <w:r w:rsidRPr="00BF2E18">
        <w:t xml:space="preserve">, </w:t>
      </w:r>
      <w:proofErr w:type="spellStart"/>
      <w:r w:rsidRPr="00BF2E18">
        <w:t>pri</w:t>
      </w:r>
      <w:proofErr w:type="spellEnd"/>
      <w:r w:rsidRPr="00BF2E18">
        <w:t xml:space="preserve"> </w:t>
      </w:r>
      <w:proofErr w:type="spellStart"/>
      <w:r w:rsidRPr="00BF2E18">
        <w:t>čemer</w:t>
      </w:r>
      <w:proofErr w:type="spellEnd"/>
      <w:r w:rsidRPr="00BF2E18">
        <w:t xml:space="preserve"> se je </w:t>
      </w:r>
      <w:proofErr w:type="spellStart"/>
      <w:r w:rsidRPr="00BF2E18">
        <w:t>pokazalo</w:t>
      </w:r>
      <w:proofErr w:type="spellEnd"/>
      <w:r w:rsidRPr="00BF2E18">
        <w:t xml:space="preserve">, da so </w:t>
      </w:r>
      <w:proofErr w:type="spellStart"/>
      <w:r w:rsidRPr="00BF2E18">
        <w:t>dekleta</w:t>
      </w:r>
      <w:proofErr w:type="spellEnd"/>
      <w:r w:rsidRPr="00BF2E18">
        <w:t xml:space="preserve"> </w:t>
      </w:r>
      <w:proofErr w:type="spellStart"/>
      <w:r w:rsidRPr="00BF2E18">
        <w:t>pogosto</w:t>
      </w:r>
      <w:proofErr w:type="spellEnd"/>
      <w:r w:rsidRPr="00BF2E18">
        <w:t xml:space="preserve"> </w:t>
      </w:r>
      <w:proofErr w:type="spellStart"/>
      <w:r w:rsidRPr="00BF2E18">
        <w:t>podrejena</w:t>
      </w:r>
      <w:proofErr w:type="spellEnd"/>
      <w:r w:rsidRPr="00BF2E18">
        <w:t xml:space="preserve"> fantom v </w:t>
      </w:r>
      <w:proofErr w:type="spellStart"/>
      <w:r w:rsidRPr="00BF2E18">
        <w:t>šolskem</w:t>
      </w:r>
      <w:proofErr w:type="spellEnd"/>
      <w:r w:rsidRPr="00BF2E18">
        <w:t xml:space="preserve"> </w:t>
      </w:r>
      <w:proofErr w:type="spellStart"/>
      <w:r w:rsidRPr="00BF2E18">
        <w:t>okolju</w:t>
      </w:r>
      <w:proofErr w:type="spellEnd"/>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Poleg </w:t>
      </w:r>
      <w:proofErr w:type="spellStart"/>
      <w:r w:rsidRPr="00BF2E18">
        <w:t>tega</w:t>
      </w:r>
      <w:proofErr w:type="spellEnd"/>
      <w:r w:rsidRPr="00BF2E18">
        <w:t xml:space="preserve"> je </w:t>
      </w:r>
      <w:proofErr w:type="spellStart"/>
      <w:r w:rsidRPr="00BF2E18">
        <w:t>matematična</w:t>
      </w:r>
      <w:proofErr w:type="spellEnd"/>
      <w:r w:rsidRPr="00BF2E18">
        <w:t xml:space="preserve"> </w:t>
      </w:r>
      <w:proofErr w:type="spellStart"/>
      <w:r w:rsidRPr="00BF2E18">
        <w:t>anksioznost</w:t>
      </w:r>
      <w:proofErr w:type="spellEnd"/>
      <w:r w:rsidRPr="00BF2E18">
        <w:t xml:space="preserve">, ki se </w:t>
      </w:r>
      <w:proofErr w:type="spellStart"/>
      <w:r w:rsidRPr="00BF2E18">
        <w:t>kaže</w:t>
      </w:r>
      <w:proofErr w:type="spellEnd"/>
      <w:r w:rsidRPr="00BF2E18">
        <w:t xml:space="preserve"> </w:t>
      </w:r>
      <w:proofErr w:type="spellStart"/>
      <w:r w:rsidRPr="00BF2E18">
        <w:t>kot</w:t>
      </w:r>
      <w:proofErr w:type="spellEnd"/>
      <w:r w:rsidRPr="00BF2E18">
        <w:t xml:space="preserve"> </w:t>
      </w:r>
      <w:proofErr w:type="spellStart"/>
      <w:r w:rsidRPr="00BF2E18">
        <w:t>strah</w:t>
      </w:r>
      <w:proofErr w:type="spellEnd"/>
      <w:r w:rsidRPr="00BF2E18">
        <w:t xml:space="preserve"> pred </w:t>
      </w:r>
      <w:proofErr w:type="spellStart"/>
      <w:r w:rsidRPr="00BF2E18">
        <w:t>matematiko</w:t>
      </w:r>
      <w:proofErr w:type="spellEnd"/>
      <w:r w:rsidRPr="00BF2E18">
        <w:t xml:space="preserve"> </w:t>
      </w:r>
      <w:proofErr w:type="spellStart"/>
      <w:r w:rsidRPr="00BF2E18">
        <w:t>ali</w:t>
      </w:r>
      <w:proofErr w:type="spellEnd"/>
      <w:r w:rsidRPr="00BF2E18">
        <w:t xml:space="preserve"> </w:t>
      </w:r>
      <w:proofErr w:type="spellStart"/>
      <w:r w:rsidRPr="00BF2E18">
        <w:t>občutek</w:t>
      </w:r>
      <w:proofErr w:type="spellEnd"/>
      <w:r w:rsidRPr="00BF2E18">
        <w:t xml:space="preserve"> </w:t>
      </w:r>
      <w:proofErr w:type="spellStart"/>
      <w:r w:rsidRPr="00BF2E18">
        <w:t>nesposobnosti</w:t>
      </w:r>
      <w:proofErr w:type="spellEnd"/>
      <w:r w:rsidRPr="00BF2E18">
        <w:t xml:space="preserve">, </w:t>
      </w:r>
      <w:proofErr w:type="spellStart"/>
      <w:r w:rsidRPr="00BF2E18">
        <w:t>lahko</w:t>
      </w:r>
      <w:proofErr w:type="spellEnd"/>
      <w:r w:rsidRPr="00BF2E18">
        <w:t xml:space="preserve"> </w:t>
      </w:r>
      <w:proofErr w:type="spellStart"/>
      <w:r w:rsidRPr="00BF2E18">
        <w:t>ena</w:t>
      </w:r>
      <w:proofErr w:type="spellEnd"/>
      <w:r w:rsidRPr="00BF2E18">
        <w:t xml:space="preserve"> </w:t>
      </w:r>
      <w:proofErr w:type="spellStart"/>
      <w:r w:rsidRPr="00BF2E18">
        <w:t>izmed</w:t>
      </w:r>
      <w:proofErr w:type="spellEnd"/>
      <w:r w:rsidRPr="00BF2E18">
        <w:t xml:space="preserve"> </w:t>
      </w:r>
      <w:proofErr w:type="spellStart"/>
      <w:r w:rsidRPr="00BF2E18">
        <w:t>ovir</w:t>
      </w:r>
      <w:proofErr w:type="spellEnd"/>
      <w:r w:rsidRPr="00BF2E18">
        <w:t xml:space="preserve"> za </w:t>
      </w:r>
      <w:proofErr w:type="spellStart"/>
      <w:r w:rsidRPr="00BF2E18">
        <w:t>vključevanje</w:t>
      </w:r>
      <w:proofErr w:type="spellEnd"/>
      <w:r w:rsidRPr="00BF2E18">
        <w:t xml:space="preserve"> </w:t>
      </w:r>
      <w:proofErr w:type="spellStart"/>
      <w:r w:rsidRPr="00BF2E18">
        <w:t>žensk</w:t>
      </w:r>
      <w:proofErr w:type="spellEnd"/>
      <w:r w:rsidRPr="00BF2E18">
        <w:t xml:space="preserve"> v to </w:t>
      </w:r>
      <w:proofErr w:type="spellStart"/>
      <w:r w:rsidRPr="00BF2E18">
        <w:t>področje</w:t>
      </w:r>
      <w:proofErr w:type="spellEnd"/>
      <w:r w:rsidRPr="00BF2E18">
        <w:t xml:space="preserve">. Ta </w:t>
      </w:r>
      <w:proofErr w:type="spellStart"/>
      <w:r w:rsidRPr="00BF2E18">
        <w:t>strah</w:t>
      </w:r>
      <w:proofErr w:type="spellEnd"/>
      <w:r w:rsidRPr="00BF2E18">
        <w:t xml:space="preserve"> </w:t>
      </w:r>
      <w:proofErr w:type="spellStart"/>
      <w:r w:rsidRPr="00BF2E18">
        <w:t>lahko</w:t>
      </w:r>
      <w:proofErr w:type="spellEnd"/>
      <w:r w:rsidRPr="00BF2E18">
        <w:t xml:space="preserve"> </w:t>
      </w:r>
      <w:proofErr w:type="spellStart"/>
      <w:r w:rsidRPr="00BF2E18">
        <w:t>vodi</w:t>
      </w:r>
      <w:proofErr w:type="spellEnd"/>
      <w:r w:rsidRPr="00BF2E18">
        <w:t xml:space="preserve"> v </w:t>
      </w:r>
      <w:proofErr w:type="spellStart"/>
      <w:r w:rsidRPr="00BF2E18">
        <w:t>manjšo</w:t>
      </w:r>
      <w:proofErr w:type="spellEnd"/>
      <w:r w:rsidRPr="00BF2E18">
        <w:t xml:space="preserve"> </w:t>
      </w:r>
      <w:proofErr w:type="spellStart"/>
      <w:r w:rsidRPr="00BF2E18">
        <w:t>samozavest</w:t>
      </w:r>
      <w:proofErr w:type="spellEnd"/>
      <w:r w:rsidRPr="00BF2E18">
        <w:t xml:space="preserve"> </w:t>
      </w:r>
      <w:proofErr w:type="spellStart"/>
      <w:r w:rsidRPr="00BF2E18">
        <w:t>pri</w:t>
      </w:r>
      <w:proofErr w:type="spellEnd"/>
      <w:r w:rsidRPr="00BF2E18">
        <w:t xml:space="preserve"> </w:t>
      </w:r>
      <w:proofErr w:type="spellStart"/>
      <w:r w:rsidRPr="00BF2E18">
        <w:t>reševanju</w:t>
      </w:r>
      <w:proofErr w:type="spellEnd"/>
      <w:r w:rsidRPr="00BF2E18">
        <w:t xml:space="preserve"> </w:t>
      </w:r>
      <w:proofErr w:type="spellStart"/>
      <w:r w:rsidRPr="00BF2E18">
        <w:t>matematičnih</w:t>
      </w:r>
      <w:proofErr w:type="spellEnd"/>
      <w:r w:rsidRPr="00BF2E18">
        <w:t xml:space="preserve"> </w:t>
      </w:r>
      <w:proofErr w:type="spellStart"/>
      <w:r w:rsidRPr="00BF2E18">
        <w:t>problemov</w:t>
      </w:r>
      <w:proofErr w:type="spellEnd"/>
      <w:r w:rsidRPr="00BF2E18">
        <w:t xml:space="preserve"> in v </w:t>
      </w:r>
      <w:proofErr w:type="spellStart"/>
      <w:r w:rsidRPr="00BF2E18">
        <w:t>končni</w:t>
      </w:r>
      <w:proofErr w:type="spellEnd"/>
      <w:r w:rsidRPr="00BF2E18">
        <w:t xml:space="preserve"> </w:t>
      </w:r>
      <w:proofErr w:type="spellStart"/>
      <w:r w:rsidRPr="00BF2E18">
        <w:t>fazi</w:t>
      </w:r>
      <w:proofErr w:type="spellEnd"/>
      <w:r w:rsidRPr="00BF2E18">
        <w:t xml:space="preserve"> v </w:t>
      </w:r>
      <w:proofErr w:type="spellStart"/>
      <w:r w:rsidRPr="00BF2E18">
        <w:t>manjše</w:t>
      </w:r>
      <w:proofErr w:type="spellEnd"/>
      <w:r w:rsidRPr="00BF2E18">
        <w:t xml:space="preserve"> </w:t>
      </w:r>
      <w:proofErr w:type="spellStart"/>
      <w:r w:rsidRPr="00BF2E18">
        <w:t>zanimanje</w:t>
      </w:r>
      <w:proofErr w:type="spellEnd"/>
      <w:r w:rsidRPr="00BF2E18">
        <w:t xml:space="preserve"> za </w:t>
      </w:r>
      <w:proofErr w:type="spellStart"/>
      <w:r w:rsidRPr="00BF2E18">
        <w:t>nadaljnje</w:t>
      </w:r>
      <w:proofErr w:type="spellEnd"/>
      <w:r w:rsidRPr="00BF2E18">
        <w:t xml:space="preserve"> </w:t>
      </w:r>
      <w:proofErr w:type="spellStart"/>
      <w:r w:rsidRPr="00BF2E18">
        <w:t>študije</w:t>
      </w:r>
      <w:proofErr w:type="spellEnd"/>
      <w:r w:rsidRPr="00BF2E18">
        <w:t xml:space="preserve"> in </w:t>
      </w:r>
      <w:proofErr w:type="spellStart"/>
      <w:r w:rsidRPr="00BF2E18">
        <w:t>kariero</w:t>
      </w:r>
      <w:proofErr w:type="spellEnd"/>
      <w:r w:rsidRPr="00BF2E18">
        <w:t xml:space="preserve"> v </w:t>
      </w:r>
      <w:proofErr w:type="spellStart"/>
      <w:r w:rsidRPr="00BF2E18">
        <w:t>znanosti</w:t>
      </w:r>
      <w:proofErr w:type="spellEnd"/>
      <w:r w:rsidRPr="00BF2E18">
        <w:t>.</w:t>
      </w:r>
    </w:p>
    <w:p w14:paraId="2750849D" w14:textId="57BCFCA6" w:rsidR="00E60302" w:rsidRDefault="00895FF2" w:rsidP="00895FF2">
      <w:pPr>
        <w:rPr>
          <w:lang w:val="sl-SI"/>
        </w:rPr>
      </w:pPr>
      <w:r>
        <w:rPr>
          <w:lang w:val="sl-SI"/>
        </w:rPr>
        <w:t xml:space="preserve">V raziskavi smo ugotovili, da </w:t>
      </w:r>
      <w:r w:rsidR="0002006A">
        <w:rPr>
          <w:lang w:val="sl-SI"/>
        </w:rPr>
        <w:t xml:space="preserve">imajo dijakinje blago predispozicijo do matematične </w:t>
      </w:r>
      <w:proofErr w:type="spellStart"/>
      <w:r w:rsidR="0002006A">
        <w:rPr>
          <w:lang w:val="sl-SI"/>
        </w:rPr>
        <w:t>anksioznosti</w:t>
      </w:r>
      <w:proofErr w:type="spellEnd"/>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0DE646F5" w:rsidR="003C3527" w:rsidRPr="00D06FB6" w:rsidRDefault="003C3527" w:rsidP="00895FF2">
      <w:pPr>
        <w:rPr>
          <w:color w:val="FF0000"/>
          <w:lang w:val="sl-SI"/>
        </w:rPr>
      </w:pPr>
      <w:r w:rsidRPr="00D06FB6">
        <w:rPr>
          <w:color w:val="FF0000"/>
          <w:lang w:val="sl-SI"/>
        </w:rPr>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w:t>
      </w:r>
      <w:r>
        <w:rPr>
          <w:lang w:val="sl-SI"/>
        </w:rPr>
        <w:lastRenderedPageBreak/>
        <w:t xml:space="preserve">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3" w:name="_Toc153108366"/>
      <w:r>
        <w:rPr>
          <w:lang w:val="sl-SI"/>
        </w:rPr>
        <w:t>Sklep</w:t>
      </w:r>
      <w:bookmarkEnd w:id="13"/>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4" w:name="_Toc153108367"/>
      <w:r>
        <w:rPr>
          <w:lang w:val="sl-SI"/>
        </w:rPr>
        <w:t>Literatura</w:t>
      </w:r>
      <w:bookmarkEnd w:id="14"/>
    </w:p>
    <w:p w14:paraId="4574608B" w14:textId="77777777" w:rsidR="00474B01" w:rsidRPr="00474B01" w:rsidRDefault="00936898" w:rsidP="00474B01">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474B01" w:rsidRPr="00474B01">
        <w:rPr>
          <w:rFonts w:ascii="Calibri" w:hAnsi="Calibri" w:cs="Calibri"/>
          <w:sz w:val="22"/>
        </w:rPr>
        <w:t xml:space="preserve">Ashcraft, M. H., &amp; Krause, J. A. (2007). Working memory, math performance, and math anxiety. </w:t>
      </w:r>
      <w:r w:rsidR="00474B01" w:rsidRPr="00474B01">
        <w:rPr>
          <w:rFonts w:ascii="Calibri" w:hAnsi="Calibri" w:cs="Calibri"/>
          <w:i/>
          <w:iCs/>
          <w:sz w:val="22"/>
        </w:rPr>
        <w:t>Psychonomic Bulletin &amp; Review</w:t>
      </w:r>
      <w:r w:rsidR="00474B01" w:rsidRPr="00474B01">
        <w:rPr>
          <w:rFonts w:ascii="Calibri" w:hAnsi="Calibri" w:cs="Calibri"/>
          <w:sz w:val="22"/>
        </w:rPr>
        <w:t xml:space="preserve">, </w:t>
      </w:r>
      <w:r w:rsidR="00474B01" w:rsidRPr="00474B01">
        <w:rPr>
          <w:rFonts w:ascii="Calibri" w:hAnsi="Calibri" w:cs="Calibri"/>
          <w:i/>
          <w:iCs/>
          <w:sz w:val="22"/>
        </w:rPr>
        <w:t>14</w:t>
      </w:r>
      <w:r w:rsidR="00474B01" w:rsidRPr="00474B01">
        <w:rPr>
          <w:rFonts w:ascii="Calibri" w:hAnsi="Calibri" w:cs="Calibri"/>
          <w:sz w:val="22"/>
        </w:rPr>
        <w:t>(2), 243–248. https://doi.org/10.3758/BF03194059</w:t>
      </w:r>
    </w:p>
    <w:p w14:paraId="1CA886E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Barroso, C., Ganley, C. M., McGraw, A. L., Geer, E. A., Hart, S. A., &amp; Daucourt, M. C. (2021). A meta-analysis of the relation between math anxiety and math achievement. </w:t>
      </w:r>
      <w:r w:rsidRPr="00474B01">
        <w:rPr>
          <w:rFonts w:ascii="Calibri" w:hAnsi="Calibri" w:cs="Calibri"/>
          <w:i/>
          <w:iCs/>
          <w:sz w:val="22"/>
        </w:rPr>
        <w:t>Psychological Bulletin</w:t>
      </w:r>
      <w:r w:rsidRPr="00474B01">
        <w:rPr>
          <w:rFonts w:ascii="Calibri" w:hAnsi="Calibri" w:cs="Calibri"/>
          <w:sz w:val="22"/>
        </w:rPr>
        <w:t xml:space="preserve">, </w:t>
      </w:r>
      <w:r w:rsidRPr="00474B01">
        <w:rPr>
          <w:rFonts w:ascii="Calibri" w:hAnsi="Calibri" w:cs="Calibri"/>
          <w:i/>
          <w:iCs/>
          <w:sz w:val="22"/>
        </w:rPr>
        <w:t>147</w:t>
      </w:r>
      <w:r w:rsidRPr="00474B01">
        <w:rPr>
          <w:rFonts w:ascii="Calibri" w:hAnsi="Calibri" w:cs="Calibri"/>
          <w:sz w:val="22"/>
        </w:rPr>
        <w:t>(2), 134–168. https://doi.org/10.1037/bul0000307</w:t>
      </w:r>
    </w:p>
    <w:p w14:paraId="084CB7B9"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Beasley, T. M., Long, J. D., &amp; Natali, M. (2001). A Confirmatory Factor Analysis of the Mathematics Anxiety Scale for Children. </w:t>
      </w:r>
      <w:r w:rsidRPr="00474B01">
        <w:rPr>
          <w:rFonts w:ascii="Calibri" w:hAnsi="Calibri" w:cs="Calibri"/>
          <w:i/>
          <w:iCs/>
          <w:sz w:val="22"/>
        </w:rPr>
        <w:t>Measurement and Evaluation in Counseling and Development</w:t>
      </w:r>
      <w:r w:rsidRPr="00474B01">
        <w:rPr>
          <w:rFonts w:ascii="Calibri" w:hAnsi="Calibri" w:cs="Calibri"/>
          <w:sz w:val="22"/>
        </w:rPr>
        <w:t xml:space="preserve">, </w:t>
      </w:r>
      <w:r w:rsidRPr="00474B01">
        <w:rPr>
          <w:rFonts w:ascii="Calibri" w:hAnsi="Calibri" w:cs="Calibri"/>
          <w:i/>
          <w:iCs/>
          <w:sz w:val="22"/>
        </w:rPr>
        <w:t>34</w:t>
      </w:r>
      <w:r w:rsidRPr="00474B01">
        <w:rPr>
          <w:rFonts w:ascii="Calibri" w:hAnsi="Calibri" w:cs="Calibri"/>
          <w:sz w:val="22"/>
        </w:rPr>
        <w:t>(1), 14–26. https://doi.org/10.1080/07481756.2001.12069019</w:t>
      </w:r>
    </w:p>
    <w:p w14:paraId="0230D93A"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Bregant, B. (2023). </w:t>
      </w:r>
      <w:r w:rsidRPr="00474B01">
        <w:rPr>
          <w:rFonts w:ascii="Calibri" w:hAnsi="Calibri" w:cs="Calibri"/>
          <w:i/>
          <w:iCs/>
          <w:sz w:val="22"/>
        </w:rPr>
        <w:t>Tandem learning: Student dataset</w:t>
      </w:r>
      <w:r w:rsidRPr="00474B01">
        <w:rPr>
          <w:rFonts w:ascii="Calibri" w:hAnsi="Calibri" w:cs="Calibri"/>
          <w:sz w:val="22"/>
        </w:rPr>
        <w:t xml:space="preserve"> (1.0) [dataset]. GitHub. https://github.com/borbregant/ai_tandem_learning</w:t>
      </w:r>
    </w:p>
    <w:p w14:paraId="270A2F35"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474B01">
        <w:rPr>
          <w:rFonts w:ascii="Calibri" w:hAnsi="Calibri" w:cs="Calibri"/>
          <w:i/>
          <w:iCs/>
          <w:sz w:val="22"/>
        </w:rPr>
        <w:t>Educational Psychology Review</w:t>
      </w:r>
      <w:r w:rsidRPr="00474B01">
        <w:rPr>
          <w:rFonts w:ascii="Calibri" w:hAnsi="Calibri" w:cs="Calibri"/>
          <w:sz w:val="22"/>
        </w:rPr>
        <w:t xml:space="preserve">, </w:t>
      </w:r>
      <w:r w:rsidRPr="00474B01">
        <w:rPr>
          <w:rFonts w:ascii="Calibri" w:hAnsi="Calibri" w:cs="Calibri"/>
          <w:i/>
          <w:iCs/>
          <w:sz w:val="22"/>
        </w:rPr>
        <w:t>34</w:t>
      </w:r>
      <w:r w:rsidRPr="00474B01">
        <w:rPr>
          <w:rFonts w:ascii="Calibri" w:hAnsi="Calibri" w:cs="Calibri"/>
          <w:sz w:val="22"/>
        </w:rPr>
        <w:t>(1), 363–399. https://doi.org/10.1007/s10648-021-09618-5</w:t>
      </w:r>
    </w:p>
    <w:p w14:paraId="4CC1D361"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474B01">
        <w:rPr>
          <w:rFonts w:ascii="Calibri" w:hAnsi="Calibri" w:cs="Calibri"/>
          <w:i/>
          <w:iCs/>
          <w:sz w:val="22"/>
        </w:rPr>
        <w:lastRenderedPageBreak/>
        <w:t>Journal of Experimental Child Psychology</w:t>
      </w:r>
      <w:r w:rsidRPr="00474B01">
        <w:rPr>
          <w:rFonts w:ascii="Calibri" w:hAnsi="Calibri" w:cs="Calibri"/>
          <w:sz w:val="22"/>
        </w:rPr>
        <w:t xml:space="preserve">, </w:t>
      </w:r>
      <w:r w:rsidRPr="00474B01">
        <w:rPr>
          <w:rFonts w:ascii="Calibri" w:hAnsi="Calibri" w:cs="Calibri"/>
          <w:i/>
          <w:iCs/>
          <w:sz w:val="22"/>
        </w:rPr>
        <w:t>233</w:t>
      </w:r>
      <w:r w:rsidRPr="00474B01">
        <w:rPr>
          <w:rFonts w:ascii="Calibri" w:hAnsi="Calibri" w:cs="Calibri"/>
          <w:sz w:val="22"/>
        </w:rPr>
        <w:t>, 105688. https://doi.org/10.1016/j.jecp.2023.105688</w:t>
      </w:r>
    </w:p>
    <w:p w14:paraId="42D719E3"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Devine, A., Fawcett, K., Szűcs, D., &amp; Dowker, A. (2012). Gender differences in mathematics anxiety and the relation to mathematics performance while controlling for test anxiety. </w:t>
      </w:r>
      <w:r w:rsidRPr="00474B01">
        <w:rPr>
          <w:rFonts w:ascii="Calibri" w:hAnsi="Calibri" w:cs="Calibri"/>
          <w:i/>
          <w:iCs/>
          <w:sz w:val="22"/>
        </w:rPr>
        <w:t>Behavioral and Brain Functions</w:t>
      </w:r>
      <w:r w:rsidRPr="00474B01">
        <w:rPr>
          <w:rFonts w:ascii="Calibri" w:hAnsi="Calibri" w:cs="Calibri"/>
          <w:sz w:val="22"/>
        </w:rPr>
        <w:t xml:space="preserve">, </w:t>
      </w:r>
      <w:r w:rsidRPr="00474B01">
        <w:rPr>
          <w:rFonts w:ascii="Calibri" w:hAnsi="Calibri" w:cs="Calibri"/>
          <w:i/>
          <w:iCs/>
          <w:sz w:val="22"/>
        </w:rPr>
        <w:t>8</w:t>
      </w:r>
      <w:r w:rsidRPr="00474B01">
        <w:rPr>
          <w:rFonts w:ascii="Calibri" w:hAnsi="Calibri" w:cs="Calibri"/>
          <w:sz w:val="22"/>
        </w:rPr>
        <w:t>(1), 33. https://doi.org/10.1186/1744-9081-8-33</w:t>
      </w:r>
    </w:p>
    <w:p w14:paraId="5108F7A6"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Doz, E., Cuder, A., Pellizzoni, S., Carretti, B., &amp; Passolunghi, M. C. (2023). Arithmetic Word Problem-Solving and Math Anxiety: The Role of Perceived Difficulty and Gender. </w:t>
      </w:r>
      <w:r w:rsidRPr="00474B01">
        <w:rPr>
          <w:rFonts w:ascii="Calibri" w:hAnsi="Calibri" w:cs="Calibri"/>
          <w:i/>
          <w:iCs/>
          <w:sz w:val="22"/>
        </w:rPr>
        <w:t>Journal of Cognition and Development</w:t>
      </w:r>
      <w:r w:rsidRPr="00474B01">
        <w:rPr>
          <w:rFonts w:ascii="Calibri" w:hAnsi="Calibri" w:cs="Calibri"/>
          <w:sz w:val="22"/>
        </w:rPr>
        <w:t xml:space="preserve">, </w:t>
      </w:r>
      <w:r w:rsidRPr="00474B01">
        <w:rPr>
          <w:rFonts w:ascii="Calibri" w:hAnsi="Calibri" w:cs="Calibri"/>
          <w:i/>
          <w:iCs/>
          <w:sz w:val="22"/>
        </w:rPr>
        <w:t>24</w:t>
      </w:r>
      <w:r w:rsidRPr="00474B01">
        <w:rPr>
          <w:rFonts w:ascii="Calibri" w:hAnsi="Calibri" w:cs="Calibri"/>
          <w:sz w:val="22"/>
        </w:rPr>
        <w:t>(4), 598–616. https://doi.org/10.1080/15248372.2023.2186692</w:t>
      </w:r>
    </w:p>
    <w:p w14:paraId="60118181"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Dreger, R. M., &amp; Aiken, L. R. (1957). The identification of number anxiety in a college population. </w:t>
      </w:r>
      <w:r w:rsidRPr="00474B01">
        <w:rPr>
          <w:rFonts w:ascii="Calibri" w:hAnsi="Calibri" w:cs="Calibri"/>
          <w:i/>
          <w:iCs/>
          <w:sz w:val="22"/>
        </w:rPr>
        <w:t>Journal of Educational Psychology</w:t>
      </w:r>
      <w:r w:rsidRPr="00474B01">
        <w:rPr>
          <w:rFonts w:ascii="Calibri" w:hAnsi="Calibri" w:cs="Calibri"/>
          <w:sz w:val="22"/>
        </w:rPr>
        <w:t xml:space="preserve">, </w:t>
      </w:r>
      <w:r w:rsidRPr="00474B01">
        <w:rPr>
          <w:rFonts w:ascii="Calibri" w:hAnsi="Calibri" w:cs="Calibri"/>
          <w:i/>
          <w:iCs/>
          <w:sz w:val="22"/>
        </w:rPr>
        <w:t>48</w:t>
      </w:r>
      <w:r w:rsidRPr="00474B01">
        <w:rPr>
          <w:rFonts w:ascii="Calibri" w:hAnsi="Calibri" w:cs="Calibri"/>
          <w:sz w:val="22"/>
        </w:rPr>
        <w:t>(6), 344–351. https://doi.org/10.1037/h0045894</w:t>
      </w:r>
    </w:p>
    <w:p w14:paraId="1AA228C7"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474B01">
        <w:rPr>
          <w:rFonts w:ascii="Calibri" w:hAnsi="Calibri" w:cs="Calibri"/>
          <w:i/>
          <w:iCs/>
          <w:sz w:val="22"/>
        </w:rPr>
        <w:t>SAGE Open</w:t>
      </w:r>
      <w:r w:rsidRPr="00474B01">
        <w:rPr>
          <w:rFonts w:ascii="Calibri" w:hAnsi="Calibri" w:cs="Calibri"/>
          <w:sz w:val="22"/>
        </w:rPr>
        <w:t xml:space="preserve">, </w:t>
      </w:r>
      <w:r w:rsidRPr="00474B01">
        <w:rPr>
          <w:rFonts w:ascii="Calibri" w:hAnsi="Calibri" w:cs="Calibri"/>
          <w:i/>
          <w:iCs/>
          <w:sz w:val="22"/>
        </w:rPr>
        <w:t>10</w:t>
      </w:r>
      <w:r w:rsidRPr="00474B01">
        <w:rPr>
          <w:rFonts w:ascii="Calibri" w:hAnsi="Calibri" w:cs="Calibri"/>
          <w:sz w:val="22"/>
        </w:rPr>
        <w:t>(1), 215824401989908. https://doi.org/10.1177/2158244019899089</w:t>
      </w:r>
    </w:p>
    <w:p w14:paraId="5A0317E2"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474B01">
        <w:rPr>
          <w:rFonts w:ascii="Calibri" w:hAnsi="Calibri" w:cs="Calibri"/>
          <w:i/>
          <w:iCs/>
          <w:sz w:val="22"/>
        </w:rPr>
        <w:t>International Journal of STEM Education</w:t>
      </w:r>
      <w:r w:rsidRPr="00474B01">
        <w:rPr>
          <w:rFonts w:ascii="Calibri" w:hAnsi="Calibri" w:cs="Calibri"/>
          <w:sz w:val="22"/>
        </w:rPr>
        <w:t xml:space="preserve">, </w:t>
      </w:r>
      <w:r w:rsidRPr="00474B01">
        <w:rPr>
          <w:rFonts w:ascii="Calibri" w:hAnsi="Calibri" w:cs="Calibri"/>
          <w:i/>
          <w:iCs/>
          <w:sz w:val="22"/>
        </w:rPr>
        <w:t>8</w:t>
      </w:r>
      <w:r w:rsidRPr="00474B01">
        <w:rPr>
          <w:rFonts w:ascii="Calibri" w:hAnsi="Calibri" w:cs="Calibri"/>
          <w:sz w:val="22"/>
        </w:rPr>
        <w:t>(1), 52. https://doi.org/10.1186/s40594-021-00307-x</w:t>
      </w:r>
    </w:p>
    <w:p w14:paraId="43B81EC8"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Hedges, L. V., &amp; Nowell, A. (1995). Sex Differences in Mental Test Scores, Variability, and Numbers of High-Scoring Individuals. </w:t>
      </w:r>
      <w:r w:rsidRPr="00474B01">
        <w:rPr>
          <w:rFonts w:ascii="Calibri" w:hAnsi="Calibri" w:cs="Calibri"/>
          <w:i/>
          <w:iCs/>
          <w:sz w:val="22"/>
        </w:rPr>
        <w:t>Science</w:t>
      </w:r>
      <w:r w:rsidRPr="00474B01">
        <w:rPr>
          <w:rFonts w:ascii="Calibri" w:hAnsi="Calibri" w:cs="Calibri"/>
          <w:sz w:val="22"/>
        </w:rPr>
        <w:t xml:space="preserve">, </w:t>
      </w:r>
      <w:r w:rsidRPr="00474B01">
        <w:rPr>
          <w:rFonts w:ascii="Calibri" w:hAnsi="Calibri" w:cs="Calibri"/>
          <w:i/>
          <w:iCs/>
          <w:sz w:val="22"/>
        </w:rPr>
        <w:t>269</w:t>
      </w:r>
      <w:r w:rsidRPr="00474B01">
        <w:rPr>
          <w:rFonts w:ascii="Calibri" w:hAnsi="Calibri" w:cs="Calibri"/>
          <w:sz w:val="22"/>
        </w:rPr>
        <w:t>(5220), 41–45. https://doi.org/10.1126/science.7604277</w:t>
      </w:r>
    </w:p>
    <w:p w14:paraId="0981A4C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Hopko, D. R., Mahadevan, R., Bare, R. L., &amp; Hunt, M. K. (2003). The Abbreviated Math Anxiety Scale (AMAS): Construction, Validity, and Reliability. </w:t>
      </w:r>
      <w:r w:rsidRPr="00474B01">
        <w:rPr>
          <w:rFonts w:ascii="Calibri" w:hAnsi="Calibri" w:cs="Calibri"/>
          <w:i/>
          <w:iCs/>
          <w:sz w:val="22"/>
        </w:rPr>
        <w:t>Assessment</w:t>
      </w:r>
      <w:r w:rsidRPr="00474B01">
        <w:rPr>
          <w:rFonts w:ascii="Calibri" w:hAnsi="Calibri" w:cs="Calibri"/>
          <w:sz w:val="22"/>
        </w:rPr>
        <w:t xml:space="preserve">, </w:t>
      </w:r>
      <w:r w:rsidRPr="00474B01">
        <w:rPr>
          <w:rFonts w:ascii="Calibri" w:hAnsi="Calibri" w:cs="Calibri"/>
          <w:i/>
          <w:iCs/>
          <w:sz w:val="22"/>
        </w:rPr>
        <w:t>10</w:t>
      </w:r>
      <w:r w:rsidRPr="00474B01">
        <w:rPr>
          <w:rFonts w:ascii="Calibri" w:hAnsi="Calibri" w:cs="Calibri"/>
          <w:sz w:val="22"/>
        </w:rPr>
        <w:t>(2), 178–182. https://doi.org/10.1177/1073191103010002008</w:t>
      </w:r>
    </w:p>
    <w:p w14:paraId="4D9BB3D2"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Hyde, J. S., Fennema, E., Ryan, M., Frost, L. A., &amp; Hopp, C. (1990). Gender Comparisons of Mathematics Attitudes and Affect: A Meta-Analysis. </w:t>
      </w:r>
      <w:r w:rsidRPr="00474B01">
        <w:rPr>
          <w:rFonts w:ascii="Calibri" w:hAnsi="Calibri" w:cs="Calibri"/>
          <w:i/>
          <w:iCs/>
          <w:sz w:val="22"/>
        </w:rPr>
        <w:t>Psychology of Women Quarterly</w:t>
      </w:r>
      <w:r w:rsidRPr="00474B01">
        <w:rPr>
          <w:rFonts w:ascii="Calibri" w:hAnsi="Calibri" w:cs="Calibri"/>
          <w:sz w:val="22"/>
        </w:rPr>
        <w:t xml:space="preserve">, </w:t>
      </w:r>
      <w:r w:rsidRPr="00474B01">
        <w:rPr>
          <w:rFonts w:ascii="Calibri" w:hAnsi="Calibri" w:cs="Calibri"/>
          <w:i/>
          <w:iCs/>
          <w:sz w:val="22"/>
        </w:rPr>
        <w:t>14</w:t>
      </w:r>
      <w:r w:rsidRPr="00474B01">
        <w:rPr>
          <w:rFonts w:ascii="Calibri" w:hAnsi="Calibri" w:cs="Calibri"/>
          <w:sz w:val="22"/>
        </w:rPr>
        <w:t>(3), 299–324. https://doi.org/10.1111/j.1471-6402.1990.tb00022.x</w:t>
      </w:r>
    </w:p>
    <w:p w14:paraId="694E6258"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lastRenderedPageBreak/>
        <w:t xml:space="preserve">Jansen, B. R. J., Louwerse, J., Straatemeier, M., Van Der Ven, S. H. G., Klinkenberg, S., &amp; Van Der Maas, H. L. J. (2013). The influence of experiencing success in math on math anxiety, perceived math competence, and math performance. </w:t>
      </w:r>
      <w:r w:rsidRPr="00474B01">
        <w:rPr>
          <w:rFonts w:ascii="Calibri" w:hAnsi="Calibri" w:cs="Calibri"/>
          <w:i/>
          <w:iCs/>
          <w:sz w:val="22"/>
        </w:rPr>
        <w:t>Learning and Individual Differences</w:t>
      </w:r>
      <w:r w:rsidRPr="00474B01">
        <w:rPr>
          <w:rFonts w:ascii="Calibri" w:hAnsi="Calibri" w:cs="Calibri"/>
          <w:sz w:val="22"/>
        </w:rPr>
        <w:t xml:space="preserve">, </w:t>
      </w:r>
      <w:r w:rsidRPr="00474B01">
        <w:rPr>
          <w:rFonts w:ascii="Calibri" w:hAnsi="Calibri" w:cs="Calibri"/>
          <w:i/>
          <w:iCs/>
          <w:sz w:val="22"/>
        </w:rPr>
        <w:t>24</w:t>
      </w:r>
      <w:r w:rsidRPr="00474B01">
        <w:rPr>
          <w:rFonts w:ascii="Calibri" w:hAnsi="Calibri" w:cs="Calibri"/>
          <w:sz w:val="22"/>
        </w:rPr>
        <w:t>, 190–197. https://doi.org/10.1016/j.lindif.2012.12.014</w:t>
      </w:r>
    </w:p>
    <w:p w14:paraId="7F1FA8C0"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Li, Q., Cho, H., Cosso, J., &amp; Maeda, Y. (2021). Relations Between Students’ Mathematics Anxiety and Motivation to Learn Mathematics: A Meta-Analysis. </w:t>
      </w:r>
      <w:r w:rsidRPr="00474B01">
        <w:rPr>
          <w:rFonts w:ascii="Calibri" w:hAnsi="Calibri" w:cs="Calibri"/>
          <w:i/>
          <w:iCs/>
          <w:sz w:val="22"/>
        </w:rPr>
        <w:t>Educational Psychology Review</w:t>
      </w:r>
      <w:r w:rsidRPr="00474B01">
        <w:rPr>
          <w:rFonts w:ascii="Calibri" w:hAnsi="Calibri" w:cs="Calibri"/>
          <w:sz w:val="22"/>
        </w:rPr>
        <w:t xml:space="preserve">, </w:t>
      </w:r>
      <w:r w:rsidRPr="00474B01">
        <w:rPr>
          <w:rFonts w:ascii="Calibri" w:hAnsi="Calibri" w:cs="Calibri"/>
          <w:i/>
          <w:iCs/>
          <w:sz w:val="22"/>
        </w:rPr>
        <w:t>33</w:t>
      </w:r>
      <w:r w:rsidRPr="00474B01">
        <w:rPr>
          <w:rFonts w:ascii="Calibri" w:hAnsi="Calibri" w:cs="Calibri"/>
          <w:sz w:val="22"/>
        </w:rPr>
        <w:t>(3), 1017–1049. https://doi.org/10.1007/s10648-020-09589-z</w:t>
      </w:r>
    </w:p>
    <w:p w14:paraId="7C99C555"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Lim, S. Y., &amp; Chapman, E. (2013). Development of a short form of the attitudes toward mathematics inventory. </w:t>
      </w:r>
      <w:r w:rsidRPr="00474B01">
        <w:rPr>
          <w:rFonts w:ascii="Calibri" w:hAnsi="Calibri" w:cs="Calibri"/>
          <w:i/>
          <w:iCs/>
          <w:sz w:val="22"/>
        </w:rPr>
        <w:t>Educational Studies in Mathematics</w:t>
      </w:r>
      <w:r w:rsidRPr="00474B01">
        <w:rPr>
          <w:rFonts w:ascii="Calibri" w:hAnsi="Calibri" w:cs="Calibri"/>
          <w:sz w:val="22"/>
        </w:rPr>
        <w:t xml:space="preserve">, </w:t>
      </w:r>
      <w:r w:rsidRPr="00474B01">
        <w:rPr>
          <w:rFonts w:ascii="Calibri" w:hAnsi="Calibri" w:cs="Calibri"/>
          <w:i/>
          <w:iCs/>
          <w:sz w:val="22"/>
        </w:rPr>
        <w:t>82</w:t>
      </w:r>
      <w:r w:rsidRPr="00474B01">
        <w:rPr>
          <w:rFonts w:ascii="Calibri" w:hAnsi="Calibri" w:cs="Calibri"/>
          <w:sz w:val="22"/>
        </w:rPr>
        <w:t>(1), 145–164. https://doi.org/10.1007/s10649-012-9414-x</w:t>
      </w:r>
    </w:p>
    <w:p w14:paraId="32344A30"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Lutovac, S. (2008). Matematična anksioznost. </w:t>
      </w:r>
      <w:r w:rsidRPr="00474B01">
        <w:rPr>
          <w:rFonts w:ascii="Calibri" w:hAnsi="Calibri" w:cs="Calibri"/>
          <w:i/>
          <w:iCs/>
          <w:sz w:val="22"/>
        </w:rPr>
        <w:t>Journal of Elementary Education</w:t>
      </w:r>
      <w:r w:rsidRPr="00474B01">
        <w:rPr>
          <w:rFonts w:ascii="Calibri" w:hAnsi="Calibri" w:cs="Calibri"/>
          <w:sz w:val="22"/>
        </w:rPr>
        <w:t xml:space="preserve">, </w:t>
      </w:r>
      <w:r w:rsidRPr="00474B01">
        <w:rPr>
          <w:rFonts w:ascii="Calibri" w:hAnsi="Calibri" w:cs="Calibri"/>
          <w:i/>
          <w:iCs/>
          <w:sz w:val="22"/>
        </w:rPr>
        <w:t>1</w:t>
      </w:r>
      <w:r w:rsidRPr="00474B01">
        <w:rPr>
          <w:rFonts w:ascii="Calibri" w:hAnsi="Calibri" w:cs="Calibri"/>
          <w:sz w:val="22"/>
        </w:rPr>
        <w:t>(1/2), Article 1/2.</w:t>
      </w:r>
    </w:p>
    <w:p w14:paraId="1B0ED41A"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Ministrstvo za vzgojo in izobraževanje RS, &amp; Pedagoški inštitut. (2023). </w:t>
      </w:r>
      <w:r w:rsidRPr="00474B01">
        <w:rPr>
          <w:rFonts w:ascii="Calibri" w:hAnsi="Calibri" w:cs="Calibri"/>
          <w:i/>
          <w:iCs/>
          <w:sz w:val="22"/>
        </w:rPr>
        <w:t>Znani rezultati mednarodne raziskave bralne, matematične in naravoslovne pismenosti PISA 2022</w:t>
      </w:r>
      <w:r w:rsidRPr="00474B01">
        <w:rPr>
          <w:rFonts w:ascii="Calibri" w:hAnsi="Calibri" w:cs="Calibri"/>
          <w:sz w:val="22"/>
        </w:rPr>
        <w:t>. Portal GOV.SI. https://www.gov.si/novice/2023-12-05-znani-rezultati-mednarodne-raziskave-bralne-matematicne-in-naravoslovne-pismenosti-pisa-2022/</w:t>
      </w:r>
    </w:p>
    <w:p w14:paraId="22EBB9E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474B01">
        <w:rPr>
          <w:rFonts w:ascii="Calibri" w:hAnsi="Calibri" w:cs="Calibri"/>
          <w:i/>
          <w:iCs/>
          <w:sz w:val="22"/>
        </w:rPr>
        <w:t>Frontiers in Psychology</w:t>
      </w:r>
      <w:r w:rsidRPr="00474B01">
        <w:rPr>
          <w:rFonts w:ascii="Calibri" w:hAnsi="Calibri" w:cs="Calibri"/>
          <w:sz w:val="22"/>
        </w:rPr>
        <w:t xml:space="preserve">, </w:t>
      </w:r>
      <w:r w:rsidRPr="00474B01">
        <w:rPr>
          <w:rFonts w:ascii="Calibri" w:hAnsi="Calibri" w:cs="Calibri"/>
          <w:i/>
          <w:iCs/>
          <w:sz w:val="22"/>
        </w:rPr>
        <w:t>14</w:t>
      </w:r>
      <w:r w:rsidRPr="00474B01">
        <w:rPr>
          <w:rFonts w:ascii="Calibri" w:hAnsi="Calibri" w:cs="Calibri"/>
          <w:sz w:val="22"/>
        </w:rPr>
        <w:t>, 1185677. https://doi.org/10.3389/fpsyg.2023.1185677</w:t>
      </w:r>
    </w:p>
    <w:p w14:paraId="4848495B" w14:textId="77777777" w:rsidR="00474B01" w:rsidRPr="00474B01" w:rsidRDefault="00474B01" w:rsidP="00474B01">
      <w:pPr>
        <w:pStyle w:val="Bibliography"/>
        <w:rPr>
          <w:rFonts w:ascii="Calibri" w:hAnsi="Calibri" w:cs="Calibri"/>
          <w:sz w:val="22"/>
        </w:rPr>
      </w:pPr>
      <w:r w:rsidRPr="00474B01">
        <w:rPr>
          <w:rFonts w:ascii="Calibri" w:hAnsi="Calibri" w:cs="Calibri"/>
          <w:i/>
          <w:iCs/>
          <w:sz w:val="22"/>
        </w:rPr>
        <w:t>PsyToolkit</w:t>
      </w:r>
      <w:r w:rsidRPr="00474B01">
        <w:rPr>
          <w:rFonts w:ascii="Calibri" w:hAnsi="Calibri" w:cs="Calibri"/>
          <w:sz w:val="22"/>
        </w:rPr>
        <w:t>. (b. d.). Pridobljeno 4. november 2023, s https://www.psytoolkit.org/index.html</w:t>
      </w:r>
    </w:p>
    <w:p w14:paraId="183311D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Richardson, F. C., &amp; Suinn, R. M. (1972). The Mathematics Anxiety Rating Scale: Psychometric data. </w:t>
      </w:r>
      <w:r w:rsidRPr="00474B01">
        <w:rPr>
          <w:rFonts w:ascii="Calibri" w:hAnsi="Calibri" w:cs="Calibri"/>
          <w:i/>
          <w:iCs/>
          <w:sz w:val="22"/>
        </w:rPr>
        <w:t>Journal of Counseling Psychology</w:t>
      </w:r>
      <w:r w:rsidRPr="00474B01">
        <w:rPr>
          <w:rFonts w:ascii="Calibri" w:hAnsi="Calibri" w:cs="Calibri"/>
          <w:sz w:val="22"/>
        </w:rPr>
        <w:t xml:space="preserve">, </w:t>
      </w:r>
      <w:r w:rsidRPr="00474B01">
        <w:rPr>
          <w:rFonts w:ascii="Calibri" w:hAnsi="Calibri" w:cs="Calibri"/>
          <w:i/>
          <w:iCs/>
          <w:sz w:val="22"/>
        </w:rPr>
        <w:t>19</w:t>
      </w:r>
      <w:r w:rsidRPr="00474B01">
        <w:rPr>
          <w:rFonts w:ascii="Calibri" w:hAnsi="Calibri" w:cs="Calibri"/>
          <w:sz w:val="22"/>
        </w:rPr>
        <w:t>(6), 551–554. https://doi.org/10.1037/h0033456</w:t>
      </w:r>
    </w:p>
    <w:p w14:paraId="7A40EAAD"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Rodríguez, S., Regueiro, B., Piñeiro, I., Valle, A., Sánchez, B., Vieites, T., &amp; Rodríguez-Llorente, C. (2020). Success in Mathematics and Academic Wellbeing in Primary-School Students. </w:t>
      </w:r>
      <w:r w:rsidRPr="00474B01">
        <w:rPr>
          <w:rFonts w:ascii="Calibri" w:hAnsi="Calibri" w:cs="Calibri"/>
          <w:i/>
          <w:iCs/>
          <w:sz w:val="22"/>
        </w:rPr>
        <w:t>Sustainability</w:t>
      </w:r>
      <w:r w:rsidRPr="00474B01">
        <w:rPr>
          <w:rFonts w:ascii="Calibri" w:hAnsi="Calibri" w:cs="Calibri"/>
          <w:sz w:val="22"/>
        </w:rPr>
        <w:t xml:space="preserve">, </w:t>
      </w:r>
      <w:r w:rsidRPr="00474B01">
        <w:rPr>
          <w:rFonts w:ascii="Calibri" w:hAnsi="Calibri" w:cs="Calibri"/>
          <w:i/>
          <w:iCs/>
          <w:sz w:val="22"/>
        </w:rPr>
        <w:t>12</w:t>
      </w:r>
      <w:r w:rsidRPr="00474B01">
        <w:rPr>
          <w:rFonts w:ascii="Calibri" w:hAnsi="Calibri" w:cs="Calibri"/>
          <w:sz w:val="22"/>
        </w:rPr>
        <w:t>(9), 3796. https://doi.org/10.3390/su12093796</w:t>
      </w:r>
    </w:p>
    <w:p w14:paraId="2777F32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lastRenderedPageBreak/>
        <w:t xml:space="preserve">Rossi, S., Xenidou‐Dervou, I., Simsek, E., Artemenko, C., Daroczy, G., Nuerk, H., &amp; Cipora, K. (2022). Mathematics–gender stereotype endorsement influences mathematics anxiety, self‐concept, and performance differently in men and women. </w:t>
      </w:r>
      <w:r w:rsidRPr="00474B01">
        <w:rPr>
          <w:rFonts w:ascii="Calibri" w:hAnsi="Calibri" w:cs="Calibri"/>
          <w:i/>
          <w:iCs/>
          <w:sz w:val="22"/>
        </w:rPr>
        <w:t>Annals of the New York Academy of Sciences</w:t>
      </w:r>
      <w:r w:rsidRPr="00474B01">
        <w:rPr>
          <w:rFonts w:ascii="Calibri" w:hAnsi="Calibri" w:cs="Calibri"/>
          <w:sz w:val="22"/>
        </w:rPr>
        <w:t xml:space="preserve">, </w:t>
      </w:r>
      <w:r w:rsidRPr="00474B01">
        <w:rPr>
          <w:rFonts w:ascii="Calibri" w:hAnsi="Calibri" w:cs="Calibri"/>
          <w:i/>
          <w:iCs/>
          <w:sz w:val="22"/>
        </w:rPr>
        <w:t>1513</w:t>
      </w:r>
      <w:r w:rsidRPr="00474B01">
        <w:rPr>
          <w:rFonts w:ascii="Calibri" w:hAnsi="Calibri" w:cs="Calibri"/>
          <w:sz w:val="22"/>
        </w:rPr>
        <w:t>(1), 121–139. https://doi.org/10.1111/nyas.14779</w:t>
      </w:r>
    </w:p>
    <w:p w14:paraId="3FB8B06F"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474B01">
        <w:rPr>
          <w:rFonts w:ascii="Calibri" w:hAnsi="Calibri" w:cs="Calibri"/>
          <w:i/>
          <w:iCs/>
          <w:sz w:val="22"/>
        </w:rPr>
        <w:t>Community College Journal of Research and Practice</w:t>
      </w:r>
      <w:r w:rsidRPr="00474B01">
        <w:rPr>
          <w:rFonts w:ascii="Calibri" w:hAnsi="Calibri" w:cs="Calibri"/>
          <w:sz w:val="22"/>
        </w:rPr>
        <w:t xml:space="preserve">, </w:t>
      </w:r>
      <w:r w:rsidRPr="00474B01">
        <w:rPr>
          <w:rFonts w:ascii="Calibri" w:hAnsi="Calibri" w:cs="Calibri"/>
          <w:i/>
          <w:iCs/>
          <w:sz w:val="22"/>
        </w:rPr>
        <w:t>45</w:t>
      </w:r>
      <w:r w:rsidRPr="00474B01">
        <w:rPr>
          <w:rFonts w:ascii="Calibri" w:hAnsi="Calibri" w:cs="Calibri"/>
          <w:sz w:val="22"/>
        </w:rPr>
        <w:t>(3), 205–222. https://doi.org/10.1080/10668926.2019.1666063</w:t>
      </w:r>
    </w:p>
    <w:p w14:paraId="2B5556CF"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Shores, M. L., &amp; Shannon, D. M. (2007). The Effects of Self‐Regulation, Motivation, Anxiety, and Attributions on Mathematics Achievement for Fifth and Sixth Grade Students. </w:t>
      </w:r>
      <w:r w:rsidRPr="00474B01">
        <w:rPr>
          <w:rFonts w:ascii="Calibri" w:hAnsi="Calibri" w:cs="Calibri"/>
          <w:i/>
          <w:iCs/>
          <w:sz w:val="22"/>
        </w:rPr>
        <w:t>School Science and Mathematics</w:t>
      </w:r>
      <w:r w:rsidRPr="00474B01">
        <w:rPr>
          <w:rFonts w:ascii="Calibri" w:hAnsi="Calibri" w:cs="Calibri"/>
          <w:sz w:val="22"/>
        </w:rPr>
        <w:t xml:space="preserve">, </w:t>
      </w:r>
      <w:r w:rsidRPr="00474B01">
        <w:rPr>
          <w:rFonts w:ascii="Calibri" w:hAnsi="Calibri" w:cs="Calibri"/>
          <w:i/>
          <w:iCs/>
          <w:sz w:val="22"/>
        </w:rPr>
        <w:t>107</w:t>
      </w:r>
      <w:r w:rsidRPr="00474B01">
        <w:rPr>
          <w:rFonts w:ascii="Calibri" w:hAnsi="Calibri" w:cs="Calibri"/>
          <w:sz w:val="22"/>
        </w:rPr>
        <w:t>(6), 225–236. https://doi.org/10.1111/j.1949-8594.2007.tb18284.x</w:t>
      </w:r>
    </w:p>
    <w:p w14:paraId="03F01DC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474B01">
        <w:rPr>
          <w:rFonts w:ascii="Calibri" w:hAnsi="Calibri" w:cs="Calibri"/>
          <w:i/>
          <w:iCs/>
          <w:sz w:val="22"/>
        </w:rPr>
        <w:t>Numeracy</w:t>
      </w:r>
      <w:r w:rsidRPr="00474B01">
        <w:rPr>
          <w:rFonts w:ascii="Calibri" w:hAnsi="Calibri" w:cs="Calibri"/>
          <w:sz w:val="22"/>
        </w:rPr>
        <w:t xml:space="preserve">, </w:t>
      </w:r>
      <w:r w:rsidRPr="00474B01">
        <w:rPr>
          <w:rFonts w:ascii="Calibri" w:hAnsi="Calibri" w:cs="Calibri"/>
          <w:i/>
          <w:iCs/>
          <w:sz w:val="22"/>
        </w:rPr>
        <w:t>5</w:t>
      </w:r>
      <w:r w:rsidRPr="00474B01">
        <w:rPr>
          <w:rFonts w:ascii="Calibri" w:hAnsi="Calibri" w:cs="Calibri"/>
          <w:sz w:val="22"/>
        </w:rPr>
        <w:t>(1). https://doi.org/10.5038/1936-4660.5.1.4</w:t>
      </w:r>
    </w:p>
    <w:p w14:paraId="2DB39903"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Szczygieł, M. (2022). Math Attitude and Math Anxiety of STEM Students Needs More Attention. </w:t>
      </w:r>
      <w:r w:rsidRPr="00474B01">
        <w:rPr>
          <w:rFonts w:ascii="Calibri" w:hAnsi="Calibri" w:cs="Calibri"/>
          <w:i/>
          <w:iCs/>
          <w:sz w:val="22"/>
        </w:rPr>
        <w:t>Polish Psychological Bulletin</w:t>
      </w:r>
      <w:r w:rsidRPr="00474B01">
        <w:rPr>
          <w:rFonts w:ascii="Calibri" w:hAnsi="Calibri" w:cs="Calibri"/>
          <w:sz w:val="22"/>
        </w:rPr>
        <w:t xml:space="preserve">, </w:t>
      </w:r>
      <w:r w:rsidRPr="00474B01">
        <w:rPr>
          <w:rFonts w:ascii="Calibri" w:hAnsi="Calibri" w:cs="Calibri"/>
          <w:i/>
          <w:iCs/>
          <w:sz w:val="22"/>
        </w:rPr>
        <w:t>53</w:t>
      </w:r>
      <w:r w:rsidRPr="00474B01">
        <w:rPr>
          <w:rFonts w:ascii="Calibri" w:hAnsi="Calibri" w:cs="Calibri"/>
          <w:sz w:val="22"/>
        </w:rPr>
        <w:t>(3). https://doi.org/10.24425/ppb.2022.141868</w:t>
      </w:r>
    </w:p>
    <w:p w14:paraId="5E01DEA1"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Vanbinst, K., Bellon, E., &amp; Dowker, A. (2020). Mathematics Anxiety: An Intergenerational Approach. </w:t>
      </w:r>
      <w:r w:rsidRPr="00474B01">
        <w:rPr>
          <w:rFonts w:ascii="Calibri" w:hAnsi="Calibri" w:cs="Calibri"/>
          <w:i/>
          <w:iCs/>
          <w:sz w:val="22"/>
        </w:rPr>
        <w:t>Frontiers in Psychology</w:t>
      </w:r>
      <w:r w:rsidRPr="00474B01">
        <w:rPr>
          <w:rFonts w:ascii="Calibri" w:hAnsi="Calibri" w:cs="Calibri"/>
          <w:sz w:val="22"/>
        </w:rPr>
        <w:t xml:space="preserve">, </w:t>
      </w:r>
      <w:r w:rsidRPr="00474B01">
        <w:rPr>
          <w:rFonts w:ascii="Calibri" w:hAnsi="Calibri" w:cs="Calibri"/>
          <w:i/>
          <w:iCs/>
          <w:sz w:val="22"/>
        </w:rPr>
        <w:t>11</w:t>
      </w:r>
      <w:r w:rsidRPr="00474B01">
        <w:rPr>
          <w:rFonts w:ascii="Calibri" w:hAnsi="Calibri" w:cs="Calibri"/>
          <w:sz w:val="22"/>
        </w:rPr>
        <w:t>, 1648. https://doi.org/10.3389/fpsyg.2020.01648</w:t>
      </w:r>
    </w:p>
    <w:p w14:paraId="08C6BED4"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474B01">
        <w:rPr>
          <w:rFonts w:ascii="Calibri" w:hAnsi="Calibri" w:cs="Calibri"/>
          <w:i/>
          <w:iCs/>
          <w:sz w:val="22"/>
        </w:rPr>
        <w:t>Learning and Individual Differences</w:t>
      </w:r>
      <w:r w:rsidRPr="00474B01">
        <w:rPr>
          <w:rFonts w:ascii="Calibri" w:hAnsi="Calibri" w:cs="Calibri"/>
          <w:sz w:val="22"/>
        </w:rPr>
        <w:t xml:space="preserve">, </w:t>
      </w:r>
      <w:r w:rsidRPr="00474B01">
        <w:rPr>
          <w:rFonts w:ascii="Calibri" w:hAnsi="Calibri" w:cs="Calibri"/>
          <w:i/>
          <w:iCs/>
          <w:sz w:val="22"/>
        </w:rPr>
        <w:t>102</w:t>
      </w:r>
      <w:r w:rsidRPr="00474B01">
        <w:rPr>
          <w:rFonts w:ascii="Calibri" w:hAnsi="Calibri" w:cs="Calibri"/>
          <w:sz w:val="22"/>
        </w:rPr>
        <w:t>, 102255. https://doi.org/10.1016/j.lindif.2022.102255</w:t>
      </w:r>
    </w:p>
    <w:p w14:paraId="4B93738D"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Wang, Z., Hart, S. A., Kovas, Y., Lukowski, S., Soden, B., Thompson, L. A., Plomin, R., McLoughlin, G., Bartlett, C. W., Lyons, I. M., &amp; Petrill, S. A. (2014). Who is afraid of math? Two sources of genetic </w:t>
      </w:r>
      <w:r w:rsidRPr="00474B01">
        <w:rPr>
          <w:rFonts w:ascii="Calibri" w:hAnsi="Calibri" w:cs="Calibri"/>
          <w:sz w:val="22"/>
        </w:rPr>
        <w:lastRenderedPageBreak/>
        <w:t xml:space="preserve">variance for mathematical anxiety. </w:t>
      </w:r>
      <w:r w:rsidRPr="00474B01">
        <w:rPr>
          <w:rFonts w:ascii="Calibri" w:hAnsi="Calibri" w:cs="Calibri"/>
          <w:i/>
          <w:iCs/>
          <w:sz w:val="22"/>
        </w:rPr>
        <w:t>Journal of Child Psychology and Psychiatry</w:t>
      </w:r>
      <w:r w:rsidRPr="00474B01">
        <w:rPr>
          <w:rFonts w:ascii="Calibri" w:hAnsi="Calibri" w:cs="Calibri"/>
          <w:sz w:val="22"/>
        </w:rPr>
        <w:t xml:space="preserve">, </w:t>
      </w:r>
      <w:r w:rsidRPr="00474B01">
        <w:rPr>
          <w:rFonts w:ascii="Calibri" w:hAnsi="Calibri" w:cs="Calibri"/>
          <w:i/>
          <w:iCs/>
          <w:sz w:val="22"/>
        </w:rPr>
        <w:t>55</w:t>
      </w:r>
      <w:r w:rsidRPr="00474B01">
        <w:rPr>
          <w:rFonts w:ascii="Calibri" w:hAnsi="Calibri" w:cs="Calibri"/>
          <w:sz w:val="22"/>
        </w:rPr>
        <w:t>(9), 1056–1064. https://doi.org/10.1111/jcpp.12224</w:t>
      </w:r>
    </w:p>
    <w:p w14:paraId="72C4CC53"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Wang, Z., Shakeshaft, N., Schofield, K., &amp; Malanchini, M. (2018). Anxiety is not enough to drive me away: A latent profile analysis on math anxiety and math motivation. </w:t>
      </w:r>
      <w:r w:rsidRPr="00474B01">
        <w:rPr>
          <w:rFonts w:ascii="Calibri" w:hAnsi="Calibri" w:cs="Calibri"/>
          <w:i/>
          <w:iCs/>
          <w:sz w:val="22"/>
        </w:rPr>
        <w:t>PLOS ONE</w:t>
      </w:r>
      <w:r w:rsidRPr="00474B01">
        <w:rPr>
          <w:rFonts w:ascii="Calibri" w:hAnsi="Calibri" w:cs="Calibri"/>
          <w:sz w:val="22"/>
        </w:rPr>
        <w:t xml:space="preserve">, </w:t>
      </w:r>
      <w:r w:rsidRPr="00474B01">
        <w:rPr>
          <w:rFonts w:ascii="Calibri" w:hAnsi="Calibri" w:cs="Calibri"/>
          <w:i/>
          <w:iCs/>
          <w:sz w:val="22"/>
        </w:rPr>
        <w:t>13</w:t>
      </w:r>
      <w:r w:rsidRPr="00474B01">
        <w:rPr>
          <w:rFonts w:ascii="Calibri" w:hAnsi="Calibri" w:cs="Calibri"/>
          <w:sz w:val="22"/>
        </w:rPr>
        <w:t>(2), e0192072. https://doi.org/10.1371/journal.pone.0192072</w:t>
      </w:r>
    </w:p>
    <w:p w14:paraId="02DF7FC5"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Yavuz, G., Ozyildirim, F., &amp; Dogan, N. (2012). Mathematics Motivation Scale: A Validity and Reliability. </w:t>
      </w:r>
      <w:r w:rsidRPr="00474B01">
        <w:rPr>
          <w:rFonts w:ascii="Calibri" w:hAnsi="Calibri" w:cs="Calibri"/>
          <w:i/>
          <w:iCs/>
          <w:sz w:val="22"/>
        </w:rPr>
        <w:t>Procedia - Social and Behavioral Sciences</w:t>
      </w:r>
      <w:r w:rsidRPr="00474B01">
        <w:rPr>
          <w:rFonts w:ascii="Calibri" w:hAnsi="Calibri" w:cs="Calibri"/>
          <w:sz w:val="22"/>
        </w:rPr>
        <w:t xml:space="preserve">, </w:t>
      </w:r>
      <w:r w:rsidRPr="00474B01">
        <w:rPr>
          <w:rFonts w:ascii="Calibri" w:hAnsi="Calibri" w:cs="Calibri"/>
          <w:i/>
          <w:iCs/>
          <w:sz w:val="22"/>
        </w:rPr>
        <w:t>46</w:t>
      </w:r>
      <w:r w:rsidRPr="00474B01">
        <w:rPr>
          <w:rFonts w:ascii="Calibri" w:hAnsi="Calibri" w:cs="Calibri"/>
          <w:sz w:val="22"/>
        </w:rPr>
        <w:t>, 1633–1638. https://doi.org/10.1016/j.sbspro.2012.05.352</w:t>
      </w:r>
    </w:p>
    <w:p w14:paraId="2173820E" w14:textId="42AB5191"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3108368"/>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03359CBF" w14:textId="1165C93E" w:rsidR="00C866D0" w:rsidRPr="00C866D0" w:rsidRDefault="005A331F" w:rsidP="00C866D0">
            <w:pPr>
              <w:spacing w:after="160" w:line="259" w:lineRule="auto"/>
            </w:pPr>
            <w:r>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60" w:type="dxa"/>
          </w:tcPr>
          <w:p w14:paraId="424460DE" w14:textId="31F65ED9" w:rsidR="00C866D0" w:rsidRPr="00C866D0" w:rsidRDefault="00ED2CE0" w:rsidP="00C866D0">
            <w:pPr>
              <w:spacing w:after="160" w:line="259" w:lineRule="auto"/>
            </w:pPr>
            <w:r>
              <w:t>1</w:t>
            </w:r>
            <w:r w:rsidR="005A331F">
              <w:t>1</w:t>
            </w:r>
          </w:p>
        </w:tc>
        <w:tc>
          <w:tcPr>
            <w:tcW w:w="4505"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41"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41"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7D14A1F7" w14:textId="1100BDC9" w:rsidR="00D35C34" w:rsidRPr="00C866D0" w:rsidRDefault="00D35C34" w:rsidP="00D35C34">
      <w:pPr>
        <w:rPr>
          <w:lang w:val="sl-SI"/>
        </w:rPr>
      </w:pP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DC706" w14:textId="77777777" w:rsidR="00382C1F" w:rsidRDefault="00382C1F" w:rsidP="009A440D">
      <w:pPr>
        <w:spacing w:after="0" w:line="240" w:lineRule="auto"/>
      </w:pPr>
      <w:r>
        <w:separator/>
      </w:r>
    </w:p>
  </w:endnote>
  <w:endnote w:type="continuationSeparator" w:id="0">
    <w:p w14:paraId="2F592DFA" w14:textId="77777777" w:rsidR="00382C1F" w:rsidRDefault="00382C1F"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6553" w14:textId="77777777" w:rsidR="00382C1F" w:rsidRDefault="00382C1F" w:rsidP="009A440D">
      <w:pPr>
        <w:spacing w:after="0" w:line="240" w:lineRule="auto"/>
      </w:pPr>
      <w:r>
        <w:separator/>
      </w:r>
    </w:p>
  </w:footnote>
  <w:footnote w:type="continuationSeparator" w:id="0">
    <w:p w14:paraId="49F91252" w14:textId="77777777" w:rsidR="00382C1F" w:rsidRDefault="00382C1F"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2006A"/>
    <w:rsid w:val="00041E6C"/>
    <w:rsid w:val="00052558"/>
    <w:rsid w:val="000673E7"/>
    <w:rsid w:val="00071534"/>
    <w:rsid w:val="00082005"/>
    <w:rsid w:val="00097F65"/>
    <w:rsid w:val="000A24E9"/>
    <w:rsid w:val="000A455D"/>
    <w:rsid w:val="000E4B3E"/>
    <w:rsid w:val="000F65D1"/>
    <w:rsid w:val="00104943"/>
    <w:rsid w:val="001320CF"/>
    <w:rsid w:val="00136AE5"/>
    <w:rsid w:val="00144610"/>
    <w:rsid w:val="001462B5"/>
    <w:rsid w:val="001615BE"/>
    <w:rsid w:val="00177758"/>
    <w:rsid w:val="001824A5"/>
    <w:rsid w:val="00187D0A"/>
    <w:rsid w:val="001C192C"/>
    <w:rsid w:val="001C342C"/>
    <w:rsid w:val="001E19FA"/>
    <w:rsid w:val="001E2F0D"/>
    <w:rsid w:val="00210A12"/>
    <w:rsid w:val="00226A27"/>
    <w:rsid w:val="00233F7A"/>
    <w:rsid w:val="0024018E"/>
    <w:rsid w:val="00264CF6"/>
    <w:rsid w:val="00267A63"/>
    <w:rsid w:val="002904C0"/>
    <w:rsid w:val="002A5CC3"/>
    <w:rsid w:val="002B40ED"/>
    <w:rsid w:val="002C1A28"/>
    <w:rsid w:val="002D7427"/>
    <w:rsid w:val="002D7812"/>
    <w:rsid w:val="002F1800"/>
    <w:rsid w:val="002F3B9B"/>
    <w:rsid w:val="002F7FA6"/>
    <w:rsid w:val="003170E1"/>
    <w:rsid w:val="00327F12"/>
    <w:rsid w:val="003470D4"/>
    <w:rsid w:val="003509D3"/>
    <w:rsid w:val="003510F2"/>
    <w:rsid w:val="003512F5"/>
    <w:rsid w:val="00365409"/>
    <w:rsid w:val="00382C1F"/>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74B01"/>
    <w:rsid w:val="0048280E"/>
    <w:rsid w:val="00492817"/>
    <w:rsid w:val="00492CDF"/>
    <w:rsid w:val="004A1FA1"/>
    <w:rsid w:val="004C1DC7"/>
    <w:rsid w:val="004E1875"/>
    <w:rsid w:val="005057F3"/>
    <w:rsid w:val="00520073"/>
    <w:rsid w:val="005528E7"/>
    <w:rsid w:val="00561015"/>
    <w:rsid w:val="00561BDA"/>
    <w:rsid w:val="00565215"/>
    <w:rsid w:val="00566FB9"/>
    <w:rsid w:val="005960DE"/>
    <w:rsid w:val="005A331F"/>
    <w:rsid w:val="005B1FDB"/>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83CDF"/>
    <w:rsid w:val="006A6364"/>
    <w:rsid w:val="006C007E"/>
    <w:rsid w:val="006C1104"/>
    <w:rsid w:val="006C6725"/>
    <w:rsid w:val="00703240"/>
    <w:rsid w:val="00721F91"/>
    <w:rsid w:val="00744FB3"/>
    <w:rsid w:val="00746DA3"/>
    <w:rsid w:val="0076066B"/>
    <w:rsid w:val="007A4C9C"/>
    <w:rsid w:val="007D2BF9"/>
    <w:rsid w:val="007F00F7"/>
    <w:rsid w:val="007F5CB6"/>
    <w:rsid w:val="00806315"/>
    <w:rsid w:val="0081276B"/>
    <w:rsid w:val="00830D77"/>
    <w:rsid w:val="00830E0E"/>
    <w:rsid w:val="00835A50"/>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6145"/>
    <w:rsid w:val="009133E3"/>
    <w:rsid w:val="0091423F"/>
    <w:rsid w:val="00927B9E"/>
    <w:rsid w:val="0093278E"/>
    <w:rsid w:val="00933071"/>
    <w:rsid w:val="00936898"/>
    <w:rsid w:val="00977FBF"/>
    <w:rsid w:val="00982C21"/>
    <w:rsid w:val="00985F76"/>
    <w:rsid w:val="00990DEF"/>
    <w:rsid w:val="009A440D"/>
    <w:rsid w:val="009A727C"/>
    <w:rsid w:val="009E018A"/>
    <w:rsid w:val="009F3C08"/>
    <w:rsid w:val="009F3F34"/>
    <w:rsid w:val="00A038FF"/>
    <w:rsid w:val="00A12308"/>
    <w:rsid w:val="00A151A6"/>
    <w:rsid w:val="00A33790"/>
    <w:rsid w:val="00A44AFC"/>
    <w:rsid w:val="00A67AB6"/>
    <w:rsid w:val="00AA3F99"/>
    <w:rsid w:val="00AB4CEB"/>
    <w:rsid w:val="00AD0DCD"/>
    <w:rsid w:val="00AD2DD1"/>
    <w:rsid w:val="00AD5E58"/>
    <w:rsid w:val="00AD64E3"/>
    <w:rsid w:val="00AF03EF"/>
    <w:rsid w:val="00AF1EAF"/>
    <w:rsid w:val="00AF6AD3"/>
    <w:rsid w:val="00B00E00"/>
    <w:rsid w:val="00B0669C"/>
    <w:rsid w:val="00B06C4A"/>
    <w:rsid w:val="00B20332"/>
    <w:rsid w:val="00B2627A"/>
    <w:rsid w:val="00B32E4F"/>
    <w:rsid w:val="00B35BAB"/>
    <w:rsid w:val="00B37DC5"/>
    <w:rsid w:val="00B472A8"/>
    <w:rsid w:val="00B5240A"/>
    <w:rsid w:val="00B525BE"/>
    <w:rsid w:val="00B54C6C"/>
    <w:rsid w:val="00B566A8"/>
    <w:rsid w:val="00B8449A"/>
    <w:rsid w:val="00BC113E"/>
    <w:rsid w:val="00BE1BC9"/>
    <w:rsid w:val="00BE5170"/>
    <w:rsid w:val="00BE69FA"/>
    <w:rsid w:val="00BF2D3B"/>
    <w:rsid w:val="00BF2E18"/>
    <w:rsid w:val="00BF3FB5"/>
    <w:rsid w:val="00C073C5"/>
    <w:rsid w:val="00C40D97"/>
    <w:rsid w:val="00C83A7A"/>
    <w:rsid w:val="00C866D0"/>
    <w:rsid w:val="00CA2FD5"/>
    <w:rsid w:val="00CA6A02"/>
    <w:rsid w:val="00CC2756"/>
    <w:rsid w:val="00CF115D"/>
    <w:rsid w:val="00D037CA"/>
    <w:rsid w:val="00D039E0"/>
    <w:rsid w:val="00D06FB6"/>
    <w:rsid w:val="00D1420D"/>
    <w:rsid w:val="00D24C00"/>
    <w:rsid w:val="00D306BC"/>
    <w:rsid w:val="00D35C34"/>
    <w:rsid w:val="00D4627B"/>
    <w:rsid w:val="00D53E1A"/>
    <w:rsid w:val="00D60930"/>
    <w:rsid w:val="00D673D2"/>
    <w:rsid w:val="00D70D7E"/>
    <w:rsid w:val="00D71335"/>
    <w:rsid w:val="00D92087"/>
    <w:rsid w:val="00DA06DC"/>
    <w:rsid w:val="00DA1C71"/>
    <w:rsid w:val="00DB18D6"/>
    <w:rsid w:val="00DB7C4F"/>
    <w:rsid w:val="00E52C92"/>
    <w:rsid w:val="00E60302"/>
    <w:rsid w:val="00E61B53"/>
    <w:rsid w:val="00E91CC1"/>
    <w:rsid w:val="00E95DAA"/>
    <w:rsid w:val="00EA195E"/>
    <w:rsid w:val="00EA1C87"/>
    <w:rsid w:val="00ED2CE0"/>
    <w:rsid w:val="00ED751A"/>
    <w:rsid w:val="00EF6CA1"/>
    <w:rsid w:val="00F61D34"/>
    <w:rsid w:val="00F94F02"/>
    <w:rsid w:val="00F959D2"/>
    <w:rsid w:val="00F95C31"/>
    <w:rsid w:val="00FD44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ontiersin.org/articles/10.3389/fpsyg.2020.01648/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havioralandbrainfunctions.biomedcentral.com/articles/10.1186/1744-9081-8-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hyperlink" Target="https://doi.org/10.46328/ijemst.v8i3.926"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14</Pages>
  <Words>14921</Words>
  <Characters>85054</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162</cp:revision>
  <dcterms:created xsi:type="dcterms:W3CDTF">2023-11-19T07:52:00Z</dcterms:created>
  <dcterms:modified xsi:type="dcterms:W3CDTF">2023-12-13T09:37:00Z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id="9leMr1bq"/&gt;&lt;style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