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w:t>
      </w:r>
      <w:proofErr w:type="gramStart"/>
      <w:r w:rsidR="00AF25AD">
        <w:t>class</w:t>
      </w:r>
      <w:proofErr w:type="gramEnd"/>
      <w:r w:rsidR="00AF25AD">
        <w:t xml:space="preserve">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43A1E99" w:rsidR="003F0C08" w:rsidRDefault="003F0C08" w:rsidP="003F0C08">
      <w:pPr>
        <w:pStyle w:val="Caption"/>
        <w:keepNext/>
      </w:pPr>
      <w:r>
        <w:t xml:space="preserve">Table </w:t>
      </w:r>
      <w:fldSimple w:instr=" SEQ Table \* ARABIC ">
        <w:r w:rsidR="006C0401">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 xml:space="preserve">heterogeneous, </w:t>
      </w:r>
      <w:proofErr w:type="gramStart"/>
      <w:r w:rsidRPr="00D84BCE">
        <w:t>homogeneous</w:t>
      </w:r>
      <w:proofErr w:type="gramEnd"/>
      <w:r w:rsidRPr="00D84BCE">
        <w:t xml:space="preserve">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34698E24" w:rsidR="00CA33C4" w:rsidRDefault="00CA33C4" w:rsidP="00CA33C4">
      <w:pPr>
        <w:pStyle w:val="Caption"/>
        <w:keepNext/>
      </w:pPr>
      <w:r>
        <w:t xml:space="preserve">Table </w:t>
      </w:r>
      <w:fldSimple w:instr=" SEQ Table \* ARABIC ">
        <w:r w:rsidR="006C0401">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xml:space="preserve">. These varying results could stem from differences in experimental setups, study areas, or observed </w:t>
      </w:r>
      <w:proofErr w:type="spellStart"/>
      <w:r w:rsidR="00860AD0" w:rsidRPr="00860AD0">
        <w:t>behaviors</w:t>
      </w:r>
      <w:proofErr w:type="spellEnd"/>
      <w:r w:rsidR="00556116">
        <w:t>.</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w:t>
      </w:r>
      <w:r w:rsidR="00675E47">
        <w:lastRenderedPageBreak/>
        <w:t xml:space="preserve">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 xml:space="preserve">goals, </w:t>
      </w:r>
      <w:proofErr w:type="gramStart"/>
      <w:r>
        <w:t>hypotheses</w:t>
      </w:r>
      <w:proofErr w:type="gramEnd"/>
      <w:r>
        <w:t xml:space="preserve">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 xml:space="preserve">measured in 3 states (good, </w:t>
      </w:r>
      <w:proofErr w:type="gramStart"/>
      <w:r w:rsidR="005473DB">
        <w:t>neutral</w:t>
      </w:r>
      <w:proofErr w:type="gramEnd"/>
      <w:r w:rsidR="005473DB">
        <w:t xml:space="preserve">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w:t>
      </w:r>
      <w:proofErr w:type="gramStart"/>
      <w:r w:rsidR="0074524E">
        <w:t>feeling</w:t>
      </w:r>
      <w:proofErr w:type="gramEnd"/>
      <w:r w:rsidR="0074524E">
        <w:t xml:space="preserve">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lastRenderedPageBreak/>
        <w:t>Instruments used</w:t>
      </w:r>
    </w:p>
    <w:p w14:paraId="15AF27C0" w14:textId="5ACBAAE3"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6C0401">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J."}],"issued":{"date-parts":[["1995"]]}}},{"id":"baOVN12M/EXXw2eqW","uris":["http://zotero.org/users/local/1Uxvmohd/items/P48L6IUQ"],"itemData":{"id":138,"type":"article-journal","container-title":"The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3D601A">
        <w:rPr>
          <w:color w:val="FF0000"/>
        </w:rPr>
        <w:instrText xml:space="preserve"> ADDIN ZOTERO_ITEM CSL_CITATION {"citationID":"yMPXZFZH","properties":{"formattedCitation":"(Cho,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3D601A" w:rsidRPr="003D601A">
        <w:rPr>
          <w:rFonts w:ascii="Calibri" w:hAnsi="Calibri" w:cs="Calibri"/>
        </w:rPr>
        <w:t>(Cho, 2022; Fiorella et al., 2021; Hopko et al., 2003; Primi et al., 2020;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7"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8"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12C46E59" w:rsidR="00A02A44" w:rsidRDefault="00A02A44" w:rsidP="00A02A44">
      <w:pPr>
        <w:pStyle w:val="Caption"/>
        <w:keepNext/>
      </w:pPr>
      <w:r>
        <w:t xml:space="preserve">Table </w:t>
      </w:r>
      <w:fldSimple w:instr=" SEQ Table \* ARABIC ">
        <w:r w:rsidR="006C0401">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lastRenderedPageBreak/>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42DF2423" w:rsidR="00711390" w:rsidRDefault="00711390" w:rsidP="00711390">
      <w:pPr>
        <w:pStyle w:val="Caption"/>
        <w:keepNext/>
      </w:pPr>
      <w:r>
        <w:t xml:space="preserve">Table </w:t>
      </w:r>
      <w:fldSimple w:instr=" SEQ Table \* ARABIC ">
        <w:r w:rsidR="006C0401">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w:t>
      </w:r>
      <w:proofErr w:type="spellStart"/>
      <w:r w:rsidR="00577D94" w:rsidRPr="00577D94">
        <w:t>modeling</w:t>
      </w:r>
      <w:proofErr w:type="spellEnd"/>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9"/>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3EFE894F" w14:textId="5267B7C1" w:rsidR="006C0401" w:rsidRDefault="006C0401" w:rsidP="002258EE">
      <w:r>
        <w:t xml:space="preserve">For correlation metric we used Spearman coefficient, which measures linear relationship between two normal distributions </w:t>
      </w:r>
      <w:r>
        <w:fldChar w:fldCharType="begin"/>
      </w:r>
      <w:r>
        <w:instrText xml:space="preserve"> ADDIN ZOTERO_ITEM CSL_CITATION {"citationID":"rgNGybJF","properties":{"formattedCitation":"(De Winter et al., 2016; Rovetta, 2020; Schober et al., 2018)","plainCitation":"(De Winter et al., 2016; Rovetta, 2020;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fldChar w:fldCharType="separate"/>
      </w:r>
      <w:r w:rsidRPr="006C0401">
        <w:rPr>
          <w:rFonts w:ascii="Calibri" w:hAnsi="Calibri" w:cs="Calibri"/>
        </w:rPr>
        <w:t>(De Winter et al., 2016; Rovetta, 2020; Schober et al., 2018)</w:t>
      </w:r>
      <w:r>
        <w:fldChar w:fldCharType="end"/>
      </w:r>
      <w:r>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A59C9B6" w14:textId="1D0FF010" w:rsidR="006C0401" w:rsidRPr="006C0401" w:rsidRDefault="006C0401" w:rsidP="006C0401">
      <w:pPr>
        <w:rPr>
          <w:lang w:val="sl"/>
        </w:rPr>
      </w:pPr>
      <w:r>
        <w:rPr>
          <w:lang w:val="sl"/>
        </w:rPr>
        <w:lastRenderedPageBreak/>
        <w:t xml:space="preserve">In table x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three</w:t>
      </w:r>
      <w:proofErr w:type="spellEnd"/>
      <w:r>
        <w:rPr>
          <w:lang w:val="sl"/>
        </w:rPr>
        <w:t xml:space="preserve"> most </w:t>
      </w:r>
      <w:proofErr w:type="spellStart"/>
      <w:r>
        <w:rPr>
          <w:lang w:val="sl"/>
        </w:rPr>
        <w:t>positive</w:t>
      </w:r>
      <w:proofErr w:type="spellEnd"/>
      <w:r>
        <w:rPr>
          <w:lang w:val="sl"/>
        </w:rPr>
        <w:t xml:space="preserve"> </w:t>
      </w:r>
      <w:proofErr w:type="spellStart"/>
      <w:r>
        <w:rPr>
          <w:lang w:val="sl"/>
        </w:rPr>
        <w:t>and</w:t>
      </w:r>
      <w:proofErr w:type="spellEnd"/>
      <w:r>
        <w:rPr>
          <w:lang w:val="sl"/>
        </w:rPr>
        <w:t xml:space="preserve"> </w:t>
      </w:r>
      <w:proofErr w:type="spellStart"/>
      <w:r>
        <w:rPr>
          <w:lang w:val="sl"/>
        </w:rPr>
        <w:t>three</w:t>
      </w:r>
      <w:proofErr w:type="spellEnd"/>
      <w:r>
        <w:rPr>
          <w:lang w:val="sl"/>
        </w:rPr>
        <w:t xml:space="preserve"> most negative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moderate</w:t>
      </w:r>
      <w:proofErr w:type="spellEnd"/>
      <w:r>
        <w:rPr>
          <w:lang w:val="sl"/>
        </w:rPr>
        <w:t xml:space="preserve"> </w:t>
      </w:r>
      <w:r w:rsidRPr="006C0401">
        <w:rPr>
          <w:lang w:val="sl"/>
        </w:rPr>
        <w:t>(0.3&lt;|k|&lt;0.5).</w:t>
      </w:r>
    </w:p>
    <w:p w14:paraId="6BB791EF" w14:textId="27BA388D" w:rsidR="006C0401" w:rsidRDefault="006C0401" w:rsidP="006C0401">
      <w:pPr>
        <w:pStyle w:val="Caption"/>
        <w:keepNext/>
      </w:pPr>
      <w:r>
        <w:t xml:space="preserve">Table </w:t>
      </w:r>
      <w:fldSimple w:instr=" SEQ Table \* ARABIC ">
        <w:r>
          <w:rPr>
            <w:noProof/>
          </w:rPr>
          <w:t>5</w:t>
        </w:r>
      </w:fldSimple>
      <w:r>
        <w:t>: Strongest correlated predictor variables.</w:t>
      </w:r>
    </w:p>
    <w:tbl>
      <w:tblPr>
        <w:tblW w:w="0" w:type="auto"/>
        <w:tblInd w:w="-4" w:type="dxa"/>
        <w:tblLayout w:type="fixed"/>
        <w:tblLook w:val="0000" w:firstRow="0" w:lastRow="0" w:firstColumn="0" w:lastColumn="0" w:noHBand="0" w:noVBand="0"/>
      </w:tblPr>
      <w:tblGrid>
        <w:gridCol w:w="2265"/>
        <w:gridCol w:w="2266"/>
        <w:gridCol w:w="4531"/>
      </w:tblGrid>
      <w:tr w:rsidR="006C0401" w:rsidRPr="006C0401" w14:paraId="1EF87267" w14:textId="77777777">
        <w:tblPrEx>
          <w:tblCellMar>
            <w:top w:w="0" w:type="dxa"/>
            <w:bottom w:w="0" w:type="dxa"/>
          </w:tblCellMar>
        </w:tblPrEx>
        <w:trPr>
          <w:trHeight w:val="1"/>
        </w:trPr>
        <w:tc>
          <w:tcPr>
            <w:tcW w:w="4531"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19BF381" w14:textId="7F3F72E1" w:rsidR="006C0401" w:rsidRPr="006C0401" w:rsidRDefault="006C0401" w:rsidP="006C0401">
            <w:pPr>
              <w:rPr>
                <w:lang w:val="sl"/>
              </w:rPr>
            </w:pPr>
            <w:r>
              <w:rPr>
                <w:lang w:val="sl"/>
              </w:rPr>
              <w:t xml:space="preserve">Variable </w:t>
            </w:r>
            <w:proofErr w:type="spellStart"/>
            <w:r>
              <w:rPr>
                <w:lang w:val="sl"/>
              </w:rPr>
              <w:t>pair</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6D97208" w14:textId="350B5ACA" w:rsidR="006C0401" w:rsidRPr="006C0401" w:rsidRDefault="006C0401" w:rsidP="006C0401">
            <w:pPr>
              <w:rPr>
                <w:lang w:val="sl"/>
              </w:rPr>
            </w:pPr>
            <w:proofErr w:type="spellStart"/>
            <w:r w:rsidRPr="006C0401">
              <w:rPr>
                <w:lang w:val="sl"/>
              </w:rPr>
              <w:t>Spearman</w:t>
            </w:r>
            <w:proofErr w:type="spellEnd"/>
            <w:r>
              <w:rPr>
                <w:lang w:val="sl"/>
              </w:rPr>
              <w:t xml:space="preserve"> </w:t>
            </w:r>
            <w:proofErr w:type="spellStart"/>
            <w:r>
              <w:rPr>
                <w:lang w:val="sl"/>
              </w:rPr>
              <w:t>coefficient</w:t>
            </w:r>
            <w:proofErr w:type="spellEnd"/>
            <w:r>
              <w:rPr>
                <w:lang w:val="sl"/>
              </w:rPr>
              <w:t xml:space="preserve"> </w:t>
            </w:r>
            <w:proofErr w:type="spellStart"/>
            <w:r>
              <w:rPr>
                <w:lang w:val="sl"/>
              </w:rPr>
              <w:t>value</w:t>
            </w:r>
            <w:proofErr w:type="spellEnd"/>
          </w:p>
        </w:tc>
      </w:tr>
      <w:tr w:rsidR="006C0401" w:rsidRPr="006C0401" w14:paraId="7FE34E60" w14:textId="77777777">
        <w:tblPrEx>
          <w:tblCellMar>
            <w:top w:w="0" w:type="dxa"/>
            <w:bottom w:w="0" w:type="dxa"/>
          </w:tblCellMar>
        </w:tblPrEx>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3C49968F" w14:textId="24A943A1" w:rsidR="006C0401" w:rsidRPr="006C0401" w:rsidRDefault="006C0401" w:rsidP="006C0401">
            <w:pPr>
              <w:rPr>
                <w:lang w:val="sl"/>
              </w:rPr>
            </w:pPr>
            <w:proofErr w:type="spellStart"/>
            <w:r>
              <w:rPr>
                <w:lang w:val="sl"/>
              </w:rPr>
              <w:t>Motivation</w:t>
            </w:r>
            <w:proofErr w:type="spellEnd"/>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E21CE2D" w14:textId="24239A4A" w:rsidR="006C0401" w:rsidRPr="006C0401" w:rsidRDefault="006C0401" w:rsidP="006C0401">
            <w:pPr>
              <w:rPr>
                <w:lang w:val="sl"/>
              </w:rPr>
            </w:pPr>
            <w:proofErr w:type="spellStart"/>
            <w:r>
              <w:rPr>
                <w:lang w:val="sl"/>
              </w:rPr>
              <w:t>Anxiety</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21EF9993" w14:textId="77777777" w:rsidR="006C0401" w:rsidRPr="006C0401" w:rsidRDefault="006C0401" w:rsidP="006C0401">
            <w:pPr>
              <w:rPr>
                <w:lang w:val="sl"/>
              </w:rPr>
            </w:pPr>
            <w:r w:rsidRPr="006C0401">
              <w:rPr>
                <w:lang w:val="sl"/>
              </w:rPr>
              <w:t>-0.50</w:t>
            </w:r>
          </w:p>
        </w:tc>
      </w:tr>
      <w:tr w:rsidR="006C0401" w:rsidRPr="006C0401" w14:paraId="5AA80CF0" w14:textId="77777777">
        <w:tblPrEx>
          <w:tblCellMar>
            <w:top w:w="0" w:type="dxa"/>
            <w:bottom w:w="0" w:type="dxa"/>
          </w:tblCellMar>
        </w:tblPrEx>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E42BEFF" w14:textId="363ABA2F" w:rsidR="006C0401" w:rsidRPr="006C0401" w:rsidRDefault="006C0401" w:rsidP="006C0401">
            <w:pPr>
              <w:rPr>
                <w:lang w:val="sl"/>
              </w:rPr>
            </w:pPr>
            <w:proofErr w:type="spellStart"/>
            <w:r>
              <w:rPr>
                <w:lang w:val="sl"/>
              </w:rPr>
              <w:t>Gender</w:t>
            </w:r>
            <w:proofErr w:type="spellEnd"/>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1A61BDE" w14:textId="4482F9B8" w:rsidR="006C0401" w:rsidRPr="006C0401" w:rsidRDefault="006C0401" w:rsidP="006C0401">
            <w:pPr>
              <w:rPr>
                <w:lang w:val="sl"/>
              </w:rPr>
            </w:pPr>
            <w:proofErr w:type="spellStart"/>
            <w:r>
              <w:rPr>
                <w:lang w:val="sl"/>
              </w:rPr>
              <w:t>Feeling</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0C880EAF" w14:textId="77777777" w:rsidR="006C0401" w:rsidRPr="006C0401" w:rsidRDefault="006C0401" w:rsidP="006C0401">
            <w:pPr>
              <w:rPr>
                <w:lang w:val="sl"/>
              </w:rPr>
            </w:pPr>
            <w:r w:rsidRPr="006C0401">
              <w:rPr>
                <w:lang w:val="sl"/>
              </w:rPr>
              <w:t>-0.36</w:t>
            </w:r>
          </w:p>
        </w:tc>
      </w:tr>
      <w:tr w:rsidR="006C0401" w:rsidRPr="006C0401" w14:paraId="47CAF3F7" w14:textId="77777777">
        <w:tblPrEx>
          <w:tblCellMar>
            <w:top w:w="0" w:type="dxa"/>
            <w:bottom w:w="0" w:type="dxa"/>
          </w:tblCellMar>
        </w:tblPrEx>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7C054A52" w14:textId="1C051FE1" w:rsidR="006C0401" w:rsidRPr="006C0401" w:rsidRDefault="006C0401" w:rsidP="006C0401">
            <w:pPr>
              <w:rPr>
                <w:lang w:val="sl"/>
              </w:rPr>
            </w:pPr>
            <w:proofErr w:type="spellStart"/>
            <w:r>
              <w:rPr>
                <w:lang w:val="sl"/>
              </w:rPr>
              <w:t>Gender</w:t>
            </w:r>
            <w:proofErr w:type="spellEnd"/>
            <w:r w:rsidRPr="006C0401">
              <w:rPr>
                <w:lang w:val="sl"/>
              </w:rPr>
              <w:t xml:space="preserve"> (</w:t>
            </w:r>
            <w:r>
              <w:rPr>
                <w:lang w:val="sl"/>
              </w:rPr>
              <w:t>male</w:t>
            </w:r>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720124A5" w14:textId="7DC035C3" w:rsidR="006C0401" w:rsidRPr="006C0401" w:rsidRDefault="006C0401" w:rsidP="006C0401">
            <w:pPr>
              <w:rPr>
                <w:lang w:val="sl"/>
              </w:rPr>
            </w:pPr>
            <w:proofErr w:type="spellStart"/>
            <w:r>
              <w:rPr>
                <w:lang w:val="sl"/>
              </w:rPr>
              <w:t>Motivation</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0E7CDB2" w14:textId="77777777" w:rsidR="006C0401" w:rsidRPr="006C0401" w:rsidRDefault="006C0401" w:rsidP="006C0401">
            <w:pPr>
              <w:rPr>
                <w:lang w:val="sl"/>
              </w:rPr>
            </w:pPr>
            <w:r w:rsidRPr="006C0401">
              <w:rPr>
                <w:lang w:val="sl"/>
              </w:rPr>
              <w:t>-0.31</w:t>
            </w:r>
          </w:p>
        </w:tc>
      </w:tr>
      <w:tr w:rsidR="006C0401" w:rsidRPr="006C0401" w14:paraId="35BA3F31" w14:textId="77777777">
        <w:tblPrEx>
          <w:tblCellMar>
            <w:top w:w="0" w:type="dxa"/>
            <w:bottom w:w="0" w:type="dxa"/>
          </w:tblCellMar>
        </w:tblPrEx>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FFE1D73" w14:textId="293EFDEF" w:rsidR="006C0401" w:rsidRPr="006C0401" w:rsidRDefault="006C0401" w:rsidP="006C0401">
            <w:pPr>
              <w:rPr>
                <w:lang w:val="sl"/>
              </w:rPr>
            </w:pPr>
            <w:proofErr w:type="spellStart"/>
            <w:r>
              <w:rPr>
                <w:lang w:val="sl"/>
              </w:rPr>
              <w:t>Gender</w:t>
            </w:r>
            <w:proofErr w:type="spellEnd"/>
            <w:r w:rsidRPr="006C0401">
              <w:rPr>
                <w:lang w:val="sl"/>
              </w:rPr>
              <w:t xml:space="preserve"> (</w:t>
            </w:r>
            <w:proofErr w:type="spellStart"/>
            <w:r>
              <w:rPr>
                <w:lang w:val="sl"/>
              </w:rPr>
              <w:t>female</w:t>
            </w:r>
            <w:proofErr w:type="spellEnd"/>
            <w:r w:rsidRPr="006C0401">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62BCB2FF" w14:textId="43338341" w:rsidR="006C0401" w:rsidRPr="006C0401" w:rsidRDefault="006C0401" w:rsidP="006C0401">
            <w:pPr>
              <w:rPr>
                <w:lang w:val="sl"/>
              </w:rPr>
            </w:pPr>
            <w:proofErr w:type="spellStart"/>
            <w:r>
              <w:rPr>
                <w:lang w:val="sl"/>
              </w:rPr>
              <w:t>Anxiety</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C2BC1E4" w14:textId="77777777" w:rsidR="006C0401" w:rsidRPr="006C0401" w:rsidRDefault="006C0401" w:rsidP="006C0401">
            <w:pPr>
              <w:rPr>
                <w:lang w:val="sl"/>
              </w:rPr>
            </w:pPr>
            <w:r w:rsidRPr="006C0401">
              <w:rPr>
                <w:lang w:val="sl"/>
              </w:rPr>
              <w:t>0.34</w:t>
            </w:r>
          </w:p>
        </w:tc>
      </w:tr>
      <w:tr w:rsidR="006C0401" w:rsidRPr="006C0401" w14:paraId="2A8D5FE4" w14:textId="77777777">
        <w:tblPrEx>
          <w:tblCellMar>
            <w:top w:w="0" w:type="dxa"/>
            <w:bottom w:w="0" w:type="dxa"/>
          </w:tblCellMar>
        </w:tblPrEx>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4516FBEA" w14:textId="588EE866" w:rsidR="006C0401" w:rsidRPr="006C0401" w:rsidRDefault="006C0401" w:rsidP="006C0401">
            <w:pPr>
              <w:rPr>
                <w:lang w:val="sl"/>
              </w:rPr>
            </w:pPr>
            <w:proofErr w:type="spellStart"/>
            <w:r>
              <w:rPr>
                <w:lang w:val="sl"/>
              </w:rPr>
              <w:t>Interaction</w:t>
            </w:r>
            <w:proofErr w:type="spellEnd"/>
            <w:r>
              <w:rPr>
                <w:lang w:val="sl"/>
              </w:rPr>
              <w:t xml:space="preserve"> </w:t>
            </w:r>
            <w:proofErr w:type="spellStart"/>
            <w:r>
              <w:rPr>
                <w:lang w:val="sl"/>
              </w:rPr>
              <w:t>qual</w:t>
            </w:r>
            <w:proofErr w:type="spellEnd"/>
            <w:r>
              <w:rPr>
                <w:lang w:val="sl"/>
              </w:rPr>
              <w: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DCB13EE" w14:textId="5BD9AD18" w:rsidR="006C0401" w:rsidRPr="006C0401" w:rsidRDefault="006C0401" w:rsidP="006C0401">
            <w:pPr>
              <w:rPr>
                <w:lang w:val="sl"/>
              </w:rPr>
            </w:pPr>
            <w:proofErr w:type="spellStart"/>
            <w:r>
              <w:rPr>
                <w:lang w:val="sl"/>
              </w:rPr>
              <w:t>Interaction</w:t>
            </w:r>
            <w:proofErr w:type="spellEnd"/>
            <w:r>
              <w:rPr>
                <w:lang w:val="sl"/>
              </w:rPr>
              <w:t xml:space="preserve"> </w:t>
            </w:r>
            <w:proofErr w:type="spellStart"/>
            <w:r>
              <w:rPr>
                <w:lang w:val="sl"/>
              </w:rPr>
              <w:t>quant</w:t>
            </w:r>
            <w:proofErr w:type="spellEnd"/>
            <w:r>
              <w:rPr>
                <w:lang w:val="sl"/>
              </w:rPr>
              <w: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12C855B9" w14:textId="77777777" w:rsidR="006C0401" w:rsidRPr="006C0401" w:rsidRDefault="006C0401" w:rsidP="006C0401">
            <w:pPr>
              <w:rPr>
                <w:lang w:val="sl"/>
              </w:rPr>
            </w:pPr>
            <w:r w:rsidRPr="006C0401">
              <w:rPr>
                <w:lang w:val="sl"/>
              </w:rPr>
              <w:t>0.37</w:t>
            </w:r>
          </w:p>
        </w:tc>
      </w:tr>
      <w:tr w:rsidR="006C0401" w:rsidRPr="006C0401" w14:paraId="77FE923B" w14:textId="77777777">
        <w:tblPrEx>
          <w:tblCellMar>
            <w:top w:w="0" w:type="dxa"/>
            <w:bottom w:w="0" w:type="dxa"/>
          </w:tblCellMar>
        </w:tblPrEx>
        <w:trPr>
          <w:trHeight w:val="1"/>
        </w:trPr>
        <w:tc>
          <w:tcPr>
            <w:tcW w:w="2265" w:type="dxa"/>
            <w:tcBorders>
              <w:top w:val="single" w:sz="3" w:space="0" w:color="000000"/>
              <w:left w:val="single" w:sz="3" w:space="0" w:color="000000"/>
              <w:bottom w:val="single" w:sz="3" w:space="0" w:color="000000"/>
              <w:right w:val="single" w:sz="3" w:space="0" w:color="000000"/>
            </w:tcBorders>
            <w:shd w:val="clear" w:color="000000" w:fill="FFFFFF"/>
          </w:tcPr>
          <w:p w14:paraId="0CA484D3" w14:textId="457730B7" w:rsidR="006C0401" w:rsidRPr="006C0401" w:rsidRDefault="006C0401" w:rsidP="006C0401">
            <w:pPr>
              <w:rPr>
                <w:lang w:val="sl"/>
              </w:rPr>
            </w:pPr>
            <w:r>
              <w:rPr>
                <w:lang w:val="sl"/>
              </w:rPr>
              <w:t>Grade</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14:paraId="1E8841B6" w14:textId="3797D287" w:rsidR="006C0401" w:rsidRPr="006C0401" w:rsidRDefault="006C0401" w:rsidP="006C0401">
            <w:pPr>
              <w:rPr>
                <w:lang w:val="sl"/>
              </w:rPr>
            </w:pPr>
            <w:proofErr w:type="spellStart"/>
            <w:r>
              <w:rPr>
                <w:lang w:val="sl"/>
              </w:rPr>
              <w:t>Motivation</w:t>
            </w:r>
            <w:proofErr w:type="spellEnd"/>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6C4D994A" w14:textId="77777777" w:rsidR="006C0401" w:rsidRPr="006C0401" w:rsidRDefault="006C0401" w:rsidP="006C0401">
            <w:pPr>
              <w:rPr>
                <w:lang w:val="sl"/>
              </w:rPr>
            </w:pPr>
            <w:r w:rsidRPr="006C0401">
              <w:rPr>
                <w:lang w:val="sl"/>
              </w:rPr>
              <w:t>0.43</w:t>
            </w:r>
          </w:p>
        </w:tc>
      </w:tr>
    </w:tbl>
    <w:p w14:paraId="59BCD82F" w14:textId="77777777" w:rsidR="006C0401" w:rsidRDefault="006C0401" w:rsidP="006C0401"/>
    <w:p w14:paraId="07CACC2A" w14:textId="28D6F68A" w:rsidR="002258EE" w:rsidRDefault="002258EE" w:rsidP="002258EE">
      <w:pPr>
        <w:pStyle w:val="Heading3"/>
      </w:pPr>
      <w:r>
        <w:t>Variable importance</w:t>
      </w:r>
    </w:p>
    <w:p w14:paraId="16080BD9" w14:textId="3028A8C9" w:rsidR="008A4D32" w:rsidRPr="008A4D32" w:rsidRDefault="008A4D32" w:rsidP="008A4D32">
      <w:bookmarkStart w:id="1" w:name="_Hlk155163457"/>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1"/>
                    <a:stretch>
                      <a:fillRect/>
                    </a:stretch>
                  </pic:blipFill>
                  <pic:spPr>
                    <a:xfrm>
                      <a:off x="0" y="0"/>
                      <a:ext cx="5066974" cy="3579612"/>
                    </a:xfrm>
                    <a:prstGeom prst="rect">
                      <a:avLst/>
                    </a:prstGeom>
                  </pic:spPr>
                </pic:pic>
              </a:graphicData>
            </a:graphic>
          </wp:inline>
        </w:drawing>
      </w:r>
    </w:p>
    <w:bookmarkEnd w:id="1"/>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4FD0BED1" w14:textId="4ED00859" w:rsidR="00950791" w:rsidRDefault="00950791" w:rsidP="001A537C">
      <w:r w:rsidRPr="00950791">
        <w:t>Contrary to initial expectations, the targets exhibiting the highest impact were not necessarily the most correlated ones. This unexpected finding aligns with existing literature on correlation</w:t>
      </w:r>
      <w:r>
        <w:t xml:space="preserve"> between used factors</w:t>
      </w:r>
      <w:r w:rsidRPr="00950791">
        <w:t>, emphasizing that the strength of a relationship between two variables does not necessarily translate into a significant impact on the target variable</w:t>
      </w:r>
      <w:r>
        <w:t>. For example, interaction viewed from both angles was moderately correlated, but qualitative one had much greater impact than quantitative one.</w:t>
      </w:r>
    </w:p>
    <w:p w14:paraId="5A7B261D" w14:textId="1F4C5E77"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 xml:space="preserve">Consequently, it underscores the necessity of not only assessing the variables that </w:t>
      </w:r>
      <w:r w:rsidRPr="001A537C">
        <w:lastRenderedPageBreak/>
        <w:t>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 xml:space="preserve">economic, </w:t>
      </w:r>
      <w:proofErr w:type="gramStart"/>
      <w:r w:rsidR="00155965" w:rsidRPr="00155965">
        <w:t>social</w:t>
      </w:r>
      <w:proofErr w:type="gramEnd"/>
      <w:r w:rsidR="00155965" w:rsidRPr="00155965">
        <w:t xml:space="preserve">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57B486B8" w14:textId="77777777" w:rsidR="006C0401" w:rsidRDefault="00812CAE" w:rsidP="006C0401">
      <w:pPr>
        <w:pStyle w:val="Bibliography"/>
      </w:pPr>
      <w:r>
        <w:fldChar w:fldCharType="begin"/>
      </w:r>
      <w:r w:rsidR="00525D4B">
        <w:instrText xml:space="preserve"> ADDIN ZOTERO_BIBL {"uncited":[],"omitted":[],"custom":[]} CSL_BIBLIOGRAPHY </w:instrText>
      </w:r>
      <w:r>
        <w:fldChar w:fldCharType="separate"/>
      </w:r>
      <w:r w:rsidR="006C0401">
        <w:t xml:space="preserve">Ahmad, A., Zeeshan, F., Marriam, R., Samreen, A., &amp; Ahmed, S. (2021). Does one size fit all? Investigating the effect of group size and gamification on learners’ </w:t>
      </w:r>
      <w:proofErr w:type="spellStart"/>
      <w:r w:rsidR="006C0401">
        <w:t>behaviors</w:t>
      </w:r>
      <w:proofErr w:type="spellEnd"/>
      <w:r w:rsidR="006C0401">
        <w:t xml:space="preserve"> in higher education. </w:t>
      </w:r>
      <w:r w:rsidR="006C0401">
        <w:rPr>
          <w:i/>
          <w:iCs/>
        </w:rPr>
        <w:t>Journal of Computing in Higher Education</w:t>
      </w:r>
      <w:r w:rsidR="006C0401">
        <w:t xml:space="preserve">, </w:t>
      </w:r>
      <w:r w:rsidR="006C0401">
        <w:rPr>
          <w:i/>
          <w:iCs/>
        </w:rPr>
        <w:t>33</w:t>
      </w:r>
      <w:r w:rsidR="006C0401">
        <w:t>(2), 296–327. https://doi.org/10.1007/s12528-020-09266-8</w:t>
      </w:r>
    </w:p>
    <w:p w14:paraId="43A135A8" w14:textId="77777777" w:rsidR="006C0401" w:rsidRDefault="006C0401" w:rsidP="006C0401">
      <w:pPr>
        <w:pStyle w:val="Bibliography"/>
      </w:pPr>
      <w:r>
        <w:lastRenderedPageBreak/>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1A944EB1" w14:textId="77777777" w:rsidR="006C0401" w:rsidRDefault="006C0401" w:rsidP="006C0401">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469B9BEA" w14:textId="77777777" w:rsidR="006C0401" w:rsidRDefault="006C0401" w:rsidP="006C0401">
      <w:pPr>
        <w:pStyle w:val="Bibliography"/>
      </w:pPr>
      <w:r>
        <w:t xml:space="preserve">Al Mulhim, E. N., &amp; </w:t>
      </w:r>
      <w:proofErr w:type="spellStart"/>
      <w:r>
        <w:t>Eldokhny</w:t>
      </w:r>
      <w:proofErr w:type="spellEnd"/>
      <w:r>
        <w:t xml:space="preserve">, A. A. (2020). The Impact of Collaborative Group Size on Students’ Achievement and Product Quality in Project-Based Learning Environments. </w:t>
      </w:r>
      <w:r>
        <w:rPr>
          <w:i/>
          <w:iCs/>
        </w:rPr>
        <w:t>International Journal of Emerging Technologies in Learning (</w:t>
      </w:r>
      <w:proofErr w:type="spellStart"/>
      <w:r>
        <w:rPr>
          <w:i/>
          <w:iCs/>
        </w:rPr>
        <w:t>iJET</w:t>
      </w:r>
      <w:proofErr w:type="spellEnd"/>
      <w:r>
        <w:rPr>
          <w:i/>
          <w:iCs/>
        </w:rPr>
        <w:t>)</w:t>
      </w:r>
      <w:r>
        <w:t xml:space="preserve">, </w:t>
      </w:r>
      <w:r>
        <w:rPr>
          <w:i/>
          <w:iCs/>
        </w:rPr>
        <w:t>15</w:t>
      </w:r>
      <w:r>
        <w:t>(10), 157. https://doi.org/10.3991/ijet.v15i10.12913</w:t>
      </w:r>
    </w:p>
    <w:p w14:paraId="5AB94203" w14:textId="77777777" w:rsidR="006C0401" w:rsidRDefault="006C0401" w:rsidP="006C0401">
      <w:pPr>
        <w:pStyle w:val="Bibliography"/>
      </w:pPr>
      <w:r>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10265D69" w14:textId="77777777" w:rsidR="006C0401" w:rsidRDefault="006C0401" w:rsidP="006C0401">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ADA4356" w14:textId="77777777" w:rsidR="006C0401" w:rsidRDefault="006C0401" w:rsidP="006C0401">
      <w:pPr>
        <w:pStyle w:val="Bibliography"/>
      </w:pPr>
      <w:r>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12560AF1" w14:textId="77777777" w:rsidR="006C0401" w:rsidRDefault="006C0401" w:rsidP="006C0401">
      <w:pPr>
        <w:pStyle w:val="Bibliography"/>
      </w:pPr>
      <w:r>
        <w:t xml:space="preserve">Batton, M. (2010). The effect of cooperative groups on math anxiety. </w:t>
      </w:r>
      <w:r>
        <w:rPr>
          <w:i/>
          <w:iCs/>
        </w:rPr>
        <w:t>Walden Dissertations and Doctoral Studies</w:t>
      </w:r>
      <w:r>
        <w:t>. https://scholarworks.waldenu.edu/dissertations/822</w:t>
      </w:r>
    </w:p>
    <w:p w14:paraId="09EE8B15" w14:textId="77777777" w:rsidR="006C0401" w:rsidRDefault="006C0401" w:rsidP="006C0401">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1F5A5BB4" w14:textId="77777777" w:rsidR="006C0401" w:rsidRDefault="006C0401" w:rsidP="006C0401">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687CCF45" w14:textId="77777777" w:rsidR="006C0401" w:rsidRDefault="006C0401" w:rsidP="006C0401">
      <w:pPr>
        <w:pStyle w:val="Bibliography"/>
      </w:pPr>
      <w:r>
        <w:lastRenderedPageBreak/>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172883D4" w14:textId="77777777" w:rsidR="006C0401" w:rsidRDefault="006C0401" w:rsidP="006C0401">
      <w:pPr>
        <w:pStyle w:val="Bibliography"/>
      </w:pPr>
      <w:r>
        <w:t xml:space="preserve">Bregant, B. (2023). </w:t>
      </w:r>
      <w:r>
        <w:rPr>
          <w:i/>
          <w:iCs/>
        </w:rPr>
        <w:t>Tandem learning: Student dataset</w:t>
      </w:r>
      <w:r>
        <w:t xml:space="preserve"> (1.0) [dataset]. GitHub. https://github.com/borbregant/ai_tandem_learning</w:t>
      </w:r>
    </w:p>
    <w:p w14:paraId="085615DD" w14:textId="77777777" w:rsidR="006C0401" w:rsidRDefault="006C0401" w:rsidP="006C0401">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69917B73" w14:textId="77777777" w:rsidR="006C0401" w:rsidRDefault="006C0401" w:rsidP="006C0401">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D39E583" w14:textId="77777777" w:rsidR="006C0401" w:rsidRDefault="006C0401" w:rsidP="006C0401">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01269A4D" w14:textId="77777777" w:rsidR="006C0401" w:rsidRDefault="006C0401" w:rsidP="006C0401">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40FA28EE" w14:textId="77777777" w:rsidR="006C0401" w:rsidRDefault="006C0401" w:rsidP="006C0401">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58010BB3" w14:textId="77777777" w:rsidR="006C0401" w:rsidRDefault="006C0401" w:rsidP="006C0401">
      <w:pPr>
        <w:pStyle w:val="Bibliography"/>
      </w:pPr>
      <w:r>
        <w:t xml:space="preserve">Coan, R. W. (1978). </w:t>
      </w:r>
      <w:r>
        <w:rPr>
          <w:i/>
          <w:iCs/>
        </w:rPr>
        <w:t>The Eighth Mental Measurements Yearbook</w:t>
      </w:r>
      <w:r>
        <w:t xml:space="preserve">, </w:t>
      </w:r>
      <w:r>
        <w:rPr>
          <w:i/>
          <w:iCs/>
        </w:rPr>
        <w:t>1</w:t>
      </w:r>
      <w:r>
        <w:t>, 970–975.</w:t>
      </w:r>
    </w:p>
    <w:p w14:paraId="3B2AC425" w14:textId="77777777" w:rsidR="006C0401" w:rsidRDefault="006C0401" w:rsidP="006C0401">
      <w:pPr>
        <w:pStyle w:val="Bibliography"/>
      </w:pPr>
      <w:r>
        <w:t xml:space="preserve">De Winter, J. C. F., Gosling, S. D., &amp; Potter, J. (2016). Comparing the Pearson and Spearman correlation coefficients across distributions and sample sizes: A tutorial using simulations and empirical data. </w:t>
      </w:r>
      <w:r>
        <w:rPr>
          <w:i/>
          <w:iCs/>
        </w:rPr>
        <w:t>Psychological Methods</w:t>
      </w:r>
      <w:r>
        <w:t xml:space="preserve">, </w:t>
      </w:r>
      <w:r>
        <w:rPr>
          <w:i/>
          <w:iCs/>
        </w:rPr>
        <w:t>21</w:t>
      </w:r>
      <w:r>
        <w:t>(3), 273–290. https://doi.org/10.1037/met0000079</w:t>
      </w:r>
    </w:p>
    <w:p w14:paraId="72B38B6A" w14:textId="77777777" w:rsidR="006C0401" w:rsidRDefault="006C0401" w:rsidP="006C0401">
      <w:pPr>
        <w:pStyle w:val="Bibliography"/>
      </w:pPr>
      <w:r>
        <w:t xml:space="preserve">DeVito, A. J. (1985). </w:t>
      </w:r>
      <w:r>
        <w:rPr>
          <w:i/>
          <w:iCs/>
        </w:rPr>
        <w:t>Review of the Myers-Briggs Type Indicator</w:t>
      </w:r>
      <w:r>
        <w:t xml:space="preserve">. </w:t>
      </w:r>
      <w:r>
        <w:rPr>
          <w:i/>
          <w:iCs/>
        </w:rPr>
        <w:t>1</w:t>
      </w:r>
      <w:r>
        <w:t>, 1030–1032.</w:t>
      </w:r>
    </w:p>
    <w:p w14:paraId="6CF868C0" w14:textId="77777777" w:rsidR="006C0401" w:rsidRDefault="006C0401" w:rsidP="006C0401">
      <w:pPr>
        <w:pStyle w:val="Bibliography"/>
      </w:pPr>
      <w:r>
        <w:t xml:space="preserve">Druckman, D., &amp; Bjork, R. A. (1991). </w:t>
      </w:r>
      <w:r>
        <w:rPr>
          <w:i/>
          <w:iCs/>
        </w:rPr>
        <w:t>In the Mind’s Eye: Enhancing Human Performance</w:t>
      </w:r>
      <w:r>
        <w:t xml:space="preserve"> (p. 1580). National Academies Press. https://doi.org/10.17226/1580</w:t>
      </w:r>
    </w:p>
    <w:p w14:paraId="10D788B6" w14:textId="77777777" w:rsidR="006C0401" w:rsidRDefault="006C0401" w:rsidP="006C0401">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7A46471" w14:textId="77777777" w:rsidR="006C0401" w:rsidRDefault="006C0401" w:rsidP="006C0401">
      <w:pPr>
        <w:pStyle w:val="Bibliography"/>
      </w:pPr>
      <w:r>
        <w:lastRenderedPageBreak/>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8AE10FA" w14:textId="77777777" w:rsidR="006C0401" w:rsidRDefault="006C0401" w:rsidP="006C0401">
      <w:pPr>
        <w:pStyle w:val="Bibliography"/>
      </w:pPr>
      <w:r>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08CE1D11" w14:textId="77777777" w:rsidR="006C0401" w:rsidRDefault="006C0401" w:rsidP="006C0401">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663DCB46" w14:textId="77777777" w:rsidR="006C0401" w:rsidRDefault="006C0401" w:rsidP="006C0401">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6BAC1BD0" w14:textId="77777777" w:rsidR="006C0401" w:rsidRDefault="006C0401" w:rsidP="006C0401">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44B3DD2B" w14:textId="77777777" w:rsidR="006C0401" w:rsidRDefault="006C0401" w:rsidP="006C0401">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33895F5" w14:textId="77777777" w:rsidR="006C0401" w:rsidRDefault="006C0401" w:rsidP="006C0401">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6CDDC1F3" w14:textId="77777777" w:rsidR="006C0401" w:rsidRDefault="006C0401" w:rsidP="006C0401">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12668157" w14:textId="77777777" w:rsidR="006C0401" w:rsidRDefault="006C0401" w:rsidP="006C0401">
      <w:pPr>
        <w:pStyle w:val="Bibliography"/>
      </w:pPr>
      <w:r>
        <w:lastRenderedPageBreak/>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017C960A" w14:textId="77777777" w:rsidR="006C0401" w:rsidRDefault="006C0401" w:rsidP="006C0401">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2394B049" w14:textId="77777777" w:rsidR="006C0401" w:rsidRDefault="006C0401" w:rsidP="006C0401">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1A3BB245" w14:textId="77777777" w:rsidR="006C0401" w:rsidRDefault="006C0401" w:rsidP="006C0401">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7F32C68F" w14:textId="77777777" w:rsidR="006C0401" w:rsidRDefault="006C0401" w:rsidP="006C0401">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59F85B10" w14:textId="77777777" w:rsidR="006C0401" w:rsidRDefault="006C0401" w:rsidP="006C0401">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27CA67D4" w14:textId="77777777" w:rsidR="006C0401" w:rsidRDefault="006C0401" w:rsidP="006C0401">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AFE02E4" w14:textId="77777777" w:rsidR="006C0401" w:rsidRDefault="006C0401" w:rsidP="006C0401">
      <w:pPr>
        <w:pStyle w:val="Bibliography"/>
      </w:pPr>
      <w:proofErr w:type="spellStart"/>
      <w:r>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1DC19443" w14:textId="77777777" w:rsidR="006C0401" w:rsidRDefault="006C0401" w:rsidP="006C0401">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266180FE" w14:textId="77777777" w:rsidR="006C0401" w:rsidRDefault="006C0401" w:rsidP="006C0401">
      <w:pPr>
        <w:pStyle w:val="Bibliography"/>
      </w:pPr>
      <w:r>
        <w:lastRenderedPageBreak/>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059E6206" w14:textId="77777777" w:rsidR="006C0401" w:rsidRDefault="006C0401" w:rsidP="006C0401">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28233A2D" w14:textId="77777777" w:rsidR="006C0401" w:rsidRDefault="006C0401" w:rsidP="006C0401">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6A7B9A73" w14:textId="77777777" w:rsidR="006C0401" w:rsidRDefault="006C0401" w:rsidP="006C0401">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22E12045" w14:textId="77777777" w:rsidR="006C0401" w:rsidRDefault="006C0401" w:rsidP="006C0401">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319FBF86" w14:textId="77777777" w:rsidR="006C0401" w:rsidRDefault="006C0401" w:rsidP="006C0401">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588343F5" w14:textId="77777777" w:rsidR="006C0401" w:rsidRDefault="006C0401" w:rsidP="006C0401">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3ED2E466" w14:textId="77777777" w:rsidR="006C0401" w:rsidRDefault="006C0401" w:rsidP="006C0401">
      <w:pPr>
        <w:pStyle w:val="Bibliography"/>
      </w:pPr>
      <w:proofErr w:type="spellStart"/>
      <w:r>
        <w:t>Mahasneh</w:t>
      </w:r>
      <w:proofErr w:type="spellEnd"/>
      <w:r>
        <w:t xml:space="preserve">,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B90E117" w14:textId="77777777" w:rsidR="006C0401" w:rsidRDefault="006C0401" w:rsidP="006C0401">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4018067F" w14:textId="77777777" w:rsidR="006C0401" w:rsidRDefault="006C0401" w:rsidP="006C0401">
      <w:pPr>
        <w:pStyle w:val="Bibliography"/>
      </w:pPr>
      <w:r>
        <w:lastRenderedPageBreak/>
        <w:t xml:space="preserve">McCaslin, W. J., &amp; Lowman, J. (1985). Mastering the Techniques of Teaching. </w:t>
      </w:r>
      <w:r>
        <w:rPr>
          <w:i/>
          <w:iCs/>
        </w:rPr>
        <w:t>Teaching Sociology</w:t>
      </w:r>
      <w:r>
        <w:t xml:space="preserve">, </w:t>
      </w:r>
      <w:r>
        <w:rPr>
          <w:i/>
          <w:iCs/>
        </w:rPr>
        <w:t>12</w:t>
      </w:r>
      <w:r>
        <w:t>(4), 494. https://doi.org/10.2307/1318070</w:t>
      </w:r>
    </w:p>
    <w:p w14:paraId="74BE197D" w14:textId="77777777" w:rsidR="006C0401" w:rsidRDefault="006C0401" w:rsidP="006C0401">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3BE4CB11" w14:textId="77777777" w:rsidR="006C0401" w:rsidRDefault="006C0401" w:rsidP="006C0401">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534F325A" w14:textId="77777777" w:rsidR="006C0401" w:rsidRDefault="006C0401" w:rsidP="006C0401">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04B851B" w14:textId="77777777" w:rsidR="006C0401" w:rsidRDefault="006C0401" w:rsidP="006C0401">
      <w:pPr>
        <w:pStyle w:val="Bibliography"/>
      </w:pPr>
      <w:r>
        <w:rPr>
          <w:i/>
          <w:iCs/>
        </w:rPr>
        <w:t>Myers-Briggs/Jung Test: Open Extended Jungian Type Scales</w:t>
      </w:r>
      <w:r>
        <w:t>. (n.d.). Retrieved 21 October 2023, from https://openpsychometrics.org/tests/OEJTS/</w:t>
      </w:r>
    </w:p>
    <w:p w14:paraId="0C3E318E" w14:textId="77777777" w:rsidR="006C0401" w:rsidRDefault="006C0401" w:rsidP="006C0401">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48FFD8C5" w14:textId="77777777" w:rsidR="006C0401" w:rsidRDefault="006C0401" w:rsidP="006C0401">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1A2BE2A6" w14:textId="77777777" w:rsidR="006C0401" w:rsidRDefault="006C0401" w:rsidP="006C0401">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20A2AF0E" w14:textId="77777777" w:rsidR="006C0401" w:rsidRDefault="006C0401" w:rsidP="006C0401">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1C228122" w14:textId="77777777" w:rsidR="006C0401" w:rsidRDefault="006C0401" w:rsidP="006C0401">
      <w:pPr>
        <w:pStyle w:val="Bibliography"/>
      </w:pPr>
      <w:proofErr w:type="spellStart"/>
      <w:r>
        <w:t>Primi</w:t>
      </w:r>
      <w:proofErr w:type="spellEnd"/>
      <w:r>
        <w:t xml:space="preserve">, C., Donati, M. A., Izzo, V. A., </w:t>
      </w:r>
      <w:proofErr w:type="spellStart"/>
      <w:r>
        <w:t>Guardabassi</w:t>
      </w:r>
      <w:proofErr w:type="spellEnd"/>
      <w:r>
        <w:t xml:space="preserve">, V., O’Connor, P. A., </w:t>
      </w:r>
      <w:proofErr w:type="spellStart"/>
      <w:r>
        <w:t>Tomasetto</w:t>
      </w:r>
      <w:proofErr w:type="spellEnd"/>
      <w:r>
        <w:t xml:space="preserve">, C., &amp; </w:t>
      </w:r>
      <w:proofErr w:type="spellStart"/>
      <w:r>
        <w:t>Morsanyi</w:t>
      </w:r>
      <w:proofErr w:type="spellEnd"/>
      <w:r>
        <w:t xml:space="preserve">, K. (2020). The Early Elementary School Abbreviated Math Anxiety Scale (the EES-AMAS): A New Adapted </w:t>
      </w:r>
      <w:r>
        <w:lastRenderedPageBreak/>
        <w:t xml:space="preserve">Version of the AMAS to Measure Math Anxiety in Young Children. </w:t>
      </w:r>
      <w:r>
        <w:rPr>
          <w:i/>
          <w:iCs/>
        </w:rPr>
        <w:t>Frontiers in Psychology</w:t>
      </w:r>
      <w:r>
        <w:t xml:space="preserve">, </w:t>
      </w:r>
      <w:r>
        <w:rPr>
          <w:i/>
          <w:iCs/>
        </w:rPr>
        <w:t>11</w:t>
      </w:r>
      <w:r>
        <w:t>, 1014. https://doi.org/10.3389/fpsyg.2020.01014</w:t>
      </w:r>
    </w:p>
    <w:p w14:paraId="72C0AF0B" w14:textId="77777777" w:rsidR="006C0401" w:rsidRDefault="006C0401" w:rsidP="006C0401">
      <w:pPr>
        <w:pStyle w:val="Bibliography"/>
      </w:pPr>
      <w:proofErr w:type="spellStart"/>
      <w:r>
        <w:rPr>
          <w:i/>
          <w:iCs/>
        </w:rPr>
        <w:t>PsyToolkit</w:t>
      </w:r>
      <w:proofErr w:type="spellEnd"/>
      <w:r>
        <w:t>. (n.d.). Retrieved 4 November 2023, from https://www.psytoolkit.org/index.html</w:t>
      </w:r>
    </w:p>
    <w:p w14:paraId="650833F4" w14:textId="77777777" w:rsidR="006C0401" w:rsidRDefault="006C0401" w:rsidP="006C0401">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06BDF455" w14:textId="77777777" w:rsidR="006C0401" w:rsidRDefault="006C0401" w:rsidP="006C0401">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40530871" w14:textId="77777777" w:rsidR="006C0401" w:rsidRDefault="006C0401" w:rsidP="006C0401">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C77AD4B" w14:textId="77777777" w:rsidR="006C0401" w:rsidRDefault="006C0401" w:rsidP="006C0401">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63FF2B6" w14:textId="77777777" w:rsidR="006C0401" w:rsidRDefault="006C0401" w:rsidP="006C0401">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7E4EE922" w14:textId="77777777" w:rsidR="006C0401" w:rsidRDefault="006C0401" w:rsidP="006C0401">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3452C652" w14:textId="77777777" w:rsidR="006C0401" w:rsidRDefault="006C0401" w:rsidP="006C0401">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668F1320" w14:textId="77777777" w:rsidR="006C0401" w:rsidRDefault="006C0401" w:rsidP="006C0401">
      <w:pPr>
        <w:pStyle w:val="Bibliography"/>
      </w:pPr>
      <w:r>
        <w:lastRenderedPageBreak/>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19DD9C94" w14:textId="77777777" w:rsidR="006C0401" w:rsidRDefault="006C0401" w:rsidP="006C0401">
      <w:pPr>
        <w:pStyle w:val="Bibliography"/>
      </w:pPr>
      <w:r>
        <w:t xml:space="preserve">Rovetta, A. (2020). Raiders of the Lost Correlation: A Guide on Using Pearson and Spearman Coefficients to Detect Hidden Correlations in Medical Sciences. </w:t>
      </w:r>
      <w:proofErr w:type="spellStart"/>
      <w:r>
        <w:rPr>
          <w:i/>
          <w:iCs/>
        </w:rPr>
        <w:t>Cureus</w:t>
      </w:r>
      <w:proofErr w:type="spellEnd"/>
      <w:r>
        <w:t xml:space="preserve">, </w:t>
      </w:r>
      <w:r>
        <w:rPr>
          <w:i/>
          <w:iCs/>
        </w:rPr>
        <w:t>12</w:t>
      </w:r>
      <w:r>
        <w:t>(12). https://doi.org/10.7759/cureus.11794</w:t>
      </w:r>
    </w:p>
    <w:p w14:paraId="65CC8718" w14:textId="77777777" w:rsidR="006C0401" w:rsidRDefault="006C0401" w:rsidP="006C0401">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72679FCC" w14:textId="77777777" w:rsidR="006C0401" w:rsidRDefault="006C0401" w:rsidP="006C0401">
      <w:pPr>
        <w:pStyle w:val="Bibliography"/>
      </w:pPr>
      <w:r>
        <w:t xml:space="preserve">Schober, P., Boer, C., &amp; Schwarte, L. A. (2018). Correlation Coefficients: Appropriate Use and Interpretation. </w:t>
      </w:r>
      <w:proofErr w:type="spellStart"/>
      <w:r>
        <w:rPr>
          <w:i/>
          <w:iCs/>
        </w:rPr>
        <w:t>Anesthesia</w:t>
      </w:r>
      <w:proofErr w:type="spellEnd"/>
      <w:r>
        <w:rPr>
          <w:i/>
          <w:iCs/>
        </w:rPr>
        <w:t xml:space="preserve"> &amp; Analgesia</w:t>
      </w:r>
      <w:r>
        <w:t xml:space="preserve">, </w:t>
      </w:r>
      <w:r>
        <w:rPr>
          <w:i/>
          <w:iCs/>
        </w:rPr>
        <w:t>126</w:t>
      </w:r>
      <w:r>
        <w:t>(5), 1763–1768. https://doi.org/10.1213/ANE.0000000000002864</w:t>
      </w:r>
    </w:p>
    <w:p w14:paraId="0C6A4D86" w14:textId="77777777" w:rsidR="006C0401" w:rsidRDefault="006C0401" w:rsidP="006C0401">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652CBD42" w14:textId="77777777" w:rsidR="006C0401" w:rsidRDefault="006C0401" w:rsidP="006C0401">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06573EF" w14:textId="77777777" w:rsidR="006C0401" w:rsidRDefault="006C0401" w:rsidP="006C0401">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4F1D3AF7" w14:textId="77777777" w:rsidR="006C0401" w:rsidRDefault="006C0401" w:rsidP="006C0401">
      <w:pPr>
        <w:pStyle w:val="Bibliography"/>
      </w:pPr>
      <w:r>
        <w:t xml:space="preserve">Smith, A. B., &amp; Irey, R. K. (1974). </w:t>
      </w:r>
      <w:r>
        <w:rPr>
          <w:i/>
          <w:iCs/>
        </w:rPr>
        <w:t>Personality Variables and the Improvement of College Teaching</w:t>
      </w:r>
      <w:r>
        <w:t>. https://eric.ed.gov/?id=ED096313</w:t>
      </w:r>
    </w:p>
    <w:p w14:paraId="2F6BF6D7" w14:textId="77777777" w:rsidR="006C0401" w:rsidRDefault="006C0401" w:rsidP="006C0401">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5BE9678D" w14:textId="77777777" w:rsidR="006C0401" w:rsidRDefault="006C0401" w:rsidP="006C0401">
      <w:pPr>
        <w:pStyle w:val="Bibliography"/>
      </w:pPr>
      <w:r>
        <w:lastRenderedPageBreak/>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24367713" w14:textId="77777777" w:rsidR="006C0401" w:rsidRDefault="006C0401" w:rsidP="006C0401">
      <w:pPr>
        <w:pStyle w:val="Bibliography"/>
      </w:pPr>
      <w:proofErr w:type="spellStart"/>
      <w:r>
        <w:t>Tavazzi</w:t>
      </w:r>
      <w:proofErr w:type="spellEnd"/>
      <w:r>
        <w:t xml:space="preserve">, E., </w:t>
      </w:r>
      <w:proofErr w:type="spellStart"/>
      <w:r>
        <w:t>Daberdaku</w:t>
      </w:r>
      <w:proofErr w:type="spellEnd"/>
      <w:r>
        <w:t xml:space="preserve">, S., Vasta, R., Calvo, A., </w:t>
      </w:r>
      <w:proofErr w:type="spellStart"/>
      <w:r>
        <w:t>Chiò</w:t>
      </w:r>
      <w:proofErr w:type="spellEnd"/>
      <w:r>
        <w:t xml:space="preserve">,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5882C820" w14:textId="77777777" w:rsidR="006C0401" w:rsidRDefault="006C0401" w:rsidP="006C0401">
      <w:pPr>
        <w:pStyle w:val="Bibliography"/>
      </w:pPr>
      <w:r>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2C44649E" w14:textId="77777777" w:rsidR="006C0401" w:rsidRDefault="006C0401" w:rsidP="006C0401">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56D4D7F1" w14:textId="77777777" w:rsidR="006C0401" w:rsidRDefault="006C0401" w:rsidP="006C0401">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3E6D0A86" w14:textId="77777777" w:rsidR="006C0401" w:rsidRDefault="006C0401" w:rsidP="006C0401">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78398593" w14:textId="77777777" w:rsidR="006C0401" w:rsidRDefault="006C0401" w:rsidP="006C0401">
      <w:pPr>
        <w:pStyle w:val="Bibliography"/>
      </w:pPr>
      <w:r>
        <w:t xml:space="preserve">Van </w:t>
      </w:r>
      <w:proofErr w:type="spellStart"/>
      <w:r>
        <w:t>Diggele</w:t>
      </w:r>
      <w:proofErr w:type="spellEnd"/>
      <w:r>
        <w:t xml:space="preserve">, C., Burgess, A., &amp; Mellis, C. (2020). Planning, </w:t>
      </w:r>
      <w:proofErr w:type="gramStart"/>
      <w:r>
        <w:t>preparing</w:t>
      </w:r>
      <w:proofErr w:type="gramEnd"/>
      <w:r>
        <w:t xml:space="preserve"> and structuring a small group teaching session. </w:t>
      </w:r>
      <w:r>
        <w:rPr>
          <w:i/>
          <w:iCs/>
        </w:rPr>
        <w:t>BMC Medical Education</w:t>
      </w:r>
      <w:r>
        <w:t xml:space="preserve">, </w:t>
      </w:r>
      <w:r>
        <w:rPr>
          <w:i/>
          <w:iCs/>
        </w:rPr>
        <w:t>20</w:t>
      </w:r>
      <w:r>
        <w:t>(S2), 462. https://doi.org/10.1186/s12909-020-02281-4</w:t>
      </w:r>
    </w:p>
    <w:p w14:paraId="51C662DE" w14:textId="77777777" w:rsidR="006C0401" w:rsidRDefault="006C0401" w:rsidP="006C0401">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2CBD243" w14:textId="77777777" w:rsidR="006C0401" w:rsidRDefault="006C0401" w:rsidP="006C0401">
      <w:pPr>
        <w:pStyle w:val="Bibliography"/>
      </w:pPr>
      <w:r>
        <w:lastRenderedPageBreak/>
        <w:t xml:space="preserve">Wahyu Ariani, D. (2013). Personality and Learning Motivation. </w:t>
      </w:r>
      <w:r>
        <w:rPr>
          <w:i/>
          <w:iCs/>
        </w:rPr>
        <w:t>European Journal of Business and Management</w:t>
      </w:r>
      <w:r>
        <w:t xml:space="preserve">, </w:t>
      </w:r>
      <w:r>
        <w:rPr>
          <w:i/>
          <w:iCs/>
        </w:rPr>
        <w:t>5</w:t>
      </w:r>
      <w:r>
        <w:t>.</w:t>
      </w:r>
    </w:p>
    <w:p w14:paraId="204E3899" w14:textId="77777777" w:rsidR="006C0401" w:rsidRDefault="006C0401" w:rsidP="006C0401">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3DDFA67" w14:textId="77777777" w:rsidR="006C0401" w:rsidRDefault="006C0401" w:rsidP="006C0401">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5DC43CC" w14:textId="77777777" w:rsidR="006C0401" w:rsidRDefault="006C0401" w:rsidP="006C0401">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0E219EB0" w14:textId="77777777" w:rsidR="006C0401" w:rsidRDefault="006C0401" w:rsidP="006C0401">
      <w:pPr>
        <w:pStyle w:val="Bibliography"/>
      </w:pPr>
      <w:r>
        <w:t xml:space="preserve">Wickham, H. (2014). Tidy Data. </w:t>
      </w:r>
      <w:r>
        <w:rPr>
          <w:i/>
          <w:iCs/>
        </w:rPr>
        <w:t>Journal of Statistical Software</w:t>
      </w:r>
      <w:r>
        <w:t xml:space="preserve">, </w:t>
      </w:r>
      <w:r>
        <w:rPr>
          <w:i/>
          <w:iCs/>
        </w:rPr>
        <w:t>59</w:t>
      </w:r>
      <w:r>
        <w:t>, 1–23. https://doi.org/10.18637/jss.v059.i10</w:t>
      </w:r>
    </w:p>
    <w:p w14:paraId="3AD1748B" w14:textId="77777777" w:rsidR="006C0401" w:rsidRDefault="006C0401" w:rsidP="006C0401">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1070D197" w14:textId="77777777" w:rsidR="006C0401" w:rsidRDefault="006C0401" w:rsidP="006C0401">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53254035" w14:textId="77777777" w:rsidR="006C0401" w:rsidRDefault="006C0401" w:rsidP="006C0401">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571D0D7D" w14:textId="77777777" w:rsidR="006C0401" w:rsidRDefault="006C0401" w:rsidP="006C0401">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109B6541" w14:textId="77777777" w:rsidR="006C0401" w:rsidRDefault="006C0401" w:rsidP="006C0401">
      <w:pPr>
        <w:pStyle w:val="Bibliography"/>
      </w:pPr>
      <w:r>
        <w:lastRenderedPageBreak/>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34883738" w14:textId="77777777" w:rsidR="006C0401" w:rsidRDefault="006C0401" w:rsidP="006C0401">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68BB398E" w14:textId="77777777" w:rsidR="006C0401" w:rsidRDefault="006C0401" w:rsidP="006C0401">
      <w:pPr>
        <w:pStyle w:val="Bibliography"/>
      </w:pPr>
      <w:r>
        <w:t xml:space="preserve">Yu-Tzu Lin, Cheng-Chih Wu, Zhi-Hong Chen, &amp; Pei-Yi Ku. (2020). How Gender Pairings Affect Collaborative Problem Solving in Social-Learning Context: The Effects on Performance, </w:t>
      </w:r>
      <w:proofErr w:type="spellStart"/>
      <w:r>
        <w:t>Behaviors</w:t>
      </w:r>
      <w:proofErr w:type="spellEnd"/>
      <w:r>
        <w:t xml:space="preserve">, and Attitudes. </w:t>
      </w:r>
      <w:r>
        <w:rPr>
          <w:i/>
          <w:iCs/>
        </w:rPr>
        <w:t>Educational Technology &amp; Society</w:t>
      </w:r>
      <w:r>
        <w:t xml:space="preserve">, </w:t>
      </w:r>
      <w:r>
        <w:rPr>
          <w:i/>
          <w:iCs/>
        </w:rPr>
        <w:t>23</w:t>
      </w:r>
      <w:r>
        <w:t>(4). https://doi.org/10.30191/ETS.202010_23(4).0003</w:t>
      </w:r>
    </w:p>
    <w:p w14:paraId="719BF119" w14:textId="77777777" w:rsidR="006C0401" w:rsidRDefault="006C0401" w:rsidP="006C0401">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067D373C" w14:textId="77777777" w:rsidR="006C0401" w:rsidRDefault="006C0401" w:rsidP="006C0401">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642C8BD4"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lastRenderedPageBreak/>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8"/>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lastRenderedPageBreak/>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D601A"/>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0401"/>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D0C81"/>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0791"/>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07A3D"/>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feature_importance.ipyn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borbregant/ai_tandem_learning/blob/main/data_cleaned.xls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27</Pages>
  <Words>32810</Words>
  <Characters>187019</Characters>
  <Application>Microsoft Office Word</Application>
  <DocSecurity>0</DocSecurity>
  <Lines>1558</Lines>
  <Paragraphs>438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490</cp:revision>
  <cp:lastPrinted>2023-09-30T17:21:00Z</cp:lastPrinted>
  <dcterms:created xsi:type="dcterms:W3CDTF">2023-09-23T17:00:00Z</dcterms:created>
  <dcterms:modified xsi:type="dcterms:W3CDTF">2024-01-15T07:11:00Z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id="baOVN12M"/&gt;&lt;style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