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DDBAED5" w:rsidR="00C82440" w:rsidRDefault="00C82440" w:rsidP="00573B0C">
      <w:pPr>
        <w:pStyle w:val="Heading1"/>
      </w:pPr>
      <w:r w:rsidRPr="00C82440">
        <w:t xml:space="preserve">Enhancing PISA 2022 Mathematics Performance in Slovenia: A </w:t>
      </w:r>
      <w:r w:rsidR="002A7BD8">
        <w:t>Gender</w:t>
      </w:r>
      <w:r w:rsidRPr="00C82440">
        <w:t xml:space="preserve"> Analysis Approach to Additional Instruction Method</w:t>
      </w:r>
      <w:commentRangeStart w:id="0"/>
      <w:commentRangeStart w:id="1"/>
      <w:commentRangeStart w:id="2"/>
      <w:r w:rsidRPr="00C82440">
        <w:t>s</w:t>
      </w:r>
      <w:commentRangeEnd w:id="0"/>
      <w:r w:rsidR="00F50DCA">
        <w:rPr>
          <w:rStyle w:val="CommentReference"/>
          <w:rFonts w:asciiTheme="minorHAnsi" w:eastAsiaTheme="minorHAnsi" w:hAnsiTheme="minorHAnsi" w:cstheme="minorBidi"/>
          <w:color w:val="auto"/>
        </w:rPr>
        <w:commentReference w:id="0"/>
      </w:r>
      <w:commentRangeEnd w:id="1"/>
      <w:r w:rsidR="0009257C">
        <w:rPr>
          <w:rStyle w:val="CommentReference"/>
          <w:rFonts w:asciiTheme="minorHAnsi" w:eastAsiaTheme="minorHAnsi" w:hAnsiTheme="minorHAnsi" w:cstheme="minorBidi"/>
          <w:color w:val="auto"/>
        </w:rPr>
        <w:commentReference w:id="1"/>
      </w:r>
      <w:commentRangeEnd w:id="2"/>
      <w:r w:rsidR="00370315">
        <w:rPr>
          <w:rStyle w:val="CommentReference"/>
          <w:rFonts w:asciiTheme="minorHAnsi" w:eastAsiaTheme="minorHAnsi" w:hAnsiTheme="minorHAnsi" w:cstheme="minorBidi"/>
          <w:color w:val="auto"/>
        </w:rPr>
        <w:commentReference w:id="2"/>
      </w:r>
    </w:p>
    <w:p w14:paraId="70DBAE3B" w14:textId="7A815AF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4D4273F" w14:textId="661BBB1C" w:rsidR="00263198" w:rsidRPr="001B6641" w:rsidRDefault="00263198" w:rsidP="00581C96">
      <w:pPr>
        <w:rPr>
          <w:lang w:val="en-US"/>
        </w:rPr>
      </w:pPr>
      <w:r w:rsidRPr="00120DFE">
        <w:rPr>
          <w:lang w:val="en-US"/>
        </w:rPr>
        <w:t xml:space="preserve">The PISA 2022 datasets offer great possibilities for a deeper understanding of the additional factors that might help predict students’ outcomes on the mathematics assessment. This study explores the impact of additional mathematics instruction methods on Slovenian students' performance in the 2022 PISA assessment. The research examines various instructional approaches, including one-on-one tutoring, digital resources, and group study sessions, analyzing their prevalence </w:t>
      </w:r>
      <w:r w:rsidRPr="00581C96">
        <w:rPr>
          <w:lang w:val="en-US"/>
        </w:rPr>
        <w:t xml:space="preserve">and effectiveness. </w:t>
      </w:r>
      <w:r w:rsidR="00581C96" w:rsidRPr="00581C96">
        <w:rPr>
          <w:lang w:val="en-US"/>
        </w:rPr>
        <w:t>Using an exploratory</w:t>
      </w:r>
      <w:r w:rsidR="00581C96">
        <w:rPr>
          <w:lang w:val="en-US"/>
        </w:rPr>
        <w:t xml:space="preserve"> design, </w:t>
      </w:r>
      <w:r w:rsidR="00581C96">
        <w:t xml:space="preserve">significant differences in instructional method preferences were found </w:t>
      </w:r>
      <w:r w:rsidR="00581C96" w:rsidRPr="00581C96">
        <w:t xml:space="preserve">between genders and countries. While no additional instructional methods were mostly reported, Slovene students </w:t>
      </w:r>
      <w:proofErr w:type="spellStart"/>
      <w:r w:rsidR="00581C96" w:rsidRPr="00581C96">
        <w:t>favored</w:t>
      </w:r>
      <w:proofErr w:type="spellEnd"/>
      <w:r w:rsidR="00581C96" w:rsidRPr="00581C96">
        <w:t xml:space="preserve"> video instruction, whereas one-on-one tutoring was more common globally</w:t>
      </w:r>
      <w:r w:rsidRPr="00581C96">
        <w:rPr>
          <w:lang w:val="en-US"/>
        </w:rPr>
        <w:t xml:space="preserve">. </w:t>
      </w:r>
      <w:r w:rsidR="00581C96" w:rsidRPr="00581C96">
        <w:t>Gender differences were</w:t>
      </w:r>
      <w:r w:rsidR="00581C96">
        <w:t xml:space="preserve"> notable in both contexts, with females preferring one-on-one tutoring and males </w:t>
      </w:r>
      <w:proofErr w:type="spellStart"/>
      <w:r w:rsidR="00581C96">
        <w:t>favoring</w:t>
      </w:r>
      <w:proofErr w:type="spellEnd"/>
      <w:r w:rsidR="00581C96">
        <w:t xml:space="preserve"> video methods in Slovenia, and significant differences in all methods internationally except for large group instruction</w:t>
      </w:r>
      <w:r w:rsidRPr="00120DFE">
        <w:rPr>
          <w:lang w:val="en-US"/>
        </w:rPr>
        <w:t>. This study underscores the importance of understanding diverse instructional preferences and their implications for educational practices. It calls for a balanced integration of digital and traditional learning methods to foster comprehensive educational outcomes. This study provides valuable insights for educators and policymakers aiming to optimize mathematics instruction and enhance student achievement.</w:t>
      </w:r>
    </w:p>
    <w:p w14:paraId="2B3C85A1" w14:textId="0D95BF2F" w:rsidR="00431CE2" w:rsidRPr="008C3573" w:rsidRDefault="00431CE2" w:rsidP="00573B0C">
      <w:pPr>
        <w:pStyle w:val="Heading3"/>
        <w:rPr>
          <w:lang w:val="en-US"/>
        </w:rPr>
      </w:pPr>
      <w:r w:rsidRPr="008C3573">
        <w:rPr>
          <w:lang w:val="en-US"/>
        </w:rPr>
        <w:t>Keywords</w:t>
      </w:r>
    </w:p>
    <w:p w14:paraId="10829AD3" w14:textId="175A783A"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xml:space="preserve">, </w:t>
      </w:r>
      <w:r w:rsidR="004C6023">
        <w:rPr>
          <w:lang w:val="en-US"/>
        </w:rPr>
        <w:t>gender differences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13044192" w:rsidR="00896308" w:rsidRDefault="00F806C5" w:rsidP="00331855">
      <w:pPr>
        <w:spacing w:line="360" w:lineRule="auto"/>
      </w:pPr>
      <w:r w:rsidRPr="00F806C5">
        <w:t>As nations strive to elevate educational standards and outcomes, the assessment of student performance on an international scale becomes increasingly pivotal</w:t>
      </w:r>
      <w:r w:rsidR="00005376">
        <w:t xml:space="preserve"> </w:t>
      </w:r>
      <w:r w:rsidR="00005376">
        <w:fldChar w:fldCharType="begin"/>
      </w:r>
      <w:r w:rsidR="00005376">
        <w:instrText xml:space="preserve"> ADDIN ZOTERO_ITEM CSL_CITATION {"citationID":"IDL0nZCL","properties":{"formattedCitation":"(Kirsch et al., 2013; Ramirez et al., 2018)","plainCitation":"(Kirsch et al., 2013; Ramirez et al., 2018)","noteIndex":0},"citationItems":[{"id":873,"uris":["http://zotero.org/users/local/ZlhuMgGE/items/2P36AYL7"],"itemData":{"id":873,"type":"chapter","container-title":"The Role of International Large-Scale Assessments: Perspectives from Technology, Economy, and Educational Research","event-place":"Dordrecht","ISBN":"978-94-007-4628-2","language":"en","note":"DOI: 10.1007/978-94-007-4629-9_1","page":"1-11","publisher":"Springer Netherlands","publisher-place":"Dordrecht","source":"DOI.org (Crossref)","title":"On the Growing Importance of International Large-Scale Assessments","URL":"http://link.springer.com/10.1007/978-94-007-4629-9_1","editor":[{"family":"Von Davier","given":"Matthias"},{"family":"Gonzalez","given":"Eugenio"},{"family":"Kirsch","given":"Irwin"},{"family":"Yamamoto","given":"Kentaro"}],"author":[{"family":"Kirsch","given":"Irwin"},{"family":"Lennon","given":"Marylou"},{"family":"Von Davier","given":"Matthias"},{"family":"Gonzalez","given":"Eugenio"},{"family":"Yamamoto","given":"Kentaro"}],"accessed":{"date-parts":[["2024",7,15]]},"issued":{"date-parts":[["2013"]]}}},{"id":872,"uris":["http://zotero.org/users/local/ZlhuMgGE/items/JXP2T89I"],"itemData":{"id":872,"type":"article-journal","container-title":"Comparative Education Review","DOI":"10.1086/698326","ISSN":"0010-4086, 1545-701X","issue":"3","journalAbbreviation":"Comparative Education Review","language":"en","page":"344-364","source":"DOI.org (Crossref)","title":"International Tests, National Assessments, and Educational Development (1970–2012)","volume":"62","author":[{"family":"Ramirez","given":"Francisco O."},{"family":"Schofer","given":"Evan"},{"family":"Meyer","given":"John W."}],"issued":{"date-parts":[["2018",8]]}}}],"schema":"https://github.com/citation-style-language/schema/raw/master/csl-citation.json"} </w:instrText>
      </w:r>
      <w:r w:rsidR="00005376">
        <w:fldChar w:fldCharType="separate"/>
      </w:r>
      <w:r w:rsidR="00005376" w:rsidRPr="00005376">
        <w:rPr>
          <w:rFonts w:ascii="Calibri" w:hAnsi="Calibri" w:cs="Calibri"/>
        </w:rPr>
        <w:t>(Kirsch et al., 2013; Ramirez et al., 2018)</w:t>
      </w:r>
      <w:r w:rsidR="00005376">
        <w:fldChar w:fldCharType="end"/>
      </w:r>
      <w:r w:rsidRPr="00F806C5">
        <w:t>.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0D004B">
        <w:instrText xml:space="preserve"> ADDIN ZOTERO_ITEM CSL_CITATION {"citationID":"qhFJE9Oi","properties":{"formattedCitation":"(Hopfenbeck et al., 2018)","plainCitation":"(Hopfenbeck et al., 2018)","noteIndex":0},"citationItems":[{"id":"BQPZCFLM/luuIkWDt","uris":["http://zotero.org/users/local/1Uxvmohd/items/NDGW8DD6"],"itemData":{"id":879,"type":"article-journal","container-title":"Scandinavian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13D9FDE"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0D004B">
        <w:rPr>
          <w:lang w:val="sl-SI"/>
        </w:rPr>
        <w:instrText xml:space="preserve"> ADDIN ZOTERO_ITEM CSL_CITATION {"citationID":"eziFoBzi","properties":{"formattedCitation":"(Bieber &amp; Martens, 2011; Hopfenbeck et al., 2018)","plainCitation":"(Bieber &amp; Martens, 2011; Hopfenbeck et al., 2018)","noteIndex":0},"citationItems":[{"id":"BQPZCFLM/bCksuyG5","uris":["http://zotero.org/users/local/1Uxvmohd/items/9GF6TFWX"],"itemData":{"id":881,"type":"article-journal","abstract":"Although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BQPZCFLM/luuIkWDt","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0D004B">
        <w:rPr>
          <w:lang w:val="sl-SI"/>
        </w:rPr>
        <w:instrText xml:space="preserve"> ADDIN ZOTERO_ITEM CSL_CITATION {"citationID":"6SiZs1j4","properties":{"formattedCitation":"(Cuder et al., 2023; Piccirilli et al., 2023)","plainCitation":"(Cuder et al., 2023; Piccirilli et al., 2023)","noteIndex":0},"citationItems":[{"id":"BQPZCFLM/fR8Ewtxw","uris":["http://zotero.org/users/local/1Uxvmohd/items/HSWKJAWK"],"itemData":{"id":146,"type":"article-journal","container-title":"Journal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Chiara"}],"issued":{"date-parts":[["2023",9]]}}},{"id":"BQPZCFLM/Z9fTRAWm","uris":["http://zotero.org/users/local/1Uxvmohd/items/973GVGWY"],"itemData":{"id":144,"type":"article-journal","abstract":"Introduction\n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r w:rsidRPr="00291F68">
        <w:t>implemented across Slovenia</w:t>
      </w:r>
      <w:r w:rsidR="00291F68" w:rsidRPr="00291F68">
        <w:t xml:space="preserve"> and globally</w:t>
      </w:r>
      <w:r w:rsidRPr="00291F68">
        <w:t>.</w:t>
      </w:r>
    </w:p>
    <w:p w14:paraId="44C2EF5B" w14:textId="736527C0" w:rsidR="0086077D" w:rsidRDefault="00F806C5" w:rsidP="00331855">
      <w:pPr>
        <w:spacing w:line="360" w:lineRule="auto"/>
        <w:rPr>
          <w:lang w:val="sl-SI"/>
        </w:rPr>
      </w:pPr>
      <w:proofErr w:type="spellStart"/>
      <w:r w:rsidRPr="00F806C5">
        <w:rPr>
          <w:lang w:val="sl-SI"/>
        </w:rPr>
        <w:lastRenderedPageBreak/>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0D004B">
        <w:rPr>
          <w:lang w:val="sl-SI"/>
        </w:rPr>
        <w:instrText xml:space="preserve"> ADDIN ZOTERO_ITEM CSL_CITATION {"citationID":"aCUSiIqe","properties":{"formattedCitation":"(Jerrim et al., 2024)","plainCitation":"(Jerrim et al., 2024)","dontUpdate":true,"noteIndex":0},"citationItems":[{"id":"BQPZCFLM/qAbIvopo","uris":["http://zotero.org/users/local/1Uxvmohd/items/MAELRLPM"],"itemData":{"id":883,"type":"article-journal","container-title":"British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Jerrim et al., 2024</w:t>
      </w:r>
      <w:r w:rsidR="002C169B">
        <w:rPr>
          <w:rFonts w:ascii="Calibri" w:hAnsi="Calibri" w:cs="Calibri"/>
        </w:rPr>
        <w:t xml:space="preserve">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00005376">
        <w:rPr>
          <w:lang w:val="sl-SI"/>
        </w:rPr>
        <w:t xml:space="preserve"> </w:t>
      </w:r>
      <w:r w:rsidR="00005376">
        <w:rPr>
          <w:lang w:val="sl-SI"/>
        </w:rPr>
        <w:fldChar w:fldCharType="begin"/>
      </w:r>
      <w:r w:rsidR="00005376">
        <w:rPr>
          <w:lang w:val="sl-SI"/>
        </w:rPr>
        <w:instrText xml:space="preserve"> ADDIN ZOTERO_ITEM CSL_CITATION {"citationID":"KGV62GBu","properties":{"formattedCitation":"(Lingard &amp; Sellar, 2013; Sepp\\uc0\\u228{}nen et al., 2020)","plainCitation":"(Lingard &amp; Sellar, 2013; Seppänen et al., 2020)","noteIndex":0},"citationItems":[{"id":875,"uris":["http://zotero.org/users/local/ZlhuMgGE/items/BPNPFNZY"],"itemData":{"id":875,"type":"chapter","container-title":"Contemporary Debates in the Sociology of Education","event-place":"London","ISBN":"978-1-349-44415-1","language":"en","note":"DOI: 10.1057/9781137269881_2","page":"19-38","publisher":"Palgrave Macmillan UK","publisher-place":"London","source":"DOI.org (Crossref)","title":"Globalisation and Sociology of Education Policy: The Case of PISA","title-short":"Globalisation and Sociology of Education Policy","URL":"http://link.springer.com/10.1057/9781137269881_2","editor":[{"family":"Brooks","given":"Rachel"},{"family":"McCormack","given":"Mark"},{"family":"Bhopal","given":"Kalwant"}],"author":[{"family":"Lingard","given":"Bob"},{"family":"Sellar","given":"Sam"}],"accessed":{"date-parts":[["2024",7,15]]},"issued":{"date-parts":[["2013"]]}}},{"id":874,"uris":["http://zotero.org/users/local/ZlhuMgGE/items/NTMK4NVZ"],"itemData":{"id":874,"type":"chapter","container-title":"Privatisation and Commercialisation in Public Education","edition":"1","event-place":"Abingdon, Oxon ; New York, NY : Routledge, 2021.","ISBN":"978-0-429-33002-5","language":"en","note":"DOI: 10.4324/9780429330025-9","page":"101-118","publisher":"Routledge","publisher-place":"Abingdon, Oxon ; New York, NY : Routledge, 2021.","source":"DOI.org (Crossref)","title":"Edu-business in Finnish schooling","URL":"https://www.taylorfrancis.com/books/9781000202229/chapters/10.4324/9780429330025-9","editor":[{"family":"Hogan","given":"Anna"},{"family":"Thompson","given":"Greg"}],"author":[{"family":"Seppänen","given":"Piia"},{"family":"Thrupp","given":"Martin"},{"family":"Lempinen","given":"Sonia"}],"accessed":{"date-parts":[["2024",7,15]]},"issued":{"date-parts":[["2020",9,18]]}}}],"schema":"https://github.com/citation-style-language/schema/raw/master/csl-citation.json"} </w:instrText>
      </w:r>
      <w:r w:rsidR="00005376">
        <w:rPr>
          <w:lang w:val="sl-SI"/>
        </w:rPr>
        <w:fldChar w:fldCharType="separate"/>
      </w:r>
      <w:r w:rsidR="00005376" w:rsidRPr="00005376">
        <w:rPr>
          <w:rFonts w:ascii="Calibri" w:hAnsi="Calibri" w:cs="Calibri"/>
          <w:kern w:val="0"/>
        </w:rPr>
        <w:t>(Lingard &amp; Sellar, 2013; Seppänen et al., 2020)</w:t>
      </w:r>
      <w:r w:rsidR="00005376">
        <w:rPr>
          <w:lang w:val="sl-SI"/>
        </w:rPr>
        <w:fldChar w:fldCharType="end"/>
      </w:r>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0C53DD55" w14:textId="7FA856A5" w:rsidR="004422CC" w:rsidRDefault="0086077D" w:rsidP="00331855">
      <w:pPr>
        <w:spacing w:line="360" w:lineRule="auto"/>
        <w:rPr>
          <w:lang w:val="sl-SI"/>
        </w:rPr>
      </w:pPr>
      <w:r>
        <w:rPr>
          <w:lang w:val="sl-SI"/>
        </w:rPr>
        <w:t xml:space="preserve">In </w:t>
      </w:r>
      <w:proofErr w:type="spellStart"/>
      <w:r>
        <w:rPr>
          <w:lang w:val="sl-SI"/>
        </w:rPr>
        <w:t>the</w:t>
      </w:r>
      <w:proofErr w:type="spellEnd"/>
      <w:r>
        <w:rPr>
          <w:lang w:val="sl-SI"/>
        </w:rPr>
        <w:t xml:space="preserve"> 2022 </w:t>
      </w:r>
      <w:proofErr w:type="spellStart"/>
      <w:r>
        <w:rPr>
          <w:lang w:val="sl-SI"/>
        </w:rPr>
        <w:t>mathematics</w:t>
      </w:r>
      <w:proofErr w:type="spellEnd"/>
      <w:r>
        <w:rPr>
          <w:lang w:val="sl-SI"/>
        </w:rPr>
        <w:t xml:space="preserve"> PISA </w:t>
      </w:r>
      <w:proofErr w:type="spellStart"/>
      <w:r>
        <w:rPr>
          <w:lang w:val="sl-SI"/>
        </w:rPr>
        <w:t>asse</w:t>
      </w:r>
      <w:r w:rsidR="003D080D">
        <w:rPr>
          <w:lang w:val="sl-SI"/>
        </w:rPr>
        <w:t>ssment</w:t>
      </w:r>
      <w:proofErr w:type="spellEnd"/>
      <w:r>
        <w:rPr>
          <w:lang w:val="sl-SI"/>
        </w:rPr>
        <w:t xml:space="preserve">, </w:t>
      </w:r>
      <w:proofErr w:type="spellStart"/>
      <w:r>
        <w:rPr>
          <w:lang w:val="sl-SI"/>
        </w:rPr>
        <w:t>specific</w:t>
      </w:r>
      <w:proofErr w:type="spellEnd"/>
      <w:r>
        <w:rPr>
          <w:lang w:val="sl-SI"/>
        </w:rPr>
        <w:t xml:space="preserve"> </w:t>
      </w:r>
      <w:proofErr w:type="spellStart"/>
      <w:r>
        <w:rPr>
          <w:lang w:val="sl-SI"/>
        </w:rPr>
        <w:t>questions</w:t>
      </w:r>
      <w:proofErr w:type="spellEnd"/>
      <w:r>
        <w:rPr>
          <w:lang w:val="sl-SI"/>
        </w:rPr>
        <w:t xml:space="preserve"> </w:t>
      </w:r>
      <w:proofErr w:type="spellStart"/>
      <w:r>
        <w:rPr>
          <w:lang w:val="sl-SI"/>
        </w:rPr>
        <w:t>about</w:t>
      </w:r>
      <w:proofErr w:type="spellEnd"/>
      <w:r>
        <w:rPr>
          <w:lang w:val="sl-SI"/>
        </w:rPr>
        <w:t xml:space="preserve"> </w:t>
      </w:r>
      <w:proofErr w:type="spellStart"/>
      <w:r>
        <w:rPr>
          <w:lang w:val="sl-SI"/>
        </w:rPr>
        <w:t>students</w:t>
      </w:r>
      <w:proofErr w:type="spellEnd"/>
      <w:r>
        <w:rPr>
          <w:lang w:val="sl-SI"/>
        </w:rPr>
        <w:t xml:space="preserve">' </w:t>
      </w:r>
      <w:proofErr w:type="spellStart"/>
      <w:r>
        <w:rPr>
          <w:lang w:val="sl-SI"/>
        </w:rPr>
        <w:t>instructional</w:t>
      </w:r>
      <w:proofErr w:type="spellEnd"/>
      <w:r>
        <w:rPr>
          <w:lang w:val="sl-SI"/>
        </w:rPr>
        <w:t xml:space="preserve"> </w:t>
      </w:r>
      <w:proofErr w:type="spellStart"/>
      <w:r>
        <w:rPr>
          <w:lang w:val="sl-SI"/>
        </w:rPr>
        <w:t>methods</w:t>
      </w:r>
      <w:proofErr w:type="spellEnd"/>
      <w:r>
        <w:rPr>
          <w:lang w:val="sl-SI"/>
        </w:rPr>
        <w:t xml:space="preserve"> </w:t>
      </w:r>
      <w:proofErr w:type="spellStart"/>
      <w:r>
        <w:rPr>
          <w:lang w:val="sl-SI"/>
        </w:rPr>
        <w:t>were</w:t>
      </w:r>
      <w:proofErr w:type="spellEnd"/>
      <w:r>
        <w:rPr>
          <w:lang w:val="sl-SI"/>
        </w:rPr>
        <w:t xml:space="preserve"> </w:t>
      </w:r>
      <w:proofErr w:type="spellStart"/>
      <w:r>
        <w:rPr>
          <w:lang w:val="sl-SI"/>
        </w:rPr>
        <w:t>asked</w:t>
      </w:r>
      <w:proofErr w:type="spellEnd"/>
      <w:r w:rsidR="000A2024">
        <w:rPr>
          <w:lang w:val="sl-SI"/>
        </w:rPr>
        <w:t xml:space="preserve"> </w:t>
      </w:r>
      <w:r w:rsidR="000A2024">
        <w:rPr>
          <w:lang w:val="sl-SI"/>
        </w:rPr>
        <w:fldChar w:fldCharType="begin"/>
      </w:r>
      <w:r w:rsidR="00D64EAD">
        <w:rPr>
          <w:lang w:val="sl-SI"/>
        </w:rPr>
        <w:instrText xml:space="preserve"> ADDIN ZOTERO_ITEM CSL_CITATION {"citationID":"iOGinlXP","properties":{"formattedCitation":"(OECD,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0A2024">
        <w:rPr>
          <w:lang w:val="sl-SI"/>
        </w:rPr>
        <w:fldChar w:fldCharType="separate"/>
      </w:r>
      <w:r w:rsidR="00D64EAD" w:rsidRPr="00D64EAD">
        <w:rPr>
          <w:rFonts w:ascii="Calibri" w:hAnsi="Calibri" w:cs="Calibri"/>
        </w:rPr>
        <w:t>(OECD, 2023a)</w:t>
      </w:r>
      <w:r w:rsidR="000A2024">
        <w:rPr>
          <w:lang w:val="sl-SI"/>
        </w:rPr>
        <w:fldChar w:fldCharType="end"/>
      </w:r>
      <w:r>
        <w:rPr>
          <w:lang w:val="sl-SI"/>
        </w:rPr>
        <w:t xml:space="preserve">. In </w:t>
      </w:r>
      <w:proofErr w:type="spellStart"/>
      <w:r>
        <w:rPr>
          <w:lang w:val="sl-SI"/>
        </w:rPr>
        <w:t>particular</w:t>
      </w:r>
      <w:proofErr w:type="spellEnd"/>
      <w:r>
        <w:rPr>
          <w:lang w:val="sl-SI"/>
        </w:rPr>
        <w:t xml:space="preserve">, </w:t>
      </w:r>
      <w:proofErr w:type="spellStart"/>
      <w:r>
        <w:rPr>
          <w:lang w:val="sl-SI"/>
        </w:rPr>
        <w:t>participants</w:t>
      </w:r>
      <w:proofErr w:type="spellEnd"/>
      <w:r>
        <w:rPr>
          <w:lang w:val="sl-SI"/>
        </w:rPr>
        <w:t xml:space="preserve"> </w:t>
      </w:r>
      <w:proofErr w:type="spellStart"/>
      <w:r>
        <w:rPr>
          <w:lang w:val="sl-SI"/>
        </w:rPr>
        <w:t>were</w:t>
      </w:r>
      <w:proofErr w:type="spellEnd"/>
      <w:r>
        <w:rPr>
          <w:lang w:val="sl-SI"/>
        </w:rPr>
        <w:t xml:space="preserve"> </w:t>
      </w:r>
      <w:proofErr w:type="spellStart"/>
      <w:r>
        <w:rPr>
          <w:lang w:val="sl-SI"/>
        </w:rPr>
        <w:t>asked</w:t>
      </w:r>
      <w:proofErr w:type="spellEnd"/>
      <w:r>
        <w:rPr>
          <w:lang w:val="sl-SI"/>
        </w:rPr>
        <w:t xml:space="preserve"> </w:t>
      </w:r>
      <w:proofErr w:type="spellStart"/>
      <w:r>
        <w:rPr>
          <w:lang w:val="sl-SI"/>
        </w:rPr>
        <w:t>whether</w:t>
      </w:r>
      <w:proofErr w:type="spellEnd"/>
      <w:r w:rsidR="003D080D">
        <w:rPr>
          <w:lang w:val="sl-SI"/>
        </w:rPr>
        <w:t xml:space="preserve">, </w:t>
      </w:r>
      <w:proofErr w:type="spellStart"/>
      <w:r w:rsidR="003D080D">
        <w:rPr>
          <w:lang w:val="sl-SI"/>
        </w:rPr>
        <w:t>during</w:t>
      </w:r>
      <w:proofErr w:type="spellEnd"/>
      <w:r w:rsidR="003D080D">
        <w:rPr>
          <w:lang w:val="sl-SI"/>
        </w:rPr>
        <w:t xml:space="preserve"> </w:t>
      </w:r>
      <w:proofErr w:type="spellStart"/>
      <w:r w:rsidR="003D080D">
        <w:rPr>
          <w:lang w:val="sl-SI"/>
        </w:rPr>
        <w:t>the</w:t>
      </w:r>
      <w:proofErr w:type="spellEnd"/>
      <w:r>
        <w:rPr>
          <w:lang w:val="sl-SI"/>
        </w:rPr>
        <w:t xml:space="preserve"> </w:t>
      </w:r>
      <w:proofErr w:type="spellStart"/>
      <w:r>
        <w:rPr>
          <w:lang w:val="sl-SI"/>
        </w:rPr>
        <w:t>school</w:t>
      </w:r>
      <w:proofErr w:type="spellEnd"/>
      <w:r>
        <w:rPr>
          <w:lang w:val="sl-SI"/>
        </w:rPr>
        <w:t xml:space="preserve"> </w:t>
      </w:r>
      <w:proofErr w:type="spellStart"/>
      <w:r>
        <w:rPr>
          <w:lang w:val="sl-SI"/>
        </w:rPr>
        <w:t>year</w:t>
      </w:r>
      <w:proofErr w:type="spellEnd"/>
      <w:r w:rsidR="003D080D">
        <w:rPr>
          <w:lang w:val="sl-SI"/>
        </w:rPr>
        <w:t>,</w:t>
      </w:r>
      <w:r>
        <w:rPr>
          <w:lang w:val="sl-SI"/>
        </w:rPr>
        <w:t xml:space="preserve"> </w:t>
      </w:r>
      <w:proofErr w:type="spellStart"/>
      <w:r>
        <w:rPr>
          <w:lang w:val="sl-SI"/>
        </w:rPr>
        <w:t>they</w:t>
      </w:r>
      <w:proofErr w:type="spellEnd"/>
      <w:r>
        <w:rPr>
          <w:lang w:val="sl-SI"/>
        </w:rPr>
        <w:t xml:space="preserve"> </w:t>
      </w:r>
      <w:proofErr w:type="spellStart"/>
      <w:r>
        <w:rPr>
          <w:lang w:val="sl-SI"/>
        </w:rPr>
        <w:t>participated</w:t>
      </w:r>
      <w:proofErr w:type="spellEnd"/>
      <w:r>
        <w:rPr>
          <w:lang w:val="sl-SI"/>
        </w:rPr>
        <w:t xml:space="preserve"> in </w:t>
      </w:r>
      <w:proofErr w:type="spellStart"/>
      <w:r>
        <w:rPr>
          <w:lang w:val="sl-SI"/>
        </w:rPr>
        <w:t>additional</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instruction</w:t>
      </w:r>
      <w:proofErr w:type="spellEnd"/>
      <w:r>
        <w:rPr>
          <w:lang w:val="sl-SI"/>
        </w:rPr>
        <w:t xml:space="preserve"> in </w:t>
      </w:r>
      <w:proofErr w:type="spellStart"/>
      <w:r>
        <w:rPr>
          <w:lang w:val="sl-SI"/>
        </w:rPr>
        <w:t>the</w:t>
      </w:r>
      <w:proofErr w:type="spellEnd"/>
      <w:r>
        <w:rPr>
          <w:lang w:val="sl-SI"/>
        </w:rPr>
        <w:t xml:space="preserve"> form </w:t>
      </w:r>
      <w:proofErr w:type="spellStart"/>
      <w:r>
        <w:rPr>
          <w:lang w:val="sl-SI"/>
        </w:rPr>
        <w:t>of</w:t>
      </w:r>
      <w:proofErr w:type="spellEnd"/>
      <w:r>
        <w:rPr>
          <w:lang w:val="sl-SI"/>
        </w:rPr>
        <w:t xml:space="preserve"> (1) one-on-one </w:t>
      </w:r>
      <w:proofErr w:type="spellStart"/>
      <w:r>
        <w:rPr>
          <w:lang w:val="sl-SI"/>
        </w:rPr>
        <w:t>tutoring</w:t>
      </w:r>
      <w:proofErr w:type="spellEnd"/>
      <w:r>
        <w:rPr>
          <w:lang w:val="sl-SI"/>
        </w:rPr>
        <w:t xml:space="preserve"> </w:t>
      </w:r>
      <w:proofErr w:type="spellStart"/>
      <w:r>
        <w:rPr>
          <w:lang w:val="sl-SI"/>
        </w:rPr>
        <w:t>with</w:t>
      </w:r>
      <w:proofErr w:type="spellEnd"/>
      <w:r>
        <w:rPr>
          <w:lang w:val="sl-SI"/>
        </w:rPr>
        <w:t xml:space="preserve"> a person, (2) internet </w:t>
      </w:r>
      <w:proofErr w:type="spellStart"/>
      <w:r>
        <w:rPr>
          <w:lang w:val="sl-SI"/>
        </w:rPr>
        <w:t>or</w:t>
      </w:r>
      <w:proofErr w:type="spellEnd"/>
      <w:r>
        <w:rPr>
          <w:lang w:val="sl-SI"/>
        </w:rPr>
        <w:t xml:space="preserve"> </w:t>
      </w:r>
      <w:proofErr w:type="spellStart"/>
      <w:r>
        <w:rPr>
          <w:lang w:val="sl-SI"/>
        </w:rPr>
        <w:t>computer</w:t>
      </w:r>
      <w:proofErr w:type="spellEnd"/>
      <w:r>
        <w:rPr>
          <w:lang w:val="sl-SI"/>
        </w:rPr>
        <w:t xml:space="preserve"> </w:t>
      </w:r>
      <w:proofErr w:type="spellStart"/>
      <w:r>
        <w:rPr>
          <w:lang w:val="sl-SI"/>
        </w:rPr>
        <w:t>tutoring</w:t>
      </w:r>
      <w:proofErr w:type="spellEnd"/>
      <w:r>
        <w:rPr>
          <w:lang w:val="sl-SI"/>
        </w:rPr>
        <w:t xml:space="preserve"> </w:t>
      </w:r>
      <w:proofErr w:type="spellStart"/>
      <w:r>
        <w:rPr>
          <w:lang w:val="sl-SI"/>
        </w:rPr>
        <w:t>with</w:t>
      </w:r>
      <w:proofErr w:type="spellEnd"/>
      <w:r>
        <w:rPr>
          <w:lang w:val="sl-SI"/>
        </w:rPr>
        <w:t xml:space="preserve"> a program </w:t>
      </w:r>
      <w:proofErr w:type="spellStart"/>
      <w:r>
        <w:rPr>
          <w:lang w:val="sl-SI"/>
        </w:rPr>
        <w:t>or</w:t>
      </w:r>
      <w:proofErr w:type="spellEnd"/>
      <w:r>
        <w:rPr>
          <w:lang w:val="sl-SI"/>
        </w:rPr>
        <w:t xml:space="preserve"> </w:t>
      </w:r>
      <w:proofErr w:type="spellStart"/>
      <w:r>
        <w:rPr>
          <w:lang w:val="sl-SI"/>
        </w:rPr>
        <w:t>application</w:t>
      </w:r>
      <w:proofErr w:type="spellEnd"/>
      <w:r>
        <w:rPr>
          <w:lang w:val="sl-SI"/>
        </w:rPr>
        <w:t>, (3) video-</w:t>
      </w:r>
      <w:proofErr w:type="spellStart"/>
      <w:r>
        <w:rPr>
          <w:lang w:val="sl-SI"/>
        </w:rPr>
        <w:t>recorded</w:t>
      </w:r>
      <w:proofErr w:type="spellEnd"/>
      <w:r>
        <w:rPr>
          <w:lang w:val="sl-SI"/>
        </w:rPr>
        <w:t xml:space="preserve"> </w:t>
      </w:r>
      <w:proofErr w:type="spellStart"/>
      <w:r>
        <w:rPr>
          <w:lang w:val="sl-SI"/>
        </w:rPr>
        <w:t>instruction</w:t>
      </w:r>
      <w:proofErr w:type="spellEnd"/>
      <w:r>
        <w:rPr>
          <w:lang w:val="sl-SI"/>
        </w:rPr>
        <w:t xml:space="preserve"> </w:t>
      </w:r>
      <w:proofErr w:type="spellStart"/>
      <w:r>
        <w:rPr>
          <w:lang w:val="sl-SI"/>
        </w:rPr>
        <w:t>by</w:t>
      </w:r>
      <w:proofErr w:type="spellEnd"/>
      <w:r>
        <w:rPr>
          <w:lang w:val="sl-SI"/>
        </w:rPr>
        <w:t xml:space="preserve"> a person, (4) </w:t>
      </w:r>
      <w:proofErr w:type="spellStart"/>
      <w:r>
        <w:rPr>
          <w:lang w:val="sl-SI"/>
        </w:rPr>
        <w:t>small</w:t>
      </w:r>
      <w:proofErr w:type="spellEnd"/>
      <w:r>
        <w:rPr>
          <w:lang w:val="sl-SI"/>
        </w:rPr>
        <w:t xml:space="preserve"> </w:t>
      </w:r>
      <w:proofErr w:type="spellStart"/>
      <w:r>
        <w:rPr>
          <w:lang w:val="sl-SI"/>
        </w:rPr>
        <w:t>group</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or</w:t>
      </w:r>
      <w:proofErr w:type="spellEnd"/>
      <w:r>
        <w:rPr>
          <w:lang w:val="sl-SI"/>
        </w:rPr>
        <w:t xml:space="preserve"> </w:t>
      </w:r>
      <w:proofErr w:type="spellStart"/>
      <w:r w:rsidRPr="005C06CB">
        <w:rPr>
          <w:lang w:val="sl-SI"/>
        </w:rPr>
        <w:t>practice</w:t>
      </w:r>
      <w:proofErr w:type="spellEnd"/>
      <w:r w:rsidRPr="005C06CB">
        <w:rPr>
          <w:lang w:val="sl-SI"/>
        </w:rPr>
        <w:t xml:space="preserve"> (2 to 7 </w:t>
      </w:r>
      <w:proofErr w:type="spellStart"/>
      <w:r w:rsidRPr="005C06CB">
        <w:rPr>
          <w:lang w:val="sl-SI"/>
        </w:rPr>
        <w:t>students</w:t>
      </w:r>
      <w:proofErr w:type="spellEnd"/>
      <w:r w:rsidRPr="005C06CB">
        <w:rPr>
          <w:lang w:val="sl-SI"/>
        </w:rPr>
        <w:t xml:space="preserve">), (5) large </w:t>
      </w:r>
      <w:proofErr w:type="spellStart"/>
      <w:r w:rsidRPr="005C06CB">
        <w:rPr>
          <w:lang w:val="sl-SI"/>
        </w:rPr>
        <w:t>group</w:t>
      </w:r>
      <w:proofErr w:type="spellEnd"/>
      <w:r w:rsidRPr="005C06CB">
        <w:rPr>
          <w:lang w:val="sl-SI"/>
        </w:rPr>
        <w:t xml:space="preserve"> </w:t>
      </w:r>
      <w:proofErr w:type="spellStart"/>
      <w:r w:rsidRPr="005C06CB">
        <w:rPr>
          <w:lang w:val="sl-SI"/>
        </w:rPr>
        <w:t>study</w:t>
      </w:r>
      <w:proofErr w:type="spellEnd"/>
      <w:r w:rsidRPr="005C06CB">
        <w:rPr>
          <w:lang w:val="sl-SI"/>
        </w:rPr>
        <w:t xml:space="preserve"> </w:t>
      </w:r>
      <w:proofErr w:type="spellStart"/>
      <w:r w:rsidRPr="005C06CB">
        <w:rPr>
          <w:lang w:val="sl-SI"/>
        </w:rPr>
        <w:t>or</w:t>
      </w:r>
      <w:proofErr w:type="spellEnd"/>
      <w:r w:rsidRPr="005C06CB">
        <w:rPr>
          <w:lang w:val="sl-SI"/>
        </w:rPr>
        <w:t xml:space="preserve"> </w:t>
      </w:r>
      <w:proofErr w:type="spellStart"/>
      <w:r w:rsidRPr="005C06CB">
        <w:rPr>
          <w:lang w:val="sl-SI"/>
        </w:rPr>
        <w:t>practice</w:t>
      </w:r>
      <w:proofErr w:type="spellEnd"/>
      <w:r w:rsidRPr="005C06CB">
        <w:rPr>
          <w:lang w:val="sl-SI"/>
        </w:rPr>
        <w:t xml:space="preserve"> (8 </w:t>
      </w:r>
      <w:proofErr w:type="spellStart"/>
      <w:r w:rsidRPr="005C06CB">
        <w:rPr>
          <w:lang w:val="sl-SI"/>
        </w:rPr>
        <w:t>or</w:t>
      </w:r>
      <w:proofErr w:type="spellEnd"/>
      <w:r w:rsidRPr="005C06CB">
        <w:rPr>
          <w:lang w:val="sl-SI"/>
        </w:rPr>
        <w:t xml:space="preserve"> more </w:t>
      </w:r>
      <w:proofErr w:type="spellStart"/>
      <w:r w:rsidRPr="005C06CB">
        <w:rPr>
          <w:lang w:val="sl-SI"/>
        </w:rPr>
        <w:t>students</w:t>
      </w:r>
      <w:proofErr w:type="spellEnd"/>
      <w:r w:rsidRPr="005C06CB">
        <w:rPr>
          <w:lang w:val="sl-SI"/>
        </w:rPr>
        <w:t xml:space="preserve">), </w:t>
      </w:r>
      <w:proofErr w:type="spellStart"/>
      <w:r w:rsidRPr="005C06CB">
        <w:rPr>
          <w:lang w:val="sl-SI"/>
        </w:rPr>
        <w:t>or</w:t>
      </w:r>
      <w:proofErr w:type="spellEnd"/>
      <w:r w:rsidRPr="005C06CB">
        <w:rPr>
          <w:lang w:val="sl-SI"/>
        </w:rPr>
        <w:t xml:space="preserve"> (6) </w:t>
      </w:r>
      <w:proofErr w:type="spellStart"/>
      <w:r w:rsidRPr="005C06CB">
        <w:rPr>
          <w:lang w:val="sl-SI"/>
        </w:rPr>
        <w:t>did</w:t>
      </w:r>
      <w:proofErr w:type="spellEnd"/>
      <w:r w:rsidRPr="005C06CB">
        <w:rPr>
          <w:lang w:val="sl-SI"/>
        </w:rPr>
        <w:t xml:space="preserve"> not </w:t>
      </w:r>
      <w:proofErr w:type="spellStart"/>
      <w:r w:rsidRPr="005C06CB">
        <w:rPr>
          <w:lang w:val="sl-SI"/>
        </w:rPr>
        <w:t>participate</w:t>
      </w:r>
      <w:proofErr w:type="spellEnd"/>
      <w:r w:rsidRPr="005C06CB">
        <w:rPr>
          <w:lang w:val="sl-SI"/>
        </w:rPr>
        <w:t xml:space="preserve"> in </w:t>
      </w:r>
      <w:proofErr w:type="spellStart"/>
      <w:r w:rsidRPr="005C06CB">
        <w:rPr>
          <w:lang w:val="sl-SI"/>
        </w:rPr>
        <w:t>additional</w:t>
      </w:r>
      <w:proofErr w:type="spellEnd"/>
      <w:r w:rsidRPr="005C06CB">
        <w:rPr>
          <w:lang w:val="sl-SI"/>
        </w:rPr>
        <w:t xml:space="preserve"> </w:t>
      </w:r>
      <w:proofErr w:type="spellStart"/>
      <w:r w:rsidRPr="005C06CB">
        <w:rPr>
          <w:lang w:val="sl-SI"/>
        </w:rPr>
        <w:t>mathematics</w:t>
      </w:r>
      <w:proofErr w:type="spellEnd"/>
      <w:r w:rsidRPr="005C06CB">
        <w:rPr>
          <w:lang w:val="sl-SI"/>
        </w:rPr>
        <w:t xml:space="preserve"> </w:t>
      </w:r>
      <w:proofErr w:type="spellStart"/>
      <w:r w:rsidRPr="005C06CB">
        <w:rPr>
          <w:lang w:val="sl-SI"/>
        </w:rPr>
        <w:t>instruction</w:t>
      </w:r>
      <w:proofErr w:type="spellEnd"/>
      <w:r w:rsidRPr="005C06CB">
        <w:rPr>
          <w:lang w:val="sl-SI"/>
        </w:rPr>
        <w:t>.</w:t>
      </w:r>
      <w:r w:rsidR="003D080D" w:rsidRPr="005C06CB">
        <w:rPr>
          <w:lang w:val="sl-SI"/>
        </w:rPr>
        <w:t xml:space="preserve"> </w:t>
      </w:r>
      <w:proofErr w:type="spellStart"/>
      <w:r w:rsidR="003D080D" w:rsidRPr="005C06CB">
        <w:rPr>
          <w:lang w:val="sl-SI"/>
        </w:rPr>
        <w:t>Students</w:t>
      </w:r>
      <w:proofErr w:type="spellEnd"/>
      <w:r w:rsidR="003D080D" w:rsidRPr="005C06CB">
        <w:rPr>
          <w:lang w:val="sl-SI"/>
        </w:rPr>
        <w:t xml:space="preserve"> </w:t>
      </w:r>
      <w:proofErr w:type="spellStart"/>
      <w:r w:rsidR="003D080D" w:rsidRPr="005C06CB">
        <w:rPr>
          <w:lang w:val="sl-SI"/>
        </w:rPr>
        <w:t>had</w:t>
      </w:r>
      <w:proofErr w:type="spellEnd"/>
      <w:r w:rsidR="003D080D" w:rsidRPr="005C06CB">
        <w:rPr>
          <w:lang w:val="sl-SI"/>
        </w:rPr>
        <w:t xml:space="preserve"> </w:t>
      </w:r>
      <w:proofErr w:type="spellStart"/>
      <w:r w:rsidR="003D080D" w:rsidRPr="005C06CB">
        <w:rPr>
          <w:lang w:val="sl-SI"/>
        </w:rPr>
        <w:t>the</w:t>
      </w:r>
      <w:proofErr w:type="spellEnd"/>
      <w:r w:rsidR="003D080D" w:rsidRPr="005C06CB">
        <w:rPr>
          <w:lang w:val="sl-SI"/>
        </w:rPr>
        <w:t xml:space="preserve"> </w:t>
      </w:r>
      <w:proofErr w:type="spellStart"/>
      <w:r w:rsidR="003D080D" w:rsidRPr="005C06CB">
        <w:rPr>
          <w:lang w:val="sl-SI"/>
        </w:rPr>
        <w:t>possibility</w:t>
      </w:r>
      <w:proofErr w:type="spellEnd"/>
      <w:r w:rsidR="003D080D" w:rsidRPr="005C06CB">
        <w:rPr>
          <w:lang w:val="sl-SI"/>
        </w:rPr>
        <w:t xml:space="preserve"> </w:t>
      </w:r>
      <w:proofErr w:type="spellStart"/>
      <w:r w:rsidR="003D080D" w:rsidRPr="005C06CB">
        <w:rPr>
          <w:lang w:val="sl-SI"/>
        </w:rPr>
        <w:t>of</w:t>
      </w:r>
      <w:proofErr w:type="spellEnd"/>
      <w:r w:rsidR="003D080D" w:rsidRPr="005C06CB">
        <w:rPr>
          <w:lang w:val="sl-SI"/>
        </w:rPr>
        <w:t xml:space="preserve"> </w:t>
      </w:r>
      <w:proofErr w:type="spellStart"/>
      <w:r w:rsidR="003D080D" w:rsidRPr="005C06CB">
        <w:rPr>
          <w:lang w:val="sl-SI"/>
        </w:rPr>
        <w:t>selecting</w:t>
      </w:r>
      <w:proofErr w:type="spellEnd"/>
      <w:r w:rsidR="003D080D" w:rsidRPr="005C06CB">
        <w:rPr>
          <w:lang w:val="sl-SI"/>
        </w:rPr>
        <w:t xml:space="preserve"> more </w:t>
      </w:r>
      <w:proofErr w:type="spellStart"/>
      <w:r w:rsidR="003D080D" w:rsidRPr="005C06CB">
        <w:rPr>
          <w:lang w:val="sl-SI"/>
        </w:rPr>
        <w:t>than</w:t>
      </w:r>
      <w:proofErr w:type="spellEnd"/>
      <w:r w:rsidR="003D080D" w:rsidRPr="005C06CB">
        <w:rPr>
          <w:lang w:val="sl-SI"/>
        </w:rPr>
        <w:t xml:space="preserve"> one </w:t>
      </w:r>
      <w:proofErr w:type="spellStart"/>
      <w:r w:rsidR="003D080D" w:rsidRPr="005C06CB">
        <w:rPr>
          <w:lang w:val="sl-SI"/>
        </w:rPr>
        <w:t>option</w:t>
      </w:r>
      <w:proofErr w:type="spellEnd"/>
      <w:r w:rsidR="003D080D" w:rsidRPr="005C06CB">
        <w:rPr>
          <w:lang w:val="sl-SI"/>
        </w:rPr>
        <w:t xml:space="preserve">. </w:t>
      </w:r>
      <w:proofErr w:type="spellStart"/>
      <w:r w:rsidR="003D080D" w:rsidRPr="005C06CB">
        <w:rPr>
          <w:lang w:val="sl-SI"/>
        </w:rPr>
        <w:t>Therefore</w:t>
      </w:r>
      <w:proofErr w:type="spellEnd"/>
      <w:r w:rsidR="003D080D" w:rsidRPr="005C06CB">
        <w:rPr>
          <w:lang w:val="sl-SI"/>
        </w:rPr>
        <w:t xml:space="preserve">, </w:t>
      </w:r>
      <w:proofErr w:type="spellStart"/>
      <w:r w:rsidR="003D080D" w:rsidRPr="005C06CB">
        <w:rPr>
          <w:lang w:val="sl-SI"/>
        </w:rPr>
        <w:t>the</w:t>
      </w:r>
      <w:proofErr w:type="spellEnd"/>
      <w:r w:rsidR="003D080D" w:rsidRPr="005C06CB">
        <w:rPr>
          <w:lang w:val="sl-SI"/>
        </w:rPr>
        <w:t xml:space="preserve"> </w:t>
      </w:r>
      <w:proofErr w:type="spellStart"/>
      <w:r w:rsidR="003D080D" w:rsidRPr="005C06CB">
        <w:rPr>
          <w:lang w:val="sl-SI"/>
        </w:rPr>
        <w:t>question</w:t>
      </w:r>
      <w:proofErr w:type="spellEnd"/>
      <w:r w:rsidR="003D080D" w:rsidRPr="005C06CB">
        <w:rPr>
          <w:lang w:val="sl-SI"/>
        </w:rPr>
        <w:t xml:space="preserve"> </w:t>
      </w:r>
      <w:proofErr w:type="spellStart"/>
      <w:r w:rsidR="003D080D" w:rsidRPr="005C06CB">
        <w:rPr>
          <w:lang w:val="sl-SI"/>
        </w:rPr>
        <w:t>arises</w:t>
      </w:r>
      <w:proofErr w:type="spellEnd"/>
      <w:r w:rsidR="003D080D" w:rsidRPr="005C06CB">
        <w:rPr>
          <w:lang w:val="sl-SI"/>
        </w:rPr>
        <w:t xml:space="preserve"> </w:t>
      </w:r>
      <w:r w:rsidR="004422CC" w:rsidRPr="005C06CB">
        <w:t>whether there are differences in the usage of these instructional methods across different countries and whether the usage patterns vary by gender. This prompts an investigation into the cross-national variations and gender disparities in the adoption of additional mathematics instructional methods, providing insights into potential educational inequalities and informing targeted interventions</w:t>
      </w:r>
      <w:r w:rsidR="003D080D" w:rsidRPr="005C06CB">
        <w:rPr>
          <w:lang w:val="sl-SI"/>
        </w:rPr>
        <w:t xml:space="preserve">. </w:t>
      </w:r>
      <w:proofErr w:type="spellStart"/>
      <w:r w:rsidR="003D080D" w:rsidRPr="005C06CB">
        <w:rPr>
          <w:lang w:val="sl-SI"/>
        </w:rPr>
        <w:t>Thus</w:t>
      </w:r>
      <w:proofErr w:type="spellEnd"/>
      <w:r w:rsidR="003D080D" w:rsidRPr="005C06CB">
        <w:rPr>
          <w:lang w:val="sl-SI"/>
        </w:rPr>
        <w:t xml:space="preserve">, </w:t>
      </w:r>
      <w:proofErr w:type="spellStart"/>
      <w:r w:rsidR="003D080D" w:rsidRPr="005C06CB">
        <w:rPr>
          <w:lang w:val="sl-SI"/>
        </w:rPr>
        <w:t>the</w:t>
      </w:r>
      <w:proofErr w:type="spellEnd"/>
      <w:r w:rsidR="003D080D" w:rsidRPr="005C06CB">
        <w:rPr>
          <w:lang w:val="sl-SI"/>
        </w:rPr>
        <w:t xml:space="preserve"> </w:t>
      </w:r>
      <w:proofErr w:type="spellStart"/>
      <w:r w:rsidR="003D080D" w:rsidRPr="005C06CB">
        <w:rPr>
          <w:lang w:val="sl-SI"/>
        </w:rPr>
        <w:t>aim</w:t>
      </w:r>
      <w:proofErr w:type="spellEnd"/>
      <w:r w:rsidR="003D080D" w:rsidRPr="005C06CB">
        <w:rPr>
          <w:lang w:val="sl-SI"/>
        </w:rPr>
        <w:t xml:space="preserve"> </w:t>
      </w:r>
      <w:proofErr w:type="spellStart"/>
      <w:r w:rsidR="003D080D" w:rsidRPr="005C06CB">
        <w:rPr>
          <w:lang w:val="sl-SI"/>
        </w:rPr>
        <w:t>of</w:t>
      </w:r>
      <w:proofErr w:type="spellEnd"/>
      <w:r w:rsidR="003D080D" w:rsidRPr="005C06CB">
        <w:rPr>
          <w:lang w:val="sl-SI"/>
        </w:rPr>
        <w:t xml:space="preserve"> </w:t>
      </w:r>
      <w:proofErr w:type="spellStart"/>
      <w:r w:rsidR="003D080D" w:rsidRPr="005C06CB">
        <w:rPr>
          <w:lang w:val="sl-SI"/>
        </w:rPr>
        <w:t>the</w:t>
      </w:r>
      <w:proofErr w:type="spellEnd"/>
      <w:r w:rsidR="003D080D" w:rsidRPr="005C06CB">
        <w:rPr>
          <w:lang w:val="sl-SI"/>
        </w:rPr>
        <w:t xml:space="preserve"> </w:t>
      </w:r>
      <w:proofErr w:type="spellStart"/>
      <w:r w:rsidR="003D080D" w:rsidRPr="005C06CB">
        <w:rPr>
          <w:lang w:val="sl-SI"/>
        </w:rPr>
        <w:t>present</w:t>
      </w:r>
      <w:proofErr w:type="spellEnd"/>
      <w:r w:rsidR="003D080D" w:rsidRPr="005C06CB">
        <w:rPr>
          <w:lang w:val="sl-SI"/>
        </w:rPr>
        <w:t xml:space="preserve"> </w:t>
      </w:r>
      <w:proofErr w:type="spellStart"/>
      <w:r w:rsidR="003D080D" w:rsidRPr="005C06CB">
        <w:rPr>
          <w:lang w:val="sl-SI"/>
        </w:rPr>
        <w:t>paper</w:t>
      </w:r>
      <w:proofErr w:type="spellEnd"/>
      <w:r w:rsidR="003D080D" w:rsidRPr="005C06CB">
        <w:rPr>
          <w:lang w:val="sl-SI"/>
        </w:rPr>
        <w:t xml:space="preserve"> is to </w:t>
      </w:r>
      <w:proofErr w:type="spellStart"/>
      <w:r w:rsidR="003D080D" w:rsidRPr="005C06CB">
        <w:rPr>
          <w:lang w:val="sl-SI"/>
        </w:rPr>
        <w:t>shed</w:t>
      </w:r>
      <w:proofErr w:type="spellEnd"/>
      <w:r w:rsidR="003D080D" w:rsidRPr="005C06CB">
        <w:rPr>
          <w:lang w:val="sl-SI"/>
        </w:rPr>
        <w:t xml:space="preserve"> </w:t>
      </w:r>
      <w:proofErr w:type="spellStart"/>
      <w:r w:rsidR="003D080D" w:rsidRPr="005C06CB">
        <w:rPr>
          <w:lang w:val="sl-SI"/>
        </w:rPr>
        <w:t>light</w:t>
      </w:r>
      <w:proofErr w:type="spellEnd"/>
      <w:r w:rsidR="003D080D" w:rsidRPr="005C06CB">
        <w:rPr>
          <w:lang w:val="sl-SI"/>
        </w:rPr>
        <w:t xml:space="preserve"> on </w:t>
      </w:r>
      <w:proofErr w:type="spellStart"/>
      <w:r w:rsidR="003D080D" w:rsidRPr="005C06CB">
        <w:rPr>
          <w:lang w:val="sl-SI"/>
        </w:rPr>
        <w:t>the</w:t>
      </w:r>
      <w:proofErr w:type="spellEnd"/>
      <w:r w:rsidR="003D080D" w:rsidRPr="005C06CB">
        <w:rPr>
          <w:lang w:val="sl-SI"/>
        </w:rPr>
        <w:t xml:space="preserve"> </w:t>
      </w:r>
      <w:proofErr w:type="spellStart"/>
      <w:r w:rsidR="003D080D" w:rsidRPr="005C06CB">
        <w:rPr>
          <w:lang w:val="sl-SI"/>
        </w:rPr>
        <w:t>distribution</w:t>
      </w:r>
      <w:proofErr w:type="spellEnd"/>
      <w:r w:rsidR="003D080D" w:rsidRPr="005C06CB">
        <w:rPr>
          <w:lang w:val="sl-SI"/>
        </w:rPr>
        <w:t xml:space="preserve"> </w:t>
      </w:r>
      <w:proofErr w:type="spellStart"/>
      <w:r w:rsidR="003D080D" w:rsidRPr="005C06CB">
        <w:rPr>
          <w:lang w:val="sl-SI"/>
        </w:rPr>
        <w:t>of</w:t>
      </w:r>
      <w:proofErr w:type="spellEnd"/>
      <w:r w:rsidR="003D080D" w:rsidRPr="005C06CB">
        <w:rPr>
          <w:lang w:val="sl-SI"/>
        </w:rPr>
        <w:t xml:space="preserve"> </w:t>
      </w:r>
      <w:proofErr w:type="spellStart"/>
      <w:r w:rsidR="003D080D" w:rsidRPr="005C06CB">
        <w:rPr>
          <w:lang w:val="sl-SI"/>
        </w:rPr>
        <w:t>Slovenian</w:t>
      </w:r>
      <w:proofErr w:type="spellEnd"/>
      <w:r w:rsidR="003D080D" w:rsidRPr="005C06CB">
        <w:rPr>
          <w:lang w:val="sl-SI"/>
        </w:rPr>
        <w:t xml:space="preserve"> </w:t>
      </w:r>
      <w:proofErr w:type="spellStart"/>
      <w:r w:rsidR="003D080D" w:rsidRPr="005C06CB">
        <w:rPr>
          <w:lang w:val="sl-SI"/>
        </w:rPr>
        <w:t>participants</w:t>
      </w:r>
      <w:proofErr w:type="spellEnd"/>
      <w:r w:rsidR="003D080D" w:rsidRPr="005C06CB">
        <w:rPr>
          <w:lang w:val="sl-SI"/>
        </w:rPr>
        <w:t xml:space="preserve"> in </w:t>
      </w:r>
      <w:proofErr w:type="spellStart"/>
      <w:r w:rsidR="003D080D" w:rsidRPr="005C06CB">
        <w:rPr>
          <w:lang w:val="sl-SI"/>
        </w:rPr>
        <w:t>the</w:t>
      </w:r>
      <w:proofErr w:type="spellEnd"/>
      <w:r w:rsidR="003D080D" w:rsidRPr="005C06CB">
        <w:rPr>
          <w:lang w:val="sl-SI"/>
        </w:rPr>
        <w:t xml:space="preserve"> PISA 2022 </w:t>
      </w:r>
      <w:proofErr w:type="spellStart"/>
      <w:r w:rsidR="003D080D" w:rsidRPr="005C06CB">
        <w:rPr>
          <w:lang w:val="sl-SI"/>
        </w:rPr>
        <w:t>assessment</w:t>
      </w:r>
      <w:proofErr w:type="spellEnd"/>
      <w:r w:rsidR="003D080D" w:rsidRPr="005C06CB">
        <w:rPr>
          <w:lang w:val="sl-SI"/>
        </w:rPr>
        <w:t xml:space="preserve"> </w:t>
      </w:r>
      <w:proofErr w:type="spellStart"/>
      <w:r w:rsidR="003D080D" w:rsidRPr="005C06CB">
        <w:rPr>
          <w:lang w:val="sl-SI"/>
        </w:rPr>
        <w:t>among</w:t>
      </w:r>
      <w:proofErr w:type="spellEnd"/>
      <w:r w:rsidR="003D080D" w:rsidRPr="005C06CB">
        <w:rPr>
          <w:lang w:val="sl-SI"/>
        </w:rPr>
        <w:t xml:space="preserve"> </w:t>
      </w:r>
      <w:proofErr w:type="spellStart"/>
      <w:r w:rsidR="003D080D" w:rsidRPr="005C06CB">
        <w:rPr>
          <w:lang w:val="sl-SI"/>
        </w:rPr>
        <w:t>the</w:t>
      </w:r>
      <w:proofErr w:type="spellEnd"/>
      <w:r w:rsidR="003D080D" w:rsidRPr="005C06CB">
        <w:rPr>
          <w:lang w:val="sl-SI"/>
        </w:rPr>
        <w:t xml:space="preserve"> </w:t>
      </w:r>
      <w:proofErr w:type="spellStart"/>
      <w:r w:rsidR="003D080D" w:rsidRPr="005C06CB">
        <w:rPr>
          <w:lang w:val="sl-SI"/>
        </w:rPr>
        <w:t>instructional</w:t>
      </w:r>
      <w:proofErr w:type="spellEnd"/>
      <w:r w:rsidR="003D080D" w:rsidRPr="005C06CB">
        <w:rPr>
          <w:lang w:val="sl-SI"/>
        </w:rPr>
        <w:t xml:space="preserve"> </w:t>
      </w:r>
      <w:proofErr w:type="spellStart"/>
      <w:r w:rsidR="003D080D" w:rsidRPr="005C06CB">
        <w:rPr>
          <w:lang w:val="sl-SI"/>
        </w:rPr>
        <w:t>methods</w:t>
      </w:r>
      <w:proofErr w:type="spellEnd"/>
      <w:r w:rsidR="00643F3C" w:rsidRPr="005C06CB">
        <w:rPr>
          <w:lang w:val="sl-SI"/>
        </w:rPr>
        <w:t xml:space="preserve">, </w:t>
      </w:r>
      <w:proofErr w:type="spellStart"/>
      <w:r w:rsidR="00643F3C" w:rsidRPr="005C06CB">
        <w:rPr>
          <w:lang w:val="sl-SI"/>
        </w:rPr>
        <w:t>compare</w:t>
      </w:r>
      <w:proofErr w:type="spellEnd"/>
      <w:r w:rsidR="00643F3C" w:rsidRPr="005C06CB">
        <w:rPr>
          <w:lang w:val="sl-SI"/>
        </w:rPr>
        <w:t xml:space="preserve"> </w:t>
      </w:r>
      <w:proofErr w:type="spellStart"/>
      <w:r w:rsidR="00643F3C" w:rsidRPr="005C06CB">
        <w:rPr>
          <w:lang w:val="sl-SI"/>
        </w:rPr>
        <w:t>th</w:t>
      </w:r>
      <w:r w:rsidR="000C2B1A" w:rsidRPr="005C06CB">
        <w:rPr>
          <w:lang w:val="sl-SI"/>
        </w:rPr>
        <w:t>em</w:t>
      </w:r>
      <w:proofErr w:type="spellEnd"/>
      <w:r w:rsidR="000C2B1A" w:rsidRPr="005C06CB">
        <w:rPr>
          <w:lang w:val="sl-SI"/>
        </w:rPr>
        <w:t xml:space="preserve"> to </w:t>
      </w:r>
      <w:proofErr w:type="spellStart"/>
      <w:r w:rsidR="000C2B1A" w:rsidRPr="005C06CB">
        <w:rPr>
          <w:lang w:val="sl-SI"/>
        </w:rPr>
        <w:t>international</w:t>
      </w:r>
      <w:proofErr w:type="spellEnd"/>
      <w:r w:rsidR="000C2B1A" w:rsidRPr="005C06CB">
        <w:rPr>
          <w:lang w:val="sl-SI"/>
        </w:rPr>
        <w:t xml:space="preserve"> data, </w:t>
      </w:r>
      <w:proofErr w:type="spellStart"/>
      <w:r w:rsidR="000C2B1A" w:rsidRPr="005C06CB">
        <w:rPr>
          <w:lang w:val="sl-SI"/>
        </w:rPr>
        <w:t>and</w:t>
      </w:r>
      <w:proofErr w:type="spellEnd"/>
      <w:r w:rsidR="00643F3C" w:rsidRPr="005C06CB">
        <w:rPr>
          <w:lang w:val="sl-SI"/>
        </w:rPr>
        <w:t xml:space="preserve"> </w:t>
      </w:r>
      <w:proofErr w:type="spellStart"/>
      <w:r w:rsidR="00643F3C" w:rsidRPr="005C06CB">
        <w:rPr>
          <w:lang w:val="sl-SI"/>
        </w:rPr>
        <w:t>verify</w:t>
      </w:r>
      <w:proofErr w:type="spellEnd"/>
      <w:r w:rsidR="00643F3C" w:rsidRPr="005C06CB">
        <w:rPr>
          <w:lang w:val="sl-SI"/>
        </w:rPr>
        <w:t xml:space="preserve"> </w:t>
      </w:r>
      <w:proofErr w:type="spellStart"/>
      <w:r w:rsidR="00643F3C" w:rsidRPr="005C06CB">
        <w:rPr>
          <w:lang w:val="sl-SI"/>
        </w:rPr>
        <w:t>whether</w:t>
      </w:r>
      <w:proofErr w:type="spellEnd"/>
      <w:r w:rsidR="00643F3C" w:rsidRPr="005C06CB">
        <w:rPr>
          <w:lang w:val="sl-SI"/>
        </w:rPr>
        <w:t xml:space="preserve"> </w:t>
      </w:r>
      <w:proofErr w:type="spellStart"/>
      <w:r w:rsidR="00643F3C" w:rsidRPr="005C06CB">
        <w:rPr>
          <w:lang w:val="sl-SI"/>
        </w:rPr>
        <w:t>the</w:t>
      </w:r>
      <w:proofErr w:type="spellEnd"/>
      <w:r w:rsidR="00643F3C" w:rsidRPr="005C06CB">
        <w:rPr>
          <w:lang w:val="sl-SI"/>
        </w:rPr>
        <w:t xml:space="preserve"> </w:t>
      </w:r>
      <w:proofErr w:type="spellStart"/>
      <w:r w:rsidR="00643F3C" w:rsidRPr="005C06CB">
        <w:rPr>
          <w:lang w:val="sl-SI"/>
        </w:rPr>
        <w:t>results</w:t>
      </w:r>
      <w:proofErr w:type="spellEnd"/>
      <w:r w:rsidR="00643F3C" w:rsidRPr="005C06CB">
        <w:rPr>
          <w:lang w:val="sl-SI"/>
        </w:rPr>
        <w:t xml:space="preserve"> </w:t>
      </w:r>
      <w:proofErr w:type="spellStart"/>
      <w:r w:rsidR="00643F3C" w:rsidRPr="005C06CB">
        <w:rPr>
          <w:lang w:val="sl-SI"/>
        </w:rPr>
        <w:t>differ</w:t>
      </w:r>
      <w:proofErr w:type="spellEnd"/>
      <w:r w:rsidR="00643F3C" w:rsidRPr="005C06CB">
        <w:rPr>
          <w:lang w:val="sl-SI"/>
        </w:rPr>
        <w:t xml:space="preserve"> </w:t>
      </w:r>
      <w:proofErr w:type="spellStart"/>
      <w:r w:rsidR="00643F3C" w:rsidRPr="005C06CB">
        <w:rPr>
          <w:lang w:val="sl-SI"/>
        </w:rPr>
        <w:t>with</w:t>
      </w:r>
      <w:proofErr w:type="spellEnd"/>
      <w:r w:rsidR="00643F3C" w:rsidRPr="005C06CB">
        <w:rPr>
          <w:lang w:val="sl-SI"/>
        </w:rPr>
        <w:t xml:space="preserve"> </w:t>
      </w:r>
      <w:proofErr w:type="spellStart"/>
      <w:r w:rsidR="00643F3C" w:rsidRPr="005C06CB">
        <w:rPr>
          <w:lang w:val="sl-SI"/>
        </w:rPr>
        <w:t>gender</w:t>
      </w:r>
      <w:proofErr w:type="spellEnd"/>
      <w:r w:rsidR="00E42DB8" w:rsidRPr="005C06CB">
        <w:rPr>
          <w:lang w:val="sl-SI"/>
        </w:rPr>
        <w:t>.</w:t>
      </w:r>
    </w:p>
    <w:p w14:paraId="033329F1" w14:textId="7511E93A" w:rsidR="00E450BD" w:rsidRPr="00F806C5" w:rsidRDefault="00E450BD" w:rsidP="00331855">
      <w:pPr>
        <w:spacing w:line="360" w:lineRule="auto"/>
        <w:rPr>
          <w:lang w:val="sl-SI"/>
        </w:rPr>
      </w:pPr>
      <w:r w:rsidRPr="00AB17FC">
        <w:t xml:space="preserve">This study offers a unique contribution to the existing body of PISA research by specifically examining the </w:t>
      </w:r>
      <w:r w:rsidR="004422CC" w:rsidRPr="00AB17FC">
        <w:t>usage</w:t>
      </w:r>
      <w:r w:rsidRPr="00AB17FC">
        <w:t xml:space="preserve"> of diverse instructional methods among Sloven</w:t>
      </w:r>
      <w:r w:rsidR="00E42DB8" w:rsidRPr="00AB17FC">
        <w:t>e</w:t>
      </w:r>
      <w:r w:rsidRPr="00AB17FC">
        <w:t xml:space="preserve"> </w:t>
      </w:r>
      <w:r w:rsidR="004422CC" w:rsidRPr="00AB17FC">
        <w:t xml:space="preserve">and international </w:t>
      </w:r>
      <w:r w:rsidRPr="00AB17FC">
        <w:t xml:space="preserve">students in the 2022 assessment. Unlike previous studies that </w:t>
      </w:r>
      <w:r w:rsidRPr="00FE4D0D">
        <w:t>often focus on general educational outcomes, this research focuses into the effects of various supplementary learning strategies.</w:t>
      </w:r>
      <w:r w:rsidR="00370315">
        <w:t xml:space="preserve"> </w:t>
      </w:r>
      <w:proofErr w:type="gramStart"/>
      <w:r w:rsidR="00370315">
        <w:t>In particular, gender</w:t>
      </w:r>
      <w:proofErr w:type="gramEnd"/>
      <w:r w:rsidR="00370315">
        <w:t xml:space="preserve"> differences in preferred additional instructional methods in mathematics are analysed.</w:t>
      </w:r>
      <w:r w:rsidR="00CC6CFB">
        <w:t xml:space="preserve"> </w:t>
      </w:r>
      <w:r w:rsidRPr="00FE4D0D">
        <w:t>The findings mostly highlight the current trends and preferences in mathematics education. This is particularly significant as it addresses the gap in understanding the specific instructional practices that can enhance mathematics learning, thereby contributing to the ongoing efforts to optimize educational strategies and improve student performance.</w:t>
      </w:r>
    </w:p>
    <w:p w14:paraId="529A79AC" w14:textId="25ED358A" w:rsidR="00D120D4" w:rsidRDefault="00D120D4" w:rsidP="00D120D4">
      <w:pPr>
        <w:pStyle w:val="Heading3"/>
        <w:numPr>
          <w:ilvl w:val="1"/>
          <w:numId w:val="11"/>
        </w:numPr>
        <w:rPr>
          <w:lang w:val="en-US"/>
        </w:rPr>
      </w:pPr>
      <w:r>
        <w:rPr>
          <w:lang w:val="en-US"/>
        </w:rPr>
        <w:t>Instruction</w:t>
      </w:r>
      <w:r w:rsidR="00172471">
        <w:rPr>
          <w:lang w:val="en-US"/>
        </w:rPr>
        <w:t>al</w:t>
      </w:r>
      <w:r>
        <w:rPr>
          <w:lang w:val="en-US"/>
        </w:rPr>
        <w:t xml:space="preserve"> methods</w:t>
      </w:r>
    </w:p>
    <w:p w14:paraId="648BEF93" w14:textId="7561D27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0D004B">
        <w:rPr>
          <w:lang w:val="en-US"/>
        </w:rPr>
        <w:instrText xml:space="preserve"> ADDIN ZOTERO_ITEM CSL_CITATION {"citationID":"4EF9csaQ","properties":{"formattedCitation":"(Raj Sharma et al., 2023)","plainCitation":"(Raj Sharma et al., 2023)","noteIndex":0},"citationItems":[{"id":"BQPZCFLM/3zCdOiTJ","uris":["http://zotero.org/users/local/1Uxvmohd/items/VQRDSDKZ"],"itemData":{"id":884,"type":"article-journal","abstract":"The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xml:space="preserve">, particularly in subjects like </w:t>
      </w:r>
      <w:r w:rsidRPr="00F806C5">
        <w:rPr>
          <w:lang w:val="en-US"/>
        </w:rPr>
        <w:lastRenderedPageBreak/>
        <w:t>mathematics</w:t>
      </w:r>
      <w:r w:rsidR="00E8566F">
        <w:rPr>
          <w:lang w:val="en-US"/>
        </w:rPr>
        <w:t xml:space="preserve"> </w:t>
      </w:r>
      <w:r w:rsidR="00E8566F">
        <w:rPr>
          <w:lang w:val="en-US"/>
        </w:rPr>
        <w:fldChar w:fldCharType="begin"/>
      </w:r>
      <w:r w:rsidR="000D004B">
        <w:rPr>
          <w:lang w:val="en-US"/>
        </w:rPr>
        <w:instrText xml:space="preserve"> ADDIN ZOTERO_ITEM CSL_CITATION {"citationID":"ADpLFAFa","properties":{"formattedCitation":"(Ogbuehi &amp; Fraser, 2007)","plainCitation":"(Ogbuehi &amp; Fraser, 2007)","noteIndex":0},"citationItems":[{"id":"BQPZCFLM/CMX6DUYz","uris":["http://zotero.org/users/local/1Uxvmohd/items/ISLURJK3"],"itemData":{"id":886,"type":"article-journal","container-title":"Learning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w:t>
      </w:r>
      <w:r w:rsidR="001D3ACB">
        <w:rPr>
          <w:lang w:val="en-US"/>
        </w:rPr>
        <w:t xml:space="preserve"> </w:t>
      </w:r>
      <w:r w:rsidR="001D3ACB">
        <w:rPr>
          <w:lang w:val="en-US"/>
        </w:rPr>
        <w:fldChar w:fldCharType="begin"/>
      </w:r>
      <w:r w:rsidR="00840691">
        <w:rPr>
          <w:lang w:val="en-US"/>
        </w:rPr>
        <w:instrText xml:space="preserve"> ADDIN ZOTERO_ITEM CSL_CITATION {"citationID":"7aRiGh8J","properties":{"formattedCitation":"(Satsangi &amp; Sigmon, 2023; Slavin &amp; Lake, 2008)","plainCitation":"(Satsangi &amp; Sigmon, 2023; Slavin &amp; Lake, 2008)","noteIndex":0},"citationItems":[{"id":870,"uris":["http://zotero.org/users/local/ZlhuMgGE/items/K388GKZE"],"itemData":{"id":870,"type":"article-journal","abstract":"Whole number computations are a critical skill that serves as a foundation upon which higher-order concepts in mathematics are taught to children. To facilitate their instruction, educators often use multiple representations to support a child’s cognition. Representations with physical manipulatives are widely studied through a graduated instructional sequence featuring concrete, representational, and abstract stages of learning. In contrast, research on representational sequences featuring virtual manipulatives is less robust. Thus, this study evaluated an instructional strategy with virtual manipulatives, static representational drawings, and abstract algorithms to teach multiplication to three elementary students with mathematics difficulty. A functional relation was established via a single-subject multiple probe design between the treatment and students’ accuracy performance. Baseline-corrected Tau estimates confirmed a medium effect size for all three students, while student performance on measures assessing the number of errors committed and the duration of sessions also returned favorable findings.","container-title":"Remedial and Special Education","DOI":"10.1177/07419325231206483","ISSN":"0741-9325, 1538-4756","journalAbbreviation":"Remedial and Special Education","language":"en","page":"07419325231206483","source":"DOI.org (Crossref)","title":"Teaching Multiplicative Thinking With Virtual Representations to Children With Mathematics Difficulty","author":[{"family":"Satsangi","given":"Rajiv"},{"family":"Sigmon","given":"Stephanie D."}],"issued":{"date-parts":[["2023",10,30]]}}},{"id":871,"uris":["http://zotero.org/users/local/ZlhuMgGE/items/77QED8NF"],"itemData":{"id":871,"type":"article-journal","abstract":"This article reviews research on the achievement outcomes of three types of approaches to improving elementary mathematics: mathematics curricula, computer-assisted instruction (CAI), and instructional process programs. Study inclusion requirements included use of a randomized or matched control group, a study duration of at least 12 weeks, and achievement measures not inherent to the experimental treatment. Eighty-seven studies met these criteria, of which 36 used random assignment to treatments. There was limited evidence supporting differential effects of various mathematics textbooks. Effects of CAI were moderate. The strongest positive effects were found for instructional process approaches such as forms of cooperative learning, classroom management and motivation programs, and supplemental tutoring programs. The review concludes that programs designed to change daily teaching practices appear to have more promise than those that deal primarily with curriculum or technology alone.","container-title":"Review of Educational Research","DOI":"10.3102/0034654308317473","ISSN":"0034-6543, 1935-1046","issue":"3","journalAbbreviation":"Review of Educational Research","language":"en","license":"http://journals.sagepub.com/page/policies/text-and-data-mining-license","page":"427-515","source":"DOI.org (Crossref)","title":"Effective Programs in Elementary Mathematics: A Best-Evidence Synthesis","title-short":"Effective Programs in Elementary Mathematics","volume":"78","author":[{"family":"Slavin","given":"Robert E."},{"family":"Lake","given":"Cynthia"}],"issued":{"date-parts":[["2008",9]]}}}],"schema":"https://github.com/citation-style-language/schema/raw/master/csl-citation.json"} </w:instrText>
      </w:r>
      <w:r w:rsidR="001D3ACB">
        <w:rPr>
          <w:lang w:val="en-US"/>
        </w:rPr>
        <w:fldChar w:fldCharType="separate"/>
      </w:r>
      <w:r w:rsidR="00840691" w:rsidRPr="00840691">
        <w:rPr>
          <w:rFonts w:ascii="Calibri" w:hAnsi="Calibri" w:cs="Calibri"/>
        </w:rPr>
        <w:t>(Satsangi &amp; Sigmon, 2023; Slavin &amp; Lake, 2008)</w:t>
      </w:r>
      <w:r w:rsidR="001D3ACB">
        <w:rPr>
          <w:lang w:val="en-US"/>
        </w:rPr>
        <w:fldChar w:fldCharType="end"/>
      </w:r>
      <w:r w:rsidRPr="00F806C5">
        <w:rPr>
          <w:lang w:val="en-US"/>
        </w:rPr>
        <w:t>.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524A2D25" w:rsidR="00F806C5" w:rsidRPr="005C06CB"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5C06CB">
        <w:rPr>
          <w:lang w:val="sl-SI"/>
        </w:rPr>
        <w:t>with</w:t>
      </w:r>
      <w:proofErr w:type="spellEnd"/>
      <w:r w:rsidRPr="005C06CB">
        <w:rPr>
          <w:lang w:val="sl-SI"/>
        </w:rPr>
        <w:t xml:space="preserve"> a person</w:t>
      </w:r>
      <w:r w:rsidR="00EE0523" w:rsidRPr="005C06CB">
        <w:rPr>
          <w:lang w:val="sl-SI"/>
        </w:rPr>
        <w:t xml:space="preserve"> </w:t>
      </w:r>
      <w:r w:rsidR="00EE0523" w:rsidRPr="005C06CB">
        <w:rPr>
          <w:lang w:val="sl-SI"/>
        </w:rPr>
        <w:fldChar w:fldCharType="begin"/>
      </w:r>
      <w:r w:rsidR="000D004B">
        <w:rPr>
          <w:lang w:val="sl-SI"/>
        </w:rPr>
        <w:instrText xml:space="preserve"> ADDIN ZOTERO_ITEM CSL_CITATION {"citationID":"TzARVFhA","properties":{"formattedCitation":"(Kochmanski &amp; Cobb, 2023)","plainCitation":"(Kochmanski &amp; Cobb, 2023)","noteIndex":0},"citationItems":[{"id":"BQPZCFLM/pSiRsaQk","uris":["http://zotero.org/users/local/1Uxvmohd/items/JUTULRFX"],"itemData":{"id":887,"type":"article-journal","abstract":"A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sidRPr="005C06CB">
        <w:rPr>
          <w:lang w:val="sl-SI"/>
        </w:rPr>
        <w:fldChar w:fldCharType="separate"/>
      </w:r>
      <w:r w:rsidR="00EE0523" w:rsidRPr="005C06CB">
        <w:rPr>
          <w:rFonts w:ascii="Calibri" w:hAnsi="Calibri" w:cs="Calibri"/>
        </w:rPr>
        <w:t>(Kochmanski &amp; Cobb, 2023)</w:t>
      </w:r>
      <w:r w:rsidR="00EE0523" w:rsidRPr="005C06CB">
        <w:rPr>
          <w:lang w:val="sl-SI"/>
        </w:rPr>
        <w:fldChar w:fldCharType="end"/>
      </w:r>
      <w:r w:rsidRPr="005C06CB">
        <w:rPr>
          <w:lang w:val="sl-SI"/>
        </w:rPr>
        <w:t xml:space="preserve">: </w:t>
      </w:r>
      <w:proofErr w:type="spellStart"/>
      <w:r w:rsidRPr="005C06CB">
        <w:rPr>
          <w:lang w:val="sl-SI"/>
        </w:rPr>
        <w:t>Individualized</w:t>
      </w:r>
      <w:proofErr w:type="spellEnd"/>
      <w:r w:rsidRPr="005C06CB">
        <w:rPr>
          <w:lang w:val="sl-SI"/>
        </w:rPr>
        <w:t xml:space="preserve"> </w:t>
      </w:r>
      <w:proofErr w:type="spellStart"/>
      <w:r w:rsidRPr="005C06CB">
        <w:rPr>
          <w:lang w:val="sl-SI"/>
        </w:rPr>
        <w:t>instruction</w:t>
      </w:r>
      <w:proofErr w:type="spellEnd"/>
      <w:r w:rsidRPr="005C06CB">
        <w:rPr>
          <w:lang w:val="sl-SI"/>
        </w:rPr>
        <w:t xml:space="preserve"> </w:t>
      </w:r>
      <w:proofErr w:type="spellStart"/>
      <w:r w:rsidRPr="005C06CB">
        <w:rPr>
          <w:lang w:val="sl-SI"/>
        </w:rPr>
        <w:t>provided</w:t>
      </w:r>
      <w:proofErr w:type="spellEnd"/>
      <w:r w:rsidRPr="005C06CB">
        <w:rPr>
          <w:lang w:val="sl-SI"/>
        </w:rPr>
        <w:t xml:space="preserve"> </w:t>
      </w:r>
      <w:proofErr w:type="spellStart"/>
      <w:r w:rsidRPr="005C06CB">
        <w:rPr>
          <w:lang w:val="sl-SI"/>
        </w:rPr>
        <w:t>by</w:t>
      </w:r>
      <w:proofErr w:type="spellEnd"/>
      <w:r w:rsidRPr="005C06CB">
        <w:rPr>
          <w:lang w:val="sl-SI"/>
        </w:rPr>
        <w:t xml:space="preserve"> a tutor </w:t>
      </w:r>
      <w:proofErr w:type="spellStart"/>
      <w:r w:rsidRPr="005C06CB">
        <w:rPr>
          <w:lang w:val="sl-SI"/>
        </w:rPr>
        <w:t>tailored</w:t>
      </w:r>
      <w:proofErr w:type="spellEnd"/>
      <w:r w:rsidRPr="005C06CB">
        <w:rPr>
          <w:lang w:val="sl-SI"/>
        </w:rPr>
        <w:t xml:space="preserve"> to </w:t>
      </w:r>
      <w:proofErr w:type="spellStart"/>
      <w:r w:rsidRPr="005C06CB">
        <w:rPr>
          <w:lang w:val="sl-SI"/>
        </w:rPr>
        <w:t>the</w:t>
      </w:r>
      <w:proofErr w:type="spellEnd"/>
      <w:r w:rsidRPr="005C06CB">
        <w:rPr>
          <w:lang w:val="sl-SI"/>
        </w:rPr>
        <w:t xml:space="preserve"> </w:t>
      </w:r>
      <w:proofErr w:type="spellStart"/>
      <w:r w:rsidRPr="005C06CB">
        <w:rPr>
          <w:lang w:val="sl-SI"/>
        </w:rPr>
        <w:t>specific</w:t>
      </w:r>
      <w:proofErr w:type="spellEnd"/>
      <w:r w:rsidRPr="005C06CB">
        <w:rPr>
          <w:lang w:val="sl-SI"/>
        </w:rPr>
        <w:t xml:space="preserve"> </w:t>
      </w:r>
      <w:proofErr w:type="spellStart"/>
      <w:r w:rsidRPr="005C06CB">
        <w:rPr>
          <w:lang w:val="sl-SI"/>
        </w:rPr>
        <w:t>needs</w:t>
      </w:r>
      <w:proofErr w:type="spellEnd"/>
      <w:r w:rsidRPr="005C06CB">
        <w:rPr>
          <w:lang w:val="sl-SI"/>
        </w:rPr>
        <w:t xml:space="preserve"> </w:t>
      </w:r>
      <w:proofErr w:type="spellStart"/>
      <w:r w:rsidRPr="005C06CB">
        <w:rPr>
          <w:lang w:val="sl-SI"/>
        </w:rPr>
        <w:t>and</w:t>
      </w:r>
      <w:proofErr w:type="spellEnd"/>
      <w:r w:rsidRPr="005C06CB">
        <w:rPr>
          <w:lang w:val="sl-SI"/>
        </w:rPr>
        <w:t xml:space="preserve"> </w:t>
      </w:r>
      <w:proofErr w:type="spellStart"/>
      <w:r w:rsidRPr="005C06CB">
        <w:rPr>
          <w:lang w:val="sl-SI"/>
        </w:rPr>
        <w:t>learning</w:t>
      </w:r>
      <w:proofErr w:type="spellEnd"/>
      <w:r w:rsidRPr="005C06CB">
        <w:rPr>
          <w:lang w:val="sl-SI"/>
        </w:rPr>
        <w:t xml:space="preserve"> </w:t>
      </w:r>
      <w:proofErr w:type="spellStart"/>
      <w:r w:rsidRPr="005C06CB">
        <w:rPr>
          <w:lang w:val="sl-SI"/>
        </w:rPr>
        <w:t>styles</w:t>
      </w:r>
      <w:proofErr w:type="spellEnd"/>
      <w:r w:rsidRPr="005C06CB">
        <w:rPr>
          <w:lang w:val="sl-SI"/>
        </w:rPr>
        <w:t xml:space="preserve"> </w:t>
      </w:r>
      <w:proofErr w:type="spellStart"/>
      <w:r w:rsidRPr="005C06CB">
        <w:rPr>
          <w:lang w:val="sl-SI"/>
        </w:rPr>
        <w:t>of</w:t>
      </w:r>
      <w:proofErr w:type="spellEnd"/>
      <w:r w:rsidRPr="005C06CB">
        <w:rPr>
          <w:lang w:val="sl-SI"/>
        </w:rPr>
        <w:t xml:space="preserve"> </w:t>
      </w:r>
      <w:proofErr w:type="spellStart"/>
      <w:r w:rsidRPr="005C06CB">
        <w:rPr>
          <w:lang w:val="sl-SI"/>
        </w:rPr>
        <w:t>the</w:t>
      </w:r>
      <w:proofErr w:type="spellEnd"/>
      <w:r w:rsidRPr="005C06CB">
        <w:rPr>
          <w:lang w:val="sl-SI"/>
        </w:rPr>
        <w:t xml:space="preserve"> </w:t>
      </w:r>
      <w:proofErr w:type="spellStart"/>
      <w:r w:rsidRPr="005C06CB">
        <w:rPr>
          <w:lang w:val="sl-SI"/>
        </w:rPr>
        <w:t>student</w:t>
      </w:r>
      <w:proofErr w:type="spellEnd"/>
      <w:r w:rsidRPr="005C06CB">
        <w:rPr>
          <w:lang w:val="sl-SI"/>
        </w:rPr>
        <w:t>.</w:t>
      </w:r>
      <w:r w:rsidR="00C92D19" w:rsidRPr="005C06CB">
        <w:rPr>
          <w:lang w:val="sl-SI"/>
        </w:rPr>
        <w:t xml:space="preserve"> </w:t>
      </w:r>
      <w:proofErr w:type="spellStart"/>
      <w:r w:rsidR="00C92D19" w:rsidRPr="005C06CB">
        <w:rPr>
          <w:lang w:val="sl-SI"/>
        </w:rPr>
        <w:t>Previous</w:t>
      </w:r>
      <w:proofErr w:type="spellEnd"/>
      <w:r w:rsidR="00C92D19" w:rsidRPr="005C06CB">
        <w:rPr>
          <w:lang w:val="sl-SI"/>
        </w:rPr>
        <w:t xml:space="preserve"> PISA </w:t>
      </w:r>
      <w:proofErr w:type="spellStart"/>
      <w:r w:rsidR="00C92D19" w:rsidRPr="005C06CB">
        <w:rPr>
          <w:lang w:val="sl-SI"/>
        </w:rPr>
        <w:t>study</w:t>
      </w:r>
      <w:proofErr w:type="spellEnd"/>
      <w:r w:rsidR="00C92D19" w:rsidRPr="005C06CB">
        <w:rPr>
          <w:lang w:val="sl-SI"/>
        </w:rPr>
        <w:t xml:space="preserve"> </w:t>
      </w:r>
      <w:proofErr w:type="spellStart"/>
      <w:r w:rsidR="00C92D19" w:rsidRPr="005C06CB">
        <w:rPr>
          <w:lang w:val="sl-SI"/>
        </w:rPr>
        <w:t>by</w:t>
      </w:r>
      <w:proofErr w:type="spellEnd"/>
      <w:r w:rsidR="00C92D19" w:rsidRPr="005C06CB">
        <w:rPr>
          <w:lang w:val="sl-SI"/>
        </w:rPr>
        <w:t xml:space="preserve"> </w:t>
      </w:r>
      <w:r w:rsidR="00C92D19" w:rsidRPr="005C06CB">
        <w:rPr>
          <w:lang w:val="sl-SI"/>
        </w:rPr>
        <w:fldChar w:fldCharType="begin"/>
      </w:r>
      <w:r w:rsidR="001B6641" w:rsidRPr="005C06CB">
        <w:rPr>
          <w:lang w:val="sl-SI"/>
        </w:rPr>
        <w:instrText xml:space="preserve"> ADDIN ZOTERO_ITEM CSL_CITATION {"citationID":"E7xQTOng","properties":{"formattedCitation":"(Liao &amp; Huang, 2018)","plainCitation":"(Liao &amp; Huang, 2018)","dontUpdate":true,"noteIndex":0},"citationItems":[{"id":876,"uris":["http://zotero.org/users/local/ZlhuMgGE/items/EILB8CGW"],"itemData":{"id":876,"type":"article-journal","abstract":"Purpose\n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C92D19" w:rsidRPr="005C06CB">
        <w:rPr>
          <w:lang w:val="sl-SI"/>
        </w:rPr>
        <w:fldChar w:fldCharType="separate"/>
      </w:r>
      <w:r w:rsidR="00C92D19" w:rsidRPr="005C06CB">
        <w:rPr>
          <w:rFonts w:ascii="Calibri" w:hAnsi="Calibri" w:cs="Calibri"/>
        </w:rPr>
        <w:t>Liao &amp; Huang (2018)</w:t>
      </w:r>
      <w:r w:rsidR="00C92D19" w:rsidRPr="005C06CB">
        <w:rPr>
          <w:lang w:val="sl-SI"/>
        </w:rPr>
        <w:fldChar w:fldCharType="end"/>
      </w:r>
      <w:r w:rsidR="00C92D19" w:rsidRPr="005C06CB">
        <w:rPr>
          <w:lang w:val="sl-SI"/>
        </w:rPr>
        <w:t xml:space="preserve"> </w:t>
      </w:r>
      <w:proofErr w:type="spellStart"/>
      <w:r w:rsidR="00C92D19" w:rsidRPr="005C06CB">
        <w:rPr>
          <w:lang w:val="sl-SI"/>
        </w:rPr>
        <w:t>concluded</w:t>
      </w:r>
      <w:proofErr w:type="spellEnd"/>
      <w:r w:rsidR="00C92D19" w:rsidRPr="005C06CB">
        <w:rPr>
          <w:lang w:val="sl-SI"/>
        </w:rPr>
        <w:t xml:space="preserve"> </w:t>
      </w:r>
      <w:proofErr w:type="spellStart"/>
      <w:r w:rsidR="00C92D19" w:rsidRPr="005C06CB">
        <w:rPr>
          <w:lang w:val="sl-SI"/>
        </w:rPr>
        <w:t>that</w:t>
      </w:r>
      <w:proofErr w:type="spellEnd"/>
      <w:r w:rsidR="00C92D19" w:rsidRPr="005C06CB">
        <w:rPr>
          <w:lang w:val="sl-SI"/>
        </w:rPr>
        <w:t xml:space="preserve"> </w:t>
      </w:r>
      <w:r w:rsidR="00C92D19" w:rsidRPr="005C06CB">
        <w:t>science-related private tutoring has not significantly improved the overall scientific literacy scores of students, and that tutoring has widened the performance gap among students from different socioeconomic backgrounds, with students from socioeconomically advantaged family experiencing more significant gains from tutoring.</w:t>
      </w:r>
    </w:p>
    <w:p w14:paraId="13DA7A47" w14:textId="64ED80A2"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0D004B">
        <w:rPr>
          <w:lang w:val="sl-SI"/>
        </w:rPr>
        <w:instrText xml:space="preserve"> ADDIN ZOTERO_ITEM CSL_CITATION {"citationID":"I1e47KuY","properties":{"formattedCitation":"(Hussein et al., 2022; Saha et al., 2020)","plainCitation":"(Hussein et al., 2022; Saha et al., 2020)","noteIndex":0},"citationItems":[{"id":"BQPZCFLM/3MKbdLwI","uris":["http://zotero.org/users/local/1Uxvmohd/items/ZZH2SZTW"],"itemData":{"id":890,"type":"article-journal","container-title":"Education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O."}],"issued":{"date-parts":[["2022",3]]}}},{"id":"BQPZCFLM/nRT1K80P","uris":["http://zotero.org/users/local/1Uxvmohd/items/KBKSDKRS"],"itemData":{"id":888,"type":"article-journal","abstract":"The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A25EBB9"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D004B">
        <w:rPr>
          <w:lang w:val="sl-SI"/>
        </w:rPr>
        <w:instrText xml:space="preserve"> ADDIN ZOTERO_ITEM CSL_CITATION {"citationID":"NJoLv8Du","properties":{"formattedCitation":"(Ndungo &amp; Nazziwa, 2023)","plainCitation":"(Ndungo &amp; Nazziwa, 2023)","noteIndex":0},"citationItems":[{"id":"BQPZCFLM/tpNyB6eo","uris":["http://zotero.org/users/local/1Uxvmohd/items/WHZDEMVH"],"itemData":{"id":891,"type":"article-journal","abstract":"This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r w:rsidR="00805CC0">
        <w:rPr>
          <w:lang w:val="sl-SI"/>
        </w:rPr>
        <w:t xml:space="preserve">a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0D004B">
        <w:rPr>
          <w:lang w:val="sl-SI"/>
        </w:rPr>
        <w:instrText xml:space="preserve"> ADDIN ZOTERO_ITEM CSL_CITATION {"citationID":"c9Ca7E7V","properties":{"formattedCitation":"(Trenholm, 2022)","plainCitation":"(Trenholm, 2022)","dontUpdate":true,"noteIndex":0},"citationItems":[{"id":"BQPZCFLM/F0iiQPZX","uris":["http://zotero.org/users/local/1Uxvmohd/items/2XZJFAV2"],"itemData":{"id":893,"type":"article-journal","container-title":"International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447FB6E8"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153B4E">
        <w:rPr>
          <w:lang w:val="sl-SI"/>
        </w:rPr>
        <w:fldChar w:fldCharType="begin"/>
      </w:r>
      <w:r w:rsidR="00153B4E">
        <w:rPr>
          <w:lang w:val="sl-SI"/>
        </w:rPr>
        <w:instrText xml:space="preserve"> ADDIN ZOTERO_ITEM CSL_CITATION {"citationID":"wkS0su9K","properties":{"formattedCitation":"(Bonesr\\uc0\\u248{}nning et al., 2022)","plainCitation":"(Bonesrønning et al., 2022)","noteIndex":0},"citationItems":[{"id":420,"uris":["http://zotero.org/users/local/ZlhuMgGE/items/X785PXY4"],"itemData":{"id":420,"type":"article-journal","container-title":"Journal of Public Economics","DOI":"10.1016/j.jpubeco.2022.104765","ISSN":"00472727","journalAbbreviation":"Journal of Public Economics","language":"en","page":"104765","source":"DOI.org (Crossref)","title":"Small-group instruction to improve student performance in mathematics in early grades: Results from a randomized field experiment","title-short":"Small-group instruction to improve student performance in mathematics in early grades","volume":"216","author":[{"family":"Bonesrønning","given":"Hans"},{"family":"Finseraas","given":"Henning"},{"family":"Hardoy","given":"Ines"},{"family":"Iversen","given":"Jon Marius Vaag"},{"family":"Nyhus","given":"Ole Henning"},{"family":"Opheim","given":"Vibeke"},{"family":"Salvanes","given":"Kari Vea"},{"family":"Sandsør","given":"Astrid Marie Jorde"},{"family":"Schøne","given":"Pål"}],"issued":{"date-parts":[["2022",12]]}}}],"schema":"https://github.com/citation-style-language/schema/raw/master/csl-citation.json"} </w:instrText>
      </w:r>
      <w:r w:rsidR="00153B4E">
        <w:rPr>
          <w:lang w:val="sl-SI"/>
        </w:rPr>
        <w:fldChar w:fldCharType="separate"/>
      </w:r>
      <w:r w:rsidR="00153B4E" w:rsidRPr="00153B4E">
        <w:rPr>
          <w:rFonts w:ascii="Calibri" w:hAnsi="Calibri" w:cs="Calibri"/>
          <w:kern w:val="0"/>
        </w:rPr>
        <w:t>(</w:t>
      </w:r>
      <w:proofErr w:type="spellStart"/>
      <w:r w:rsidR="00153B4E" w:rsidRPr="00153B4E">
        <w:rPr>
          <w:rFonts w:ascii="Calibri" w:hAnsi="Calibri" w:cs="Calibri"/>
          <w:kern w:val="0"/>
        </w:rPr>
        <w:t>Bonesrønning</w:t>
      </w:r>
      <w:proofErr w:type="spellEnd"/>
      <w:r w:rsidR="00153B4E" w:rsidRPr="00153B4E">
        <w:rPr>
          <w:rFonts w:ascii="Calibri" w:hAnsi="Calibri" w:cs="Calibri"/>
          <w:kern w:val="0"/>
        </w:rPr>
        <w:t xml:space="preserve"> et al., 2022)</w:t>
      </w:r>
      <w:r w:rsidR="00153B4E">
        <w:rPr>
          <w:lang w:val="sl-SI"/>
        </w:rPr>
        <w:fldChar w:fldCharType="end"/>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805CC0">
        <w:rPr>
          <w:lang w:val="sl-SI"/>
        </w:rPr>
        <w:t>an</w:t>
      </w:r>
      <w:proofErr w:type="spellEnd"/>
      <w:r w:rsidR="00805CC0">
        <w:rPr>
          <w:lang w:val="sl-SI"/>
        </w:rPr>
        <w:t xml:space="preserve">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30782A3B"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0D004B">
        <w:rPr>
          <w:lang w:val="sl-SI"/>
        </w:rPr>
        <w:instrText xml:space="preserve"> ADDIN ZOTERO_ITEM CSL_CITATION {"citationID":"0oDBfENl","properties":{"formattedCitation":"(Jerez et al., 2021)","plainCitation":"(Jerez et al., 2021)","noteIndex":0},"citationItems":[{"id":"BQPZCFLM/eacZD0VT","uris":["http://zotero.org/users/local/1Uxvmohd/items/CDHZ7FCF"],"itemData":{"id":894,"type":"article-journal","container-title":"Learning: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47441E4E"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C92D19">
        <w:rPr>
          <w:lang w:val="sl-SI"/>
        </w:rPr>
        <w:t xml:space="preserve"> </w:t>
      </w:r>
      <w:r w:rsidR="00C92D19">
        <w:t>Data on the number of students who do not participate in additional instruction is limited</w:t>
      </w:r>
      <w:r w:rsidR="007E58B0">
        <w:rPr>
          <w:lang w:val="sl-SI"/>
        </w:rPr>
        <w:t>.</w:t>
      </w:r>
    </w:p>
    <w:p w14:paraId="1589D693" w14:textId="77777777" w:rsidR="004422CC" w:rsidRDefault="00F7476E" w:rsidP="004C6023">
      <w:r w:rsidRPr="00F7476E">
        <w:t>In the context of the PISA 2022 research, these instructional practices were measured to evaluate their impact on student performance in mathematics</w:t>
      </w:r>
      <w:r w:rsidR="00153B4E">
        <w:t xml:space="preserve"> </w:t>
      </w:r>
      <w:r w:rsidR="00153B4E">
        <w:fldChar w:fldCharType="begin"/>
      </w:r>
      <w:r w:rsidR="00D64EAD">
        <w:instrText xml:space="preserve"> ADDIN ZOTERO_ITEM CSL_CITATION {"citationID":"WBTitML5","properties":{"formattedCitation":"(OECD,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153B4E">
        <w:fldChar w:fldCharType="separate"/>
      </w:r>
      <w:r w:rsidR="00D64EAD" w:rsidRPr="00D64EAD">
        <w:rPr>
          <w:rFonts w:ascii="Calibri" w:hAnsi="Calibri" w:cs="Calibri"/>
        </w:rPr>
        <w:t>(OECD, 2023a)</w:t>
      </w:r>
      <w:r w:rsidR="00153B4E">
        <w:fldChar w:fldCharType="end"/>
      </w:r>
      <w:r w:rsidRPr="00F7476E">
        <w:t>.</w:t>
      </w:r>
    </w:p>
    <w:p w14:paraId="21CCD4D7" w14:textId="73605441" w:rsidR="004422CC" w:rsidRDefault="004422CC" w:rsidP="004422CC">
      <w:pPr>
        <w:pStyle w:val="Heading3"/>
        <w:numPr>
          <w:ilvl w:val="1"/>
          <w:numId w:val="11"/>
        </w:numPr>
      </w:pPr>
      <w:r>
        <w:t>Gender differences between usage of additional instructional methods</w:t>
      </w:r>
    </w:p>
    <w:p w14:paraId="194A6C7B" w14:textId="268DBFAF" w:rsidR="001B6641" w:rsidRDefault="001B6641" w:rsidP="001B6641">
      <w:r>
        <w:t xml:space="preserve">Understanding gender differences in the use of additional instructional methods in mathematics education is crucial for developing effective, inclusive teaching strategies. Differences in physiology, mindset, upbringing, and psychological phenomena significantly influence male and female students' </w:t>
      </w:r>
      <w:r>
        <w:lastRenderedPageBreak/>
        <w:t xml:space="preserve">performance in mathematics </w:t>
      </w:r>
      <w:r>
        <w:fldChar w:fldCharType="begin"/>
      </w:r>
      <w:r>
        <w:instrText xml:space="preserve"> ADDIN ZOTERO_ITEM CSL_CITATION {"citationID":"nAKQHxJK","properties":{"formattedCitation":"(Xu, 2023)","plainCitation":"(Xu, 2023)","noteIndex":0},"citationItems":[{"id":878,"uris":["http://zotero.org/users/local/ZlhuMgGE/items/GUIQWQIH"],"itemData":{"id":878,"type":"article-journal","abstract":"Mathematics is an essential subject at every stage of learning. The importance of mathematics lies in the excellent application and practice of theoretical knowledge, which in turn requires a very high level of logic from students. Statements such as boys are better at logic and maths and girls are better at liberal arts are frequently discussed in the realm of education, leading to the formation of stereotypes. Research has shown differences in the physiology, mindset, and upbringing of boys and girls, which are the main factors influencing students mathematics performance. The differences in the physiology of males and females will be first analyzed, including differences in brain structure and hormone production, which leads to the differences in thinking and emotions between males and females. Secondly, the deeper reasons why male and female students perform differently in mathematics will be explored based on a thorough understanding of the subjects characteristics, guided by several theories about stereotypes. Finally, the different approaches to learning resulting from the different psychological phenomena between male and female students will also be discussed as an essential factor in the differences between the male and female performance in mathematics.","container-title":"Lecture Notes in Education Psychology and Public Media","DOI":"10.54254/2753-7048/6/20220446","ISSN":"2753-7048, 2753-7056","issue":"1","journalAbbreviation":"LNEP","page":"498-503","source":"DOI.org (Crossref)","title":"Study of Gender Differences in Mathematics","volume":"6","author":[{"family":"Xu","given":"Peilun"}],"issued":{"date-parts":[["2023",5,17]]}}}],"schema":"https://github.com/citation-style-language/schema/raw/master/csl-citation.json"} </w:instrText>
      </w:r>
      <w:r>
        <w:fldChar w:fldCharType="separate"/>
      </w:r>
      <w:r w:rsidRPr="001B6641">
        <w:rPr>
          <w:rFonts w:ascii="Calibri" w:hAnsi="Calibri" w:cs="Calibri"/>
        </w:rPr>
        <w:t>(Xu, 2023)</w:t>
      </w:r>
      <w:r>
        <w:fldChar w:fldCharType="end"/>
      </w:r>
      <w:r w:rsidR="00370315">
        <w:t xml:space="preserve">. For instance, </w:t>
      </w:r>
      <w:r>
        <w:fldChar w:fldCharType="begin"/>
      </w:r>
      <w:r w:rsidR="000D004B">
        <w:instrText xml:space="preserve"> ADDIN ZOTERO_ITEM CSL_CITATION {"citationID":"FwPRLTzf","properties":{"formattedCitation":"(Armah et al., 2020)","plainCitation":"(Armah et al., 2020)","dontUpdate":true,"noteIndex":0},"citationItems":[{"id":880,"uris":["http://zotero.org/users/local/ZlhuMgGE/items/GEDHN8QR"],"itemData":{"id":880,"type":"article-journal","container-title":"Contemporary Mathematics and Science Education","DOI":"10.30935/conmaths/9288","ISSN":"26344076","issue":"1","journalAbbreviation":"Contemporary Mathematics and Science Education","page":"ep21001","source":"DOI.org (Crossref)","title":"A Comparative Study of Male and Female Distance Learners’ Mathematics Achievement","volume":"2","author":[{"family":"Armah","given":"Samuel Ebenezer"},{"family":"Akayuure","given":"Peter"},{"family":"Armah","given":"Robert Benjamin"}],"issued":{"date-parts":[["2020",11,29]]}}}],"schema":"https://github.com/citation-style-language/schema/raw/master/csl-citation.json"} </w:instrText>
      </w:r>
      <w:r>
        <w:fldChar w:fldCharType="separate"/>
      </w:r>
      <w:r w:rsidRPr="001B6641">
        <w:rPr>
          <w:rFonts w:ascii="Calibri" w:hAnsi="Calibri" w:cs="Calibri"/>
        </w:rPr>
        <w:t xml:space="preserve">Armah et al. </w:t>
      </w:r>
      <w:r>
        <w:rPr>
          <w:rFonts w:ascii="Calibri" w:hAnsi="Calibri" w:cs="Calibri"/>
        </w:rPr>
        <w:t>(</w:t>
      </w:r>
      <w:r w:rsidRPr="001B6641">
        <w:rPr>
          <w:rFonts w:ascii="Calibri" w:hAnsi="Calibri" w:cs="Calibri"/>
        </w:rPr>
        <w:t>2020)</w:t>
      </w:r>
      <w:r>
        <w:fldChar w:fldCharType="end"/>
      </w:r>
      <w:r>
        <w:t xml:space="preserve"> revealed that male distance learners outperformed their female counterparts in mathematics, underscoring the necessity for gender-sensitive strategies in distance education. Conversely</w:t>
      </w:r>
      <w:r w:rsidR="000339D2">
        <w:t>,</w:t>
      </w:r>
      <w:r w:rsidR="00096082">
        <w:t xml:space="preserve"> in a study by </w:t>
      </w:r>
      <w:r w:rsidR="00096082">
        <w:fldChar w:fldCharType="begin"/>
      </w:r>
      <w:r w:rsidR="000D004B">
        <w:instrText xml:space="preserve"> ADDIN ZOTERO_ITEM CSL_CITATION {"citationID":"0iXk3jf2","properties":{"formattedCitation":"(Kaldo &amp; \\uc0\\u213{}un, 2020)","plainCitation":"(Kaldo &amp; Õun, 2020)","dontUpdate":true,"noteIndex":0},"citationItems":[{"id":882,"uris":["http://zotero.org/users/local/ZlhuMgGE/items/3Q4Z5J9G"],"itemData":{"id":882,"type":"article-journal","abstract":"Most universities teach mathematics in the first year and the complexity of the subject demands also different levels of mathematics. Although students understand the reason why they need to learn mathematics, there are more than half of students struggling during the math classes. It is also interesting to compare male and female students` study habits and differences. The aim of this research is to report first-year Estonian university students’ views on mathematics by gender. The quantitative data were collected from 440 university students of different disciplines. The participants completed the LIST questionnaire what measures several aspects of learning strategies of mathematics conducted by factor analysis of 69 questions in 4-point Likert scale. In this research, in two of nine factors, females hold a more positive view of learning strategies than did male students. This research indicates which learning strategies in mathematics are preferred by males and females. Factors Organizing and Repeating were the factors in which we found statistically significant gender difference. Females showed more powerful organizing skills and had better repeating strategies than males. Females try to order the subject matter in a way that makes it easy for them to remember, they go over their notes and structure the most important points more than males. In all the other factors, statistical differences were found only in some questions.\nKeywords: learning strategies, LIST-questionnaire, mathematics education, mathematics related effect, university mathematics.","container-title":"Problems of Education in the 21st Century","DOI":"10.33225/pec/20.78.595","ISSN":"2538-7111, 1822-7864","issue":"4","journalAbbreviation":"PEC","language":"en","page":"595-611","source":"DOI.org (Crossref)","title":"GENDER DIFFERENCES FAVOURING FEMALES IN LEARNING STRATEGIES IN MATHEMATICS","volume":"78","author":[{"family":"Kaldo","given":"Indrek"},{"family":"Õun","given":"Kandela"}],"issued":{"date-parts":[["2020",8,10]]}}}],"schema":"https://github.com/citation-style-language/schema/raw/master/csl-citation.json"} </w:instrText>
      </w:r>
      <w:r w:rsidR="00096082">
        <w:fldChar w:fldCharType="separate"/>
      </w:r>
      <w:r w:rsidR="00096082" w:rsidRPr="00096082">
        <w:rPr>
          <w:rFonts w:ascii="Calibri" w:hAnsi="Calibri" w:cs="Calibri"/>
          <w:kern w:val="0"/>
        </w:rPr>
        <w:t xml:space="preserve">Kaldo &amp; Õun </w:t>
      </w:r>
      <w:r w:rsidR="00096082">
        <w:rPr>
          <w:rFonts w:ascii="Calibri" w:hAnsi="Calibri" w:cs="Calibri"/>
          <w:kern w:val="0"/>
        </w:rPr>
        <w:t>(</w:t>
      </w:r>
      <w:r w:rsidR="00096082" w:rsidRPr="00096082">
        <w:rPr>
          <w:rFonts w:ascii="Calibri" w:hAnsi="Calibri" w:cs="Calibri"/>
          <w:kern w:val="0"/>
        </w:rPr>
        <w:t>2020)</w:t>
      </w:r>
      <w:r w:rsidR="00096082">
        <w:fldChar w:fldCharType="end"/>
      </w:r>
      <w:r>
        <w:t>, female students have demonstrated superior organizational skills and more effective repetition strategies in mathematics learning compared to male students. These findings suggest that tailored instructional methods that account for these differences could enhance mathematics learning outcomes for both genders.</w:t>
      </w:r>
    </w:p>
    <w:p w14:paraId="6F98467E" w14:textId="5D18E915" w:rsidR="00370315" w:rsidRPr="001B6641" w:rsidRDefault="00370315" w:rsidP="001B6641">
      <w:r w:rsidRPr="00370315">
        <w:t>The influence of gender on these methods and their usage is multifaceted. Research indicates that gender stereotypes and societal expectations can affect students' confidence and participation in math-related activities</w:t>
      </w:r>
      <w:r w:rsidR="000D004B">
        <w:t xml:space="preserve"> </w:t>
      </w:r>
      <w:r w:rsidR="000D004B">
        <w:fldChar w:fldCharType="begin"/>
      </w:r>
      <w:r w:rsidR="000D004B">
        <w:instrText xml:space="preserve"> ADDIN ZOTERO_ITEM CSL_CITATION {"citationID":"3FnUYcGi","properties":{"formattedCitation":"(Hawrot, 2024)","plainCitation":"(Hawrot, 2024)","noteIndex":0},"citationItems":[{"id":884,"uris":["http://zotero.org/users/local/ZlhuMgGE/items/K3L954E6"],"itemData":{"id":884,"type":"article-journal","container-title":"Research Papers in Education","DOI":"10.1080/02671522.2022.2089209","ISSN":"0267-1522, 1470-1146","issue":"1","journalAbbreviation":"Research Papers in Education","language":"en","page":"1-23","source":"DOI.org (Crossref)","title":"Do School-Related Factors Affect Private Tutoring Attendance? Predictors of Private Tutoring in Maths and German among German Tenth-Graders","title-short":"Do School-Related Factors Affect Private Tutoring Attendance?","volume":"39","author":[{"family":"Hawrot","given":"Anna"}],"issued":{"date-parts":[["2024",1,2]]}}}],"schema":"https://github.com/citation-style-language/schema/raw/master/csl-citation.json"} </w:instrText>
      </w:r>
      <w:r w:rsidR="000D004B">
        <w:fldChar w:fldCharType="separate"/>
      </w:r>
      <w:r w:rsidR="000D004B" w:rsidRPr="000D004B">
        <w:rPr>
          <w:rFonts w:ascii="Calibri" w:hAnsi="Calibri" w:cs="Calibri"/>
        </w:rPr>
        <w:t>(</w:t>
      </w:r>
      <w:r w:rsidR="000D004B">
        <w:rPr>
          <w:rFonts w:ascii="Calibri" w:hAnsi="Calibri" w:cs="Calibri"/>
        </w:rPr>
        <w:t xml:space="preserve">cf. </w:t>
      </w:r>
      <w:r w:rsidR="000D004B" w:rsidRPr="000D004B">
        <w:rPr>
          <w:rFonts w:ascii="Calibri" w:hAnsi="Calibri" w:cs="Calibri"/>
        </w:rPr>
        <w:t>Hawrot, 2024)</w:t>
      </w:r>
      <w:r w:rsidR="000D004B">
        <w:fldChar w:fldCharType="end"/>
      </w:r>
      <w:r w:rsidRPr="00370315">
        <w:t>.</w:t>
      </w:r>
      <w:r>
        <w:t xml:space="preserve"> </w:t>
      </w:r>
      <w:r w:rsidR="000339D2">
        <w:t>Some studies indicated that</w:t>
      </w:r>
      <w:r>
        <w:t xml:space="preserve"> boys are more likely to </w:t>
      </w:r>
      <w:r w:rsidR="000339D2">
        <w:t>participate in additional tutoring</w:t>
      </w:r>
      <w:r w:rsidR="000D004B">
        <w:t xml:space="preserve"> </w:t>
      </w:r>
      <w:r w:rsidR="000D004B">
        <w:fldChar w:fldCharType="begin"/>
      </w:r>
      <w:r w:rsidR="000D004B">
        <w:instrText xml:space="preserve"> ADDIN ZOTERO_ITEM CSL_CITATION {"citationID":"B3AhwSw2","properties":{"formattedCitation":"(Liao &amp; Huang, 2018)","plainCitation":"(Liao &amp; Huang, 2018)","noteIndex":0},"citationItems":[{"id":876,"uris":["http://zotero.org/users/local/ZlhuMgGE/items/EILB8CGW"],"itemData":{"id":876,"type":"article-journal","abstract":"Purpose\n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0D004B">
        <w:fldChar w:fldCharType="separate"/>
      </w:r>
      <w:r w:rsidR="000D004B" w:rsidRPr="000D004B">
        <w:rPr>
          <w:rFonts w:ascii="Calibri" w:hAnsi="Calibri" w:cs="Calibri"/>
        </w:rPr>
        <w:t>(Liao &amp; Huang, 2018)</w:t>
      </w:r>
      <w:r w:rsidR="000D004B">
        <w:fldChar w:fldCharType="end"/>
      </w:r>
      <w:r w:rsidR="000D004B">
        <w:t>,</w:t>
      </w:r>
      <w:r w:rsidR="000339D2">
        <w:t xml:space="preserve"> while others</w:t>
      </w:r>
      <w:r w:rsidR="000D004B">
        <w:t xml:space="preserve"> </w:t>
      </w:r>
      <w:r w:rsidR="000D004B">
        <w:fldChar w:fldCharType="begin"/>
      </w:r>
      <w:r w:rsidR="000D004B">
        <w:instrText xml:space="preserve"> ADDIN ZOTERO_ITEM CSL_CITATION {"citationID":"E6W7mLqX","properties":{"formattedCitation":"(Guill et al., 2020; Hawrot, 2024)","plainCitation":"(Guill et al., 2020; Hawrot, 2024)","noteIndex":0},"citationItems":[{"id":885,"uris":["http://zotero.org/users/local/ZlhuMgGE/items/CJPXQT9I"],"itemData":{"id":885,"type":"article-journal","abstract":"Background\n              A considerable proportion of secondary school students gets additional support from private tutoring lessons. Empirical findings on the effectiveness of private tutoring are inconclusive. The instructional quality of the tutoring lessons might influence their effectiveness.\n            \n            \n              Aims\n              We analysed (1) whether students privately tutored in the subjects German or mathematics outperformed their non‐tutored counterparts; (2) whether the instructional quality of the tutoring lessons can be described with the three dimensions, structure, challenge, and support; and (3) the effects of these quality dimensions on the students’ academic achievement and their global satisfaction with their school and family situation.\n            \n            \n              Sample\n              \n                We used data from the German National Educational Panel Study (\n                NEPS\n                ). From a total sample of\n                N\n                 = 11,358 10th‐grade secondary school students, subsamples provided information about tutoring quality in mathematics (\n                \n                  n\n                  \n                    M\n                  \n                \n                 = 1,714), German (\n                \n                  n\n                  \n                    G\n                  \n                \n                 = 148), and English (\n                \n                  n\n                  \n                    E\n                  \n                \n                 = 490).\n              \n            \n            \n              Methods\n              The model of three correlated dimensions of tutoring quality was evaluated with confirmatory factor analyses, and the effects on student outcomes were tested in a structural equation modelling framework.\n            \n            \n              Results\n              Analyses revealed neither global effects of private tutoring nor effects of its instructional quality on students’ grades in mathematics or German. However, the support dimension was positively related to students’ satisfaction with their school situation.\n            \n            \n              Conclusions\n              Private tutoring cannot be recommended as a generally effective strategy to improve academic achievement in school, but might be helpful to relieve the stress level induced by insufficient achievement in school.","container-title":"British Journal of Educational Psychology","DOI":"10.1111/bjep.12281","ISSN":"0007-0998, 2044-8279","issue":"2","journalAbbreviation":"Brit J of Edu Psychol","language":"en","page":"282-300","source":"DOI.org (Crossref)","title":"Assessing the instructional quality of private tutoring and its effects on student outcomes: Analyses from the German National Educational Panel Study","title-short":"Assessing the instructional quality of private tutoring and its effects on student outcomes","volume":"90","author":[{"family":"Guill","given":"Karin"},{"family":"Lüdtke","given":"Oliver"},{"family":"Köller","given":"Olaf"}],"issued":{"date-parts":[["2020",5]]}}},{"id":884,"uris":["http://zotero.org/users/local/ZlhuMgGE/items/K3L954E6"],"itemData":{"id":884,"type":"article-journal","container-title":"Research Papers in Education","DOI":"10.1080/02671522.2022.2089209","ISSN":"0267-1522, 1470-1146","issue":"1","journalAbbreviation":"Research Papers in Education","language":"en","page":"1-23","source":"DOI.org (Crossref)","title":"Do School-Related Factors Affect Private Tutoring Attendance? Predictors of Private Tutoring in Maths and German among German Tenth-Graders","title-short":"Do School-Related Factors Affect Private Tutoring Attendance?","volume":"39","author":[{"family":"Hawrot","given":"Anna"}],"issued":{"date-parts":[["2024",1,2]]}}}],"schema":"https://github.com/citation-style-language/schema/raw/master/csl-citation.json"} </w:instrText>
      </w:r>
      <w:r w:rsidR="000D004B">
        <w:fldChar w:fldCharType="separate"/>
      </w:r>
      <w:r w:rsidR="000D004B" w:rsidRPr="000D004B">
        <w:rPr>
          <w:rFonts w:ascii="Calibri" w:hAnsi="Calibri" w:cs="Calibri"/>
        </w:rPr>
        <w:t>(Guill et al., 2020; Hawrot, 2024)</w:t>
      </w:r>
      <w:r w:rsidR="000D004B">
        <w:fldChar w:fldCharType="end"/>
      </w:r>
      <w:r w:rsidR="000339D2">
        <w:t xml:space="preserve"> found the opposite. Additionally</w:t>
      </w:r>
      <w:r w:rsidRPr="00370315">
        <w:t>, girls may benefit more from one-on-one tutoring and small group studies due to a more supportive and less intimidating environment</w:t>
      </w:r>
      <w:r w:rsidR="000D004B">
        <w:t xml:space="preserve"> </w:t>
      </w:r>
      <w:r w:rsidR="000D004B">
        <w:fldChar w:fldCharType="begin"/>
      </w:r>
      <w:r w:rsidR="000D004B">
        <w:instrText xml:space="preserve"> ADDIN ZOTERO_ITEM CSL_CITATION {"citationID":"SerWGZif","properties":{"formattedCitation":"(Deutsch et al., 2017; Stoeger et al., 2017)","plainCitation":"(Deutsch et al., 2017; Stoeger et al., 2017)","noteIndex":0},"citationItems":[{"id":887,"uris":["http://zotero.org/users/local/ZlhuMgGE/items/5DT2FSBR"],"itemData":{"id":887,"type":"article-journal","abstract":"Group mentoring is an increasingly popular intervention, but is still under-studied. This article reports findings from a qualitative study of the Young Women Leaders Program (YWLP), a combined group and one-on-one mentoring program for early adolescent girls. Protégés (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 development and self-understanding were the most frequently reported types of change. Protégés reported mentors as contributing to changes in academics more often than the mentoring group. They reported the mentoring group as the change mechanism more often than mentors for relational development. Protégés reported the mentors and mentoring groups about equally as the mechanisms of change for self-regulation and self-understanding. The findings support prior research on group mentoring and suggest that social and relational skills are a developmental domain in which group-based mentoring programs for early adolescent girls may be particularly effective at intervening.","container-title":"Journal of Adolescent Research","DOI":"10.1177/0743558416630813","ISSN":"0743-5584, 1552-6895","issue":"3","journalAbbreviation":"Journal of Adolescent Research","language":"en","page":"291-322","source":"DOI.org (Crossref)","title":"“It Gave Me Ways to Solve Problems and Ways to Talk to People”: Outcomes From a Combined Group and One-on-One Mentoring Program for Early Adolescent Girls","title-short":"“It Gave Me Ways to Solve Problems and Ways to Talk to People”","volume":"32","author":[{"family":"Deutsch","given":"Nancy L."},{"family":"Reitz-Krueger","given":"Cristina L."},{"family":"Henneberger","given":"Angela K."},{"family":"Futch Ehrlich","given":"Valerie A."},{"family":"Lawrence","given":"Edith C."}],"issued":{"date-parts":[["2017",5]]}}},{"id":888,"uris":["http://zotero.org/users/local/ZlhuMgGE/items/UZU2D6PR"],"itemData":{"id":888,"type":"article-journal","abstract":"Online mentoring provides an effective means of extracurricular gifted education for talented girls in science, technology, engineering, and mathematics (STEM). Comparative studies on the effectiveness of one-on-one versus group mentoring are lacking, however. The authors investigated this question in the context of a Germany-wide online mentoring program that employed both approaches. Study participants were girls enrolled in high-achiever-track secondary education in Germany ( N = 347) who were mentored online by female academics in STEM for 6 months, in either one-on-one ( N = 156) or group mentoring ( N = 191). It was assumed that the specific many-to-many group-mentoring condition examined in our study would be more effective than the one-on-one mentoring condition with respect to (a) the proportion of STEM communication and (b) the extent of STEM-related networking, both of which are important predictors of successful mentoring. Furthermore, the authors (c) expected more growth in elective intentions for the group-mentoring participants and (d) assumed that participants’ centrality in their respective STEM networks would predict this increase. The study presents empirical support for all four assumptions and thus suggests that the special form of group mentoring examined here may be a more successful measure of extracurricular gifted education for girls in STEM than one-on-one mentoring.","container-title":"Gifted Child Quarterly","DOI":"10.1177/0016986217702215","ISSN":"0016-9862, 1934-9041","issue":"3","journalAbbreviation":"Gifted Child Quarterly","language":"en","page":"239-249","source":"DOI.org (Crossref)","title":"Online Mentoring as an Extracurricular Measure to Encourage Talented Girls in STEM (Science, Technology, Engineering, and Mathematics): An Empirical Study of One-on-One Versus Group Mentoring","title-short":"Online Mentoring as an Extracurricular Measure to Encourage Talented Girls in STEM (Science, Technology, Engineering, and Mathematics)","volume":"61","author":[{"family":"Stoeger","given":"Heidrun"},{"family":"Hopp","given":"Manuel"},{"family":"Ziegler","given":"Albert"}],"issued":{"date-parts":[["2017",7]]}}}],"schema":"https://github.com/citation-style-language/schema/raw/master/csl-citation.json"} </w:instrText>
      </w:r>
      <w:r w:rsidR="000D004B">
        <w:fldChar w:fldCharType="separate"/>
      </w:r>
      <w:r w:rsidR="000D004B" w:rsidRPr="000D004B">
        <w:rPr>
          <w:rFonts w:ascii="Calibri" w:hAnsi="Calibri" w:cs="Calibri"/>
        </w:rPr>
        <w:t>(</w:t>
      </w:r>
      <w:r w:rsidR="000D004B">
        <w:rPr>
          <w:rFonts w:ascii="Calibri" w:hAnsi="Calibri" w:cs="Calibri"/>
        </w:rPr>
        <w:t xml:space="preserve">cf. </w:t>
      </w:r>
      <w:r w:rsidR="000D004B" w:rsidRPr="000D004B">
        <w:rPr>
          <w:rFonts w:ascii="Calibri" w:hAnsi="Calibri" w:cs="Calibri"/>
        </w:rPr>
        <w:t>Deutsch et al., 2017; Stoeger et al., 2017)</w:t>
      </w:r>
      <w:r w:rsidR="000D004B">
        <w:fldChar w:fldCharType="end"/>
      </w:r>
      <w:r w:rsidR="000D004B">
        <w:t>,</w:t>
      </w:r>
      <w:r w:rsidRPr="00370315">
        <w:t xml:space="preserve"> while boys might engage more in larger groups due to competitive and social dynamics. Additionally, the use of ICT in teaching can bridge gender gaps by providing neutral, unbiased content delivery, though </w:t>
      </w:r>
      <w:r w:rsidR="005C324A">
        <w:t>ICT usage as an additional instructional method in mathematics might be more used by boys than girls</w:t>
      </w:r>
      <w:r w:rsidR="000D004B">
        <w:t xml:space="preserve"> </w:t>
      </w:r>
      <w:r w:rsidR="000D004B">
        <w:fldChar w:fldCharType="begin"/>
      </w:r>
      <w:r w:rsidR="000D004B">
        <w:instrText xml:space="preserve"> ADDIN ZOTERO_ITEM CSL_CITATION {"citationID":"YG6LNUs9","properties":{"formattedCitation":"(Zhu &amp; Mok, 2020)","plainCitation":"(Zhu &amp; Mok, 2020)","noteIndex":0},"citationItems":[{"id":890,"uris":["http://zotero.org/users/local/ZlhuMgGE/items/73DLIKLF"],"itemData":{"id":890,"type":"article-journal","abstract":"Abstract\n            \n              In recent years, it has become common to use the internet or computer tutoring with a programme or application for additional instruction (ICTPAAI), in addition to the mandatory school schedule. This study aimed to understand students' participation in ICTPAAI and its relation to academic achievement. Multilevel structural equation modelling was conducted on a sample comprising 6,425 Chinese students (\n              M\n              age\n              15.72 years; 48.9% girls) who had various forms of additional instruction during the 2014/2015 school year. Results showed that the use of information and communication technology (ICT) to complete schoolwork, whether in school or outside of school, was positively associated with students' participation in ICTPAAI; however, students' ICT interest, ICT self‐efficacy and ICT autonomy were not. Students' participation in ICTPAAI was negatively associated with their academic achievement at the end of the school year; much variance was explained at the school level. These findings suggest that students should be cautious about participating in this form of additional instruction and that schools play an important role in students' participation in ICTPAAI.\n            \n          , \n            Lay Description\n            \n              \n              \n                \n                  \n                    What is already known about this topic\n                    \n                      \n                        \n                          When having more ICT opportunities at and outside of schools and higher ICT propensities, students are more likely to participate in ICT‐related learning activities.\n                        \n                        \n                          Students with higher achievement motivation are more likely to be involved in learning activities.\n                        \n                        \n                          ICT use at school and outside of school may not improve students' academic achievement.\n                        \n                      \n                    \n                  \n                  \n                    What this paper adds\n                    \n                      \n                        \n                          ICT opportunities at and outside of school, and student gender link to participation in internet and computer tutoring with a programme or application for additional instruction (ICTPAAI), but ICT autonomy, ICT self‐efficacy, ICT interest and achievement motivation do not.\n                        \n                        \n                          More variance of participation in ICTPAAI were explained at the school level than at the student level.\n                        \n                        \n                          ICTPAAI negatively associates with academic achievement.\n                        \n                      \n                    \n                  \n                  \n                    Implications for practice and/or policy\n                    \n                      \n                        \n                          Schools play an important role in students' participation in ICTPAAI.\n                        \n                        \n                          Students, at least Chinese students, should be cautious about participating in ICTPAAI.\n                        \n                        \n                          Pay more attention to boys to prevent them from spending too much time on ICTPAAI.","container-title":"Journal of Computer Assisted Learning","DOI":"10.1111/jcal.12440","ISSN":"0266-4909, 1365-2729","issue":"5","journalAbbreviation":"Computer Assisted Learning","language":"en","page":"729-740","source":"DOI.org (Crossref)","title":"Predictors of students' participation in internet or computer tutoring for additional instruction and its effect on academic achievement","volume":"36","author":[{"family":"Zhu","given":"Jinxin"},{"family":"Mok","given":"Magdalena M. C."}],"issued":{"date-parts":[["2020",10]]}}}],"schema":"https://github.com/citation-style-language/schema/raw/master/csl-citation.json"} </w:instrText>
      </w:r>
      <w:r w:rsidR="000D004B">
        <w:fldChar w:fldCharType="separate"/>
      </w:r>
      <w:r w:rsidR="000D004B" w:rsidRPr="000D004B">
        <w:rPr>
          <w:rFonts w:ascii="Calibri" w:hAnsi="Calibri" w:cs="Calibri"/>
        </w:rPr>
        <w:t>(Zhu &amp; Mok, 2020)</w:t>
      </w:r>
      <w:r w:rsidR="000D004B">
        <w:fldChar w:fldCharType="end"/>
      </w:r>
      <w:r w:rsidRPr="00370315">
        <w:t>. Thus, understanding and addressing gender influences is crucial in optimizing the effectiveness of these instructional methods.</w:t>
      </w:r>
    </w:p>
    <w:p w14:paraId="448108B9" w14:textId="3FD3445C" w:rsidR="00E94E6B" w:rsidRDefault="00E94E6B" w:rsidP="004422CC">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Study design</w:t>
      </w:r>
    </w:p>
    <w:p w14:paraId="5694ED5A" w14:textId="131B15F8" w:rsidR="003B59CB" w:rsidRDefault="00C305A2" w:rsidP="003B59C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w:t>
      </w:r>
      <w:r w:rsidRPr="003B59CB">
        <w:t xml:space="preserve">Slovenia. The primary objective is to explore </w:t>
      </w:r>
      <w:r w:rsidR="00D8102A" w:rsidRPr="003B59CB">
        <w:t>whether there are differences in the usage of additional instruc</w:t>
      </w:r>
      <w:r w:rsidR="00370315">
        <w:t>tional methods in mathematics on a</w:t>
      </w:r>
      <w:r w:rsidR="00D8102A" w:rsidRPr="003B59CB">
        <w:t xml:space="preserve"> local</w:t>
      </w:r>
      <w:r w:rsidR="00370315">
        <w:t>, national level (using the</w:t>
      </w:r>
      <w:r w:rsidR="00D8102A" w:rsidRPr="003B59CB">
        <w:t xml:space="preserve"> case of Slovenia) and on </w:t>
      </w:r>
      <w:r w:rsidR="00370315">
        <w:t xml:space="preserve">an </w:t>
      </w:r>
      <w:r w:rsidR="00D8102A" w:rsidRPr="003B59CB">
        <w:t xml:space="preserve">international level. </w:t>
      </w:r>
      <w:r w:rsidR="003B59CB" w:rsidRPr="003B59CB">
        <w:t>We will also explore whether there are differences</w:t>
      </w:r>
      <w:r w:rsidR="003B59CB">
        <w:t xml:space="preserve"> in preference for the selected methods between genders, both locally and</w:t>
      </w:r>
      <w:r w:rsidR="005C324A">
        <w:t xml:space="preserve"> globally. The general hypothese</w:t>
      </w:r>
      <w:r w:rsidR="003B59CB">
        <w:t>s based on the theoretical framework established above are therefore the following:</w:t>
      </w:r>
    </w:p>
    <w:p w14:paraId="09190163" w14:textId="3E0FA591" w:rsidR="00D8102A" w:rsidRDefault="00D8102A" w:rsidP="003B59CB">
      <w:r>
        <w:t>H</w:t>
      </w:r>
      <w:r w:rsidR="003B59CB">
        <w:t>1</w:t>
      </w:r>
      <w:r>
        <w:t xml:space="preserve">: </w:t>
      </w:r>
      <w:r w:rsidR="003B59CB">
        <w:t>There are significant differences in the usage and preference of additional instructional methods in mathematics between genders, both at the national level in Slovenia and at the international level.</w:t>
      </w:r>
    </w:p>
    <w:p w14:paraId="1E95139B" w14:textId="6231F334" w:rsidR="003B59CB" w:rsidRDefault="003B59CB" w:rsidP="003B59CB">
      <w:r>
        <w:t>H2: There are significant differences in the usage and preference of additional instructional methods in mathematics between countries.</w:t>
      </w:r>
    </w:p>
    <w:p w14:paraId="568DF921" w14:textId="45E90B82" w:rsidR="00C305A2" w:rsidRDefault="00C305A2" w:rsidP="00D120D4">
      <w:pPr>
        <w:pStyle w:val="Heading3"/>
        <w:numPr>
          <w:ilvl w:val="1"/>
          <w:numId w:val="11"/>
        </w:numPr>
      </w:pPr>
      <w:r>
        <w:t>Data collection</w:t>
      </w:r>
    </w:p>
    <w:p w14:paraId="6D77960B" w14:textId="11269533" w:rsidR="00C305A2" w:rsidRDefault="00C305A2" w:rsidP="00E94E6B">
      <w:r w:rsidRPr="00C305A2">
        <w:t>The dataset for this research was derived from the 2022 PISA results in Slovenia. The Slovenian sample for the 2022 assessment was selected through a multi-stage stratified sampling technique</w:t>
      </w:r>
      <w:r w:rsidR="00D64EAD">
        <w:t xml:space="preserve"> </w:t>
      </w:r>
      <w:r w:rsidR="00D64EAD">
        <w:fldChar w:fldCharType="begin"/>
      </w:r>
      <w:r w:rsidR="00D64EAD">
        <w:instrText xml:space="preserve"> ADDIN ZOTERO_ITEM CSL_CITATION {"citationID":"UiZhtC42","properties":{"formattedCitation":"(OECD, 2023b)","plainCitation":"(OECD, 2023b)","noteIndex":0},"citationItems":[{"id":853,"uris":["http://zotero.org/users/local/ZlhuMgGE/items/2HEFFNUU"],"itemData":{"id":853,"type":"book","collection-title":"PISA","ISBN":"978-92-64-91529-9","language":"en","note":"DOI: 10.1787/dfe0bf9c-en","publisher":"OECD","source":"DOI.org (Crossref)","title":"PISA 2022 Assessment and Analytical Framework","URL":"https://www.oecd-ilibrary.org/education/pisa-2022-assessment-and-analytical-framework_dfe0bf9c-en","author":[{"literal":"OECD"}],"accessed":{"date-parts":[["2024",7,9]]},"issued":{"date-parts":[["2023",8,31]]}}}],"schema":"https://github.com/citation-style-language/schema/raw/master/csl-citation.json"} </w:instrText>
      </w:r>
      <w:r w:rsidR="00D64EAD">
        <w:fldChar w:fldCharType="separate"/>
      </w:r>
      <w:r w:rsidR="00D64EAD" w:rsidRPr="00D64EAD">
        <w:rPr>
          <w:rFonts w:ascii="Calibri" w:hAnsi="Calibri" w:cs="Calibri"/>
        </w:rPr>
        <w:t>(OECD, 2023b)</w:t>
      </w:r>
      <w:r w:rsidR="00D64EAD">
        <w:fldChar w:fldCharType="end"/>
      </w:r>
      <w:r w:rsidRPr="00C305A2">
        <w:t xml:space="preserve">. This method involved selecting a representative cohort of schools followed by </w:t>
      </w:r>
      <w:r w:rsidR="005C324A">
        <w:t xml:space="preserve">a </w:t>
      </w:r>
      <w:r w:rsidRPr="00C305A2">
        <w:t>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187EA27D" w:rsidR="00C305A2" w:rsidRDefault="00396B8E" w:rsidP="00E94E6B">
      <w:r w:rsidRPr="00C305A2">
        <w:t>Following data cleaning procedures to remove incomplete or inconsistent entries</w:t>
      </w:r>
      <w:r>
        <w:t>,</w:t>
      </w:r>
      <w:r w:rsidRPr="00C305A2">
        <w:t xml:space="preserve"> </w:t>
      </w:r>
      <w:r>
        <w:t>t</w:t>
      </w:r>
      <w:r w:rsidR="00C305A2" w:rsidRPr="00C305A2">
        <w:t>he initial sample included 6,</w:t>
      </w:r>
      <w:r>
        <w:t>355</w:t>
      </w:r>
      <w:r w:rsidR="00C305A2" w:rsidRPr="00C305A2">
        <w:t xml:space="preserve"> Slovenian students</w:t>
      </w:r>
      <w:r w:rsidR="00C34445">
        <w:t xml:space="preserve"> </w:t>
      </w:r>
      <w:r w:rsidR="00C305A2" w:rsidRPr="00C305A2">
        <w:t>with 2,999 male (47.19%) and 3,356 female (52.81%) participants. Most participants (</w:t>
      </w:r>
      <w:r w:rsidR="005C324A">
        <w:t>96.85</w:t>
      </w:r>
      <w:r w:rsidR="00C305A2">
        <w:t>%)</w:t>
      </w:r>
      <w:r w:rsidR="00C305A2" w:rsidRPr="00C305A2">
        <w:t xml:space="preserve"> were in Grade 10, corresponding to the first grade of high school or </w:t>
      </w:r>
      <w:r w:rsidR="00C305A2" w:rsidRPr="00C305A2">
        <w:lastRenderedPageBreak/>
        <w:t>gymnasium in the Slovene educational system.</w:t>
      </w:r>
      <w:r w:rsidR="00445839">
        <w:t xml:space="preserve"> For international data, we </w:t>
      </w:r>
      <w:r>
        <w:t xml:space="preserve">included 613,665 students </w:t>
      </w:r>
      <w:r w:rsidRPr="00396B8E">
        <w:t xml:space="preserve">with </w:t>
      </w:r>
      <w:r w:rsidRPr="00D51002">
        <w:t>307</w:t>
      </w:r>
      <w:r>
        <w:t>,</w:t>
      </w:r>
      <w:r w:rsidRPr="00D51002">
        <w:t>906</w:t>
      </w:r>
      <w:r w:rsidRPr="00396B8E">
        <w:t xml:space="preserve"> male</w:t>
      </w:r>
      <w:r>
        <w:t>s (50.17%)</w:t>
      </w:r>
      <w:r w:rsidRPr="00396B8E">
        <w:t xml:space="preserve"> and </w:t>
      </w:r>
      <w:r w:rsidRPr="00D51002">
        <w:t>305</w:t>
      </w:r>
      <w:r>
        <w:t>,</w:t>
      </w:r>
      <w:r w:rsidRPr="00D51002">
        <w:t>759</w:t>
      </w:r>
      <w:r>
        <w:t xml:space="preserve"> (49.83%)</w:t>
      </w:r>
      <w:r w:rsidRPr="00396B8E">
        <w:t xml:space="preserve"> female</w:t>
      </w:r>
      <w:r>
        <w:t>s.</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4B63AE2B" w14:textId="77777777" w:rsidR="00D973B4" w:rsidRDefault="00D973B4" w:rsidP="00D973B4">
      <w:pPr>
        <w:pStyle w:val="Heading3"/>
        <w:numPr>
          <w:ilvl w:val="1"/>
          <w:numId w:val="11"/>
        </w:numPr>
        <w:rPr>
          <w:lang w:val="sl-SI"/>
        </w:rPr>
      </w:pPr>
      <w:r>
        <w:rPr>
          <w:lang w:val="sl-SI"/>
        </w:rPr>
        <w:t xml:space="preserve">Data </w:t>
      </w:r>
      <w:proofErr w:type="spellStart"/>
      <w:r>
        <w:rPr>
          <w:lang w:val="sl-SI"/>
        </w:rPr>
        <w:t>analysis</w:t>
      </w:r>
      <w:proofErr w:type="spellEnd"/>
    </w:p>
    <w:p w14:paraId="7256369E" w14:textId="33005690" w:rsidR="00D973B4" w:rsidRDefault="00B71809" w:rsidP="00D973B4">
      <w:r>
        <w:t xml:space="preserve">Data analysis was conducted using the </w:t>
      </w:r>
      <w:r w:rsidRPr="00B71809">
        <w:rPr>
          <w:i/>
          <w:iCs/>
        </w:rPr>
        <w:t>Python</w:t>
      </w:r>
      <w:r>
        <w:t xml:space="preserve"> programming language (version 3.12.4). The </w:t>
      </w:r>
      <w:proofErr w:type="gramStart"/>
      <w:r w:rsidRPr="00B71809">
        <w:rPr>
          <w:i/>
          <w:iCs/>
        </w:rPr>
        <w:t>pandas</w:t>
      </w:r>
      <w:proofErr w:type="gramEnd"/>
      <w:r>
        <w:t xml:space="preserve"> library (version 2.2.2) was utilized for data manipulation and cleaning, </w:t>
      </w:r>
      <w:r w:rsidR="00396B8E">
        <w:t>while t</w:t>
      </w:r>
      <w:r>
        <w:t xml:space="preserve">he </w:t>
      </w:r>
      <w:proofErr w:type="spellStart"/>
      <w:r w:rsidRPr="00B71809">
        <w:rPr>
          <w:i/>
          <w:iCs/>
        </w:rPr>
        <w:t>scipy</w:t>
      </w:r>
      <w:proofErr w:type="spellEnd"/>
      <w:r>
        <w:t xml:space="preserve"> library (version 1.14.0) was used to perform chi-squared tests.</w:t>
      </w:r>
    </w:p>
    <w:p w14:paraId="75A87E5C" w14:textId="3759EF9D" w:rsidR="000F6D2C" w:rsidRPr="000F6D2C" w:rsidRDefault="000F6D2C" w:rsidP="00D973B4">
      <w:r w:rsidRPr="003B59CB">
        <w:t xml:space="preserve">Due to the multiple-choice nature of the questionnaire, the total number of responses exceeds the number of participants. Each participant was allowed to select more than one method, resulting in a higher overall response count compared to the number of unique respondents. While this characteristic does not invalidate the use of </w:t>
      </w:r>
      <w:r>
        <w:t>chi-square</w:t>
      </w:r>
      <w:r w:rsidRPr="003B59CB">
        <w:t xml:space="preserve"> tests for </w:t>
      </w:r>
      <w:proofErr w:type="spellStart"/>
      <w:r w:rsidRPr="003B59CB">
        <w:t>analyzing</w:t>
      </w:r>
      <w:proofErr w:type="spellEnd"/>
      <w:r w:rsidRPr="003B59CB">
        <w:t xml:space="preserve"> associations between gender and method preferences, it is crucial to interpret the results with caution. Specifically, we must recognize that the assumptions of independence inherent in </w:t>
      </w:r>
      <w:r>
        <w:t>chi-square</w:t>
      </w:r>
      <w:r w:rsidRPr="003B59CB">
        <w:t xml:space="preserve"> tests may be somewhat compromised. Despite this, the tests remain a useful tool for detecting significant associations, though the observed associations should be considered in the context of the potential overlap in responses.</w:t>
      </w:r>
    </w:p>
    <w:p w14:paraId="54E1043D" w14:textId="1F5EEE10" w:rsidR="0042163C" w:rsidRDefault="0042163C" w:rsidP="003062C8">
      <w:pPr>
        <w:pStyle w:val="Heading2"/>
        <w:numPr>
          <w:ilvl w:val="0"/>
          <w:numId w:val="11"/>
        </w:numPr>
        <w:rPr>
          <w:lang w:val="en-US"/>
        </w:rPr>
      </w:pPr>
      <w:r>
        <w:rPr>
          <w:lang w:val="en-US"/>
        </w:rPr>
        <w:t>Results</w:t>
      </w:r>
    </w:p>
    <w:p w14:paraId="576C6928" w14:textId="6383CF8F" w:rsidR="0042163C" w:rsidRDefault="0042163C" w:rsidP="0042163C">
      <w:pPr>
        <w:rPr>
          <w:lang w:val="en-US"/>
        </w:rPr>
      </w:pPr>
      <w:r w:rsidRPr="0040713F">
        <w:t xml:space="preserve">For preliminary analysis, the histogram distribution of learning method usage can be found in </w:t>
      </w:r>
      <w:r>
        <w:fldChar w:fldCharType="begin"/>
      </w:r>
      <w:r>
        <w:instrText xml:space="preserve"> REF _Ref167434915 \h </w:instrText>
      </w:r>
      <w:r>
        <w:fldChar w:fldCharType="separate"/>
      </w:r>
      <w:r>
        <w:t xml:space="preserve">Figure </w:t>
      </w:r>
      <w:r>
        <w:rPr>
          <w:noProof/>
        </w:rPr>
        <w:t>1</w:t>
      </w:r>
      <w:r>
        <w:fldChar w:fldCharType="end"/>
      </w:r>
      <w:r>
        <w:t xml:space="preserve">. We can observe that most of </w:t>
      </w:r>
      <w:r w:rsidRPr="00563C0E">
        <w:t xml:space="preserve">the </w:t>
      </w:r>
      <w:r w:rsidR="005C324A">
        <w:t xml:space="preserve">Slovenian </w:t>
      </w:r>
      <w:r w:rsidRPr="00563C0E">
        <w:t>participants employ no additional instruction methods, and that group learning practices are badly represented. We performed the same analysis for participants worldwide</w:t>
      </w:r>
      <w:r>
        <w:t xml:space="preserve"> as can be seen in </w:t>
      </w:r>
      <w:r>
        <w:fldChar w:fldCharType="begin"/>
      </w:r>
      <w:r>
        <w:instrText xml:space="preserve"> REF _Ref171671929 \h </w:instrText>
      </w:r>
      <w:r>
        <w:fldChar w:fldCharType="separate"/>
      </w:r>
      <w:r>
        <w:t xml:space="preserve">Figure </w:t>
      </w:r>
      <w:r>
        <w:rPr>
          <w:noProof/>
        </w:rPr>
        <w:t>2</w:t>
      </w:r>
      <w:r>
        <w:fldChar w:fldCharType="end"/>
      </w:r>
      <w:r w:rsidRPr="00563C0E">
        <w:t xml:space="preserve">. </w:t>
      </w:r>
      <w:r w:rsidRPr="003B59CB">
        <w:t>While the extrinsic picture is the same, the main difference lies in Slovene students prioritizing video instructional methods, while other participants in the study mostly do not. A chi-squared test was conducted to assess the observed differences in the proportions of various methods between the two datasets</w:t>
      </w:r>
      <w:r w:rsidR="004C4E26" w:rsidRPr="003B59CB">
        <w:t xml:space="preserve"> (i.e., Slovenia and all participants)</w:t>
      </w:r>
      <w:r w:rsidRPr="003B59CB">
        <w:t xml:space="preserve">. The results indicated no significant difference in the proportion of one-on-one </w:t>
      </w:r>
      <w:r w:rsidRPr="00725AFF">
        <w:t>methods (</w:t>
      </w:r>
      <w:r w:rsidRPr="00725AFF">
        <w:rPr>
          <w:i/>
          <w:iCs/>
        </w:rPr>
        <w:t>p</w:t>
      </w:r>
      <w:r w:rsidRPr="00725AFF">
        <w:t xml:space="preserve"> &gt; .05). However, significant differences were found for ICT, video, small, and large </w:t>
      </w:r>
      <w:r w:rsidR="004C4E26" w:rsidRPr="00725AFF">
        <w:t>groups</w:t>
      </w:r>
      <w:r w:rsidRPr="00725AFF">
        <w:t>, and 'none' methods (</w:t>
      </w:r>
      <w:r w:rsidRPr="00725AFF">
        <w:rPr>
          <w:i/>
          <w:iCs/>
        </w:rPr>
        <w:t>p</w:t>
      </w:r>
      <w:r w:rsidR="004C4E26" w:rsidRPr="00725AFF">
        <w:t xml:space="preserve"> &lt; </w:t>
      </w:r>
      <w:r w:rsidRPr="00725AFF">
        <w:t>.05).</w:t>
      </w:r>
      <w:r w:rsidR="004C4E26" w:rsidRPr="00725AFF">
        <w:t xml:space="preserve"> In particular, the </w:t>
      </w:r>
      <w:proofErr w:type="gramStart"/>
      <w:r w:rsidR="004C4E26" w:rsidRPr="00725AFF">
        <w:t>most commonly used</w:t>
      </w:r>
      <w:proofErr w:type="gramEnd"/>
      <w:r w:rsidR="004C4E26" w:rsidRPr="00725AFF">
        <w:t xml:space="preserve"> additional instruction method by Slovenian students is video recordings by an instructor. In the sample of all participants, however, the most used additional instruction method is one-on-one tutoring. Large group sessions are the least used method both in Slovenia and among the students in the entire sample, but the proportions differ</w:t>
      </w:r>
      <w:r w:rsidR="00725AFF" w:rsidRPr="00725AFF">
        <w:t>.</w:t>
      </w:r>
    </w:p>
    <w:p w14:paraId="750B0AEE" w14:textId="77777777" w:rsidR="0042163C" w:rsidRDefault="0042163C" w:rsidP="0042163C">
      <w:pPr>
        <w:keepNext/>
      </w:pPr>
      <w:r w:rsidRPr="00423609">
        <w:rPr>
          <w:noProof/>
          <w:lang w:val="it-IT" w:eastAsia="it-IT"/>
        </w:rPr>
        <w:lastRenderedPageBreak/>
        <w:drawing>
          <wp:inline distT="0" distB="0" distL="0" distR="0" wp14:anchorId="1B4688BD" wp14:editId="7BF88DAD">
            <wp:extent cx="3327738" cy="2354580"/>
            <wp:effectExtent l="0" t="0" r="6350" b="7620"/>
            <wp:docPr id="14329974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7448" name="Picture 1" descr="A graph of different colored bars&#10;&#10;Description automatically generated"/>
                    <pic:cNvPicPr/>
                  </pic:nvPicPr>
                  <pic:blipFill>
                    <a:blip r:embed="rId11"/>
                    <a:stretch>
                      <a:fillRect/>
                    </a:stretch>
                  </pic:blipFill>
                  <pic:spPr>
                    <a:xfrm>
                      <a:off x="0" y="0"/>
                      <a:ext cx="3340997" cy="2363962"/>
                    </a:xfrm>
                    <a:prstGeom prst="rect">
                      <a:avLst/>
                    </a:prstGeom>
                  </pic:spPr>
                </pic:pic>
              </a:graphicData>
            </a:graphic>
          </wp:inline>
        </w:drawing>
      </w:r>
    </w:p>
    <w:p w14:paraId="43AF3FC7" w14:textId="77777777" w:rsidR="0042163C" w:rsidRDefault="0042163C" w:rsidP="0042163C">
      <w:pPr>
        <w:pStyle w:val="Caption"/>
      </w:pPr>
      <w:bookmarkStart w:id="3" w:name="_Ref167434915"/>
      <w:r>
        <w:t xml:space="preserve">Figure </w:t>
      </w:r>
      <w:r>
        <w:fldChar w:fldCharType="begin"/>
      </w:r>
      <w:r>
        <w:instrText xml:space="preserve"> SEQ Figure \* ARABIC </w:instrText>
      </w:r>
      <w:r>
        <w:fldChar w:fldCharType="separate"/>
      </w:r>
      <w:r>
        <w:rPr>
          <w:noProof/>
        </w:rPr>
        <w:t>1</w:t>
      </w:r>
      <w:r>
        <w:rPr>
          <w:noProof/>
        </w:rPr>
        <w:fldChar w:fldCharType="end"/>
      </w:r>
      <w:bookmarkEnd w:id="3"/>
      <w:r>
        <w:t>: Comparison of selected learning method usage using Slovene participants.</w:t>
      </w:r>
    </w:p>
    <w:p w14:paraId="352E7DC0" w14:textId="77777777" w:rsidR="0042163C" w:rsidRDefault="0042163C" w:rsidP="0042163C">
      <w:pPr>
        <w:keepNext/>
      </w:pPr>
      <w:r w:rsidRPr="006A6289">
        <w:rPr>
          <w:noProof/>
          <w:lang w:val="it-IT" w:eastAsia="it-IT"/>
        </w:rPr>
        <w:drawing>
          <wp:inline distT="0" distB="0" distL="0" distR="0" wp14:anchorId="09602FF2" wp14:editId="4A1C0166">
            <wp:extent cx="3327399" cy="2308860"/>
            <wp:effectExtent l="0" t="0" r="6985" b="0"/>
            <wp:docPr id="155942368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3682" name="Picture 1" descr="A graph with different colored bars&#10;&#10;Description automatically generated"/>
                    <pic:cNvPicPr/>
                  </pic:nvPicPr>
                  <pic:blipFill>
                    <a:blip r:embed="rId12"/>
                    <a:stretch>
                      <a:fillRect/>
                    </a:stretch>
                  </pic:blipFill>
                  <pic:spPr>
                    <a:xfrm>
                      <a:off x="0" y="0"/>
                      <a:ext cx="3336687" cy="2315305"/>
                    </a:xfrm>
                    <a:prstGeom prst="rect">
                      <a:avLst/>
                    </a:prstGeom>
                  </pic:spPr>
                </pic:pic>
              </a:graphicData>
            </a:graphic>
          </wp:inline>
        </w:drawing>
      </w:r>
    </w:p>
    <w:p w14:paraId="539AFB07" w14:textId="77777777" w:rsidR="0042163C" w:rsidRDefault="0042163C" w:rsidP="0042163C">
      <w:pPr>
        <w:pStyle w:val="Caption"/>
      </w:pPr>
      <w:bookmarkStart w:id="4" w:name="_Ref171671929"/>
      <w:r>
        <w:t xml:space="preserve">Figure </w:t>
      </w:r>
      <w:r>
        <w:fldChar w:fldCharType="begin"/>
      </w:r>
      <w:r>
        <w:instrText xml:space="preserve"> SEQ Figure \* ARABIC </w:instrText>
      </w:r>
      <w:r>
        <w:fldChar w:fldCharType="separate"/>
      </w:r>
      <w:r>
        <w:rPr>
          <w:noProof/>
        </w:rPr>
        <w:t>2</w:t>
      </w:r>
      <w:r>
        <w:rPr>
          <w:noProof/>
        </w:rPr>
        <w:fldChar w:fldCharType="end"/>
      </w:r>
      <w:bookmarkEnd w:id="4"/>
      <w:r>
        <w:t>: Comparison of selected learning method usage using participants worldwide.</w:t>
      </w:r>
    </w:p>
    <w:p w14:paraId="362AC400" w14:textId="29E62A5A" w:rsidR="00432445" w:rsidRDefault="00432445" w:rsidP="00432445">
      <w:r>
        <w:t>A chi-squared test was used to determine whether there are differences by gender in the usage of various instructional methods, both at the Slovenian and international levels.</w:t>
      </w:r>
    </w:p>
    <w:p w14:paraId="4943D935" w14:textId="52BE9131" w:rsidR="00432445" w:rsidRPr="00432445" w:rsidRDefault="00432445" w:rsidP="00432445">
      <w:r>
        <w:t xml:space="preserve">In </w:t>
      </w:r>
      <w:r w:rsidR="00262FEA">
        <w:fldChar w:fldCharType="begin"/>
      </w:r>
      <w:r w:rsidR="00262FEA">
        <w:instrText xml:space="preserve"> REF _Ref172032496 \h </w:instrText>
      </w:r>
      <w:r w:rsidR="00262FEA">
        <w:fldChar w:fldCharType="separate"/>
      </w:r>
      <w:r w:rsidR="00262FEA">
        <w:t xml:space="preserve">Table </w:t>
      </w:r>
      <w:r w:rsidR="00262FEA">
        <w:rPr>
          <w:noProof/>
        </w:rPr>
        <w:t>1</w:t>
      </w:r>
      <w:r w:rsidR="00262FEA">
        <w:fldChar w:fldCharType="end"/>
      </w:r>
      <w:r w:rsidR="00262FEA">
        <w:t xml:space="preserve"> and </w:t>
      </w:r>
      <w:r w:rsidR="00262FEA">
        <w:fldChar w:fldCharType="begin"/>
      </w:r>
      <w:r w:rsidR="00262FEA">
        <w:instrText xml:space="preserve"> REF _Ref172032497 \h </w:instrText>
      </w:r>
      <w:r w:rsidR="00262FEA">
        <w:fldChar w:fldCharType="separate"/>
      </w:r>
      <w:r w:rsidR="00262FEA">
        <w:t xml:space="preserve">Table </w:t>
      </w:r>
      <w:r w:rsidR="00262FEA">
        <w:rPr>
          <w:noProof/>
        </w:rPr>
        <w:t>2</w:t>
      </w:r>
      <w:r w:rsidR="00262FEA">
        <w:fldChar w:fldCharType="end"/>
      </w:r>
      <w:r>
        <w:t xml:space="preserve">, we present the contingency table of the count of method selections by gender on Slovene </w:t>
      </w:r>
      <w:r w:rsidR="00D34284">
        <w:t xml:space="preserve">and international </w:t>
      </w:r>
      <w:r>
        <w:t>data.</w:t>
      </w:r>
    </w:p>
    <w:p w14:paraId="228EB87B" w14:textId="3DFCEE12" w:rsidR="00D34284" w:rsidRDefault="00D34284" w:rsidP="00D34284">
      <w:pPr>
        <w:pStyle w:val="Caption"/>
        <w:keepNext/>
      </w:pPr>
      <w:bookmarkStart w:id="5" w:name="_Ref172032496"/>
      <w:r>
        <w:t xml:space="preserve">Table </w:t>
      </w:r>
      <w:r>
        <w:fldChar w:fldCharType="begin"/>
      </w:r>
      <w:r>
        <w:instrText xml:space="preserve"> SEQ Table \* ARABIC </w:instrText>
      </w:r>
      <w:r>
        <w:fldChar w:fldCharType="separate"/>
      </w:r>
      <w:r>
        <w:rPr>
          <w:noProof/>
        </w:rPr>
        <w:t>1</w:t>
      </w:r>
      <w:r>
        <w:rPr>
          <w:noProof/>
        </w:rPr>
        <w:fldChar w:fldCharType="end"/>
      </w:r>
      <w:bookmarkEnd w:id="5"/>
      <w:r>
        <w:t>: Contingency table for method distribution by gender on Slovene data.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92"/>
        <w:gridCol w:w="1288"/>
        <w:gridCol w:w="1294"/>
        <w:gridCol w:w="1290"/>
        <w:gridCol w:w="1290"/>
        <w:gridCol w:w="1318"/>
        <w:gridCol w:w="1290"/>
      </w:tblGrid>
      <w:tr w:rsidR="00432445" w:rsidRPr="00432445" w14:paraId="10B4E44D" w14:textId="77777777" w:rsidTr="00FF4E84">
        <w:tc>
          <w:tcPr>
            <w:tcW w:w="1292" w:type="dxa"/>
          </w:tcPr>
          <w:p w14:paraId="3A9AFBD6" w14:textId="6CF4DE0A" w:rsidR="00432445" w:rsidRPr="00432445" w:rsidRDefault="00FF4E84" w:rsidP="00E31B23">
            <w:r>
              <w:t xml:space="preserve">Gender \ </w:t>
            </w:r>
            <w:r w:rsidR="00432445" w:rsidRPr="00432445">
              <w:t>Method</w:t>
            </w:r>
          </w:p>
        </w:tc>
        <w:tc>
          <w:tcPr>
            <w:tcW w:w="1288" w:type="dxa"/>
          </w:tcPr>
          <w:p w14:paraId="66BC1539" w14:textId="77777777" w:rsidR="00432445" w:rsidRPr="00432445" w:rsidRDefault="00432445" w:rsidP="00E31B23">
            <w:r w:rsidRPr="00432445">
              <w:t>ICT</w:t>
            </w:r>
          </w:p>
        </w:tc>
        <w:tc>
          <w:tcPr>
            <w:tcW w:w="1294" w:type="dxa"/>
          </w:tcPr>
          <w:p w14:paraId="58871102" w14:textId="3C753435" w:rsidR="00432445" w:rsidRPr="00432445" w:rsidRDefault="00D34284" w:rsidP="00E31B23">
            <w:r w:rsidRPr="00432445">
              <w:t>L</w:t>
            </w:r>
            <w:r w:rsidR="00432445" w:rsidRPr="00432445">
              <w:t>arge</w:t>
            </w:r>
            <w:r>
              <w:t xml:space="preserve"> </w:t>
            </w:r>
            <w:r w:rsidR="00432445" w:rsidRPr="00432445">
              <w:t>group</w:t>
            </w:r>
          </w:p>
        </w:tc>
        <w:tc>
          <w:tcPr>
            <w:tcW w:w="1290" w:type="dxa"/>
          </w:tcPr>
          <w:p w14:paraId="50A469BE" w14:textId="37EEFB55" w:rsidR="00432445" w:rsidRPr="00432445" w:rsidRDefault="00D34284" w:rsidP="00E31B23">
            <w:r>
              <w:t>N</w:t>
            </w:r>
            <w:r w:rsidR="00432445" w:rsidRPr="00432445">
              <w:t>one</w:t>
            </w:r>
          </w:p>
        </w:tc>
        <w:tc>
          <w:tcPr>
            <w:tcW w:w="1290" w:type="dxa"/>
          </w:tcPr>
          <w:p w14:paraId="4E798D11" w14:textId="5DD81EF4" w:rsidR="00432445" w:rsidRPr="00432445" w:rsidRDefault="00D34284" w:rsidP="00E31B23">
            <w:r>
              <w:t>O</w:t>
            </w:r>
            <w:r w:rsidR="00432445" w:rsidRPr="00432445">
              <w:t>ne-on-one</w:t>
            </w:r>
          </w:p>
        </w:tc>
        <w:tc>
          <w:tcPr>
            <w:tcW w:w="1318" w:type="dxa"/>
          </w:tcPr>
          <w:p w14:paraId="2825A65C" w14:textId="78B0FD26" w:rsidR="00432445" w:rsidRPr="00432445" w:rsidRDefault="00D34284" w:rsidP="00E31B23">
            <w:r w:rsidRPr="00432445">
              <w:t>S</w:t>
            </w:r>
            <w:r w:rsidR="00432445" w:rsidRPr="00432445">
              <w:t>mall</w:t>
            </w:r>
            <w:r>
              <w:t xml:space="preserve"> </w:t>
            </w:r>
            <w:r w:rsidR="00432445" w:rsidRPr="00432445">
              <w:t>group</w:t>
            </w:r>
          </w:p>
        </w:tc>
        <w:tc>
          <w:tcPr>
            <w:tcW w:w="1290" w:type="dxa"/>
          </w:tcPr>
          <w:p w14:paraId="476BE173" w14:textId="4BE90C54" w:rsidR="00432445" w:rsidRPr="00432445" w:rsidRDefault="00D34284" w:rsidP="00E31B23">
            <w:r>
              <w:t>V</w:t>
            </w:r>
            <w:r w:rsidR="00432445" w:rsidRPr="00432445">
              <w:t>ideo</w:t>
            </w:r>
          </w:p>
        </w:tc>
      </w:tr>
      <w:tr w:rsidR="00432445" w:rsidRPr="00432445" w14:paraId="5556B248" w14:textId="77777777" w:rsidTr="00FF4E84">
        <w:tc>
          <w:tcPr>
            <w:tcW w:w="1292" w:type="dxa"/>
          </w:tcPr>
          <w:p w14:paraId="06A72A8E" w14:textId="61927A9F" w:rsidR="00432445" w:rsidRPr="00432445" w:rsidRDefault="00432445" w:rsidP="00E31B23">
            <w:r>
              <w:t>Male</w:t>
            </w:r>
          </w:p>
        </w:tc>
        <w:tc>
          <w:tcPr>
            <w:tcW w:w="1288" w:type="dxa"/>
          </w:tcPr>
          <w:p w14:paraId="56182F20" w14:textId="77777777" w:rsidR="00432445" w:rsidRPr="00432445" w:rsidRDefault="00432445" w:rsidP="00E31B23">
            <w:r w:rsidRPr="00432445">
              <w:t>726</w:t>
            </w:r>
          </w:p>
        </w:tc>
        <w:tc>
          <w:tcPr>
            <w:tcW w:w="1294" w:type="dxa"/>
          </w:tcPr>
          <w:p w14:paraId="78D4B889" w14:textId="2AC23890" w:rsidR="00432445" w:rsidRPr="00432445" w:rsidRDefault="00432445" w:rsidP="00E31B23">
            <w:r w:rsidRPr="00432445">
              <w:t>211</w:t>
            </w:r>
          </w:p>
        </w:tc>
        <w:tc>
          <w:tcPr>
            <w:tcW w:w="1290" w:type="dxa"/>
          </w:tcPr>
          <w:p w14:paraId="13B85EC7" w14:textId="4A731E2C" w:rsidR="00432445" w:rsidRPr="00432445" w:rsidRDefault="00432445" w:rsidP="00E31B23">
            <w:r>
              <w:t>1</w:t>
            </w:r>
            <w:r w:rsidR="005C324A">
              <w:rPr>
                <w:lang w:val="it-IT"/>
              </w:rPr>
              <w:t>,</w:t>
            </w:r>
            <w:r>
              <w:t>308</w:t>
            </w:r>
          </w:p>
        </w:tc>
        <w:tc>
          <w:tcPr>
            <w:tcW w:w="1290" w:type="dxa"/>
          </w:tcPr>
          <w:p w14:paraId="2318A746" w14:textId="4E9F5048" w:rsidR="00432445" w:rsidRPr="00432445" w:rsidRDefault="00432445" w:rsidP="00E31B23">
            <w:r w:rsidRPr="00432445">
              <w:t>813</w:t>
            </w:r>
          </w:p>
        </w:tc>
        <w:tc>
          <w:tcPr>
            <w:tcW w:w="1318" w:type="dxa"/>
          </w:tcPr>
          <w:p w14:paraId="03D5FE00" w14:textId="2CE6F612" w:rsidR="00432445" w:rsidRPr="00432445" w:rsidRDefault="00432445" w:rsidP="00E31B23">
            <w:r>
              <w:t>661</w:t>
            </w:r>
          </w:p>
        </w:tc>
        <w:tc>
          <w:tcPr>
            <w:tcW w:w="1290" w:type="dxa"/>
          </w:tcPr>
          <w:p w14:paraId="437E0A1C" w14:textId="1A591D6A" w:rsidR="00432445" w:rsidRPr="00432445" w:rsidRDefault="00432445" w:rsidP="00E31B23">
            <w:r>
              <w:t>959</w:t>
            </w:r>
          </w:p>
        </w:tc>
      </w:tr>
      <w:tr w:rsidR="00432445" w:rsidRPr="00432445" w14:paraId="15E76C9A" w14:textId="77777777" w:rsidTr="00FF4E84">
        <w:tc>
          <w:tcPr>
            <w:tcW w:w="1292" w:type="dxa"/>
          </w:tcPr>
          <w:p w14:paraId="7A025363" w14:textId="513C84BC" w:rsidR="00432445" w:rsidRPr="00432445" w:rsidRDefault="00432445" w:rsidP="00E31B23">
            <w:r>
              <w:t>Female</w:t>
            </w:r>
          </w:p>
        </w:tc>
        <w:tc>
          <w:tcPr>
            <w:tcW w:w="1288" w:type="dxa"/>
          </w:tcPr>
          <w:p w14:paraId="4645F7FF" w14:textId="77777777" w:rsidR="00432445" w:rsidRPr="00432445" w:rsidRDefault="00432445" w:rsidP="00E31B23">
            <w:r w:rsidRPr="00432445">
              <w:t>642</w:t>
            </w:r>
          </w:p>
        </w:tc>
        <w:tc>
          <w:tcPr>
            <w:tcW w:w="1294" w:type="dxa"/>
          </w:tcPr>
          <w:p w14:paraId="0547D55F" w14:textId="77777777" w:rsidR="00432445" w:rsidRPr="00432445" w:rsidRDefault="00432445" w:rsidP="00E31B23">
            <w:r w:rsidRPr="00432445">
              <w:t>409</w:t>
            </w:r>
          </w:p>
        </w:tc>
        <w:tc>
          <w:tcPr>
            <w:tcW w:w="1290" w:type="dxa"/>
          </w:tcPr>
          <w:p w14:paraId="2FD147EC" w14:textId="3D595EF1" w:rsidR="00432445" w:rsidRPr="00432445" w:rsidRDefault="00432445" w:rsidP="00E31B23">
            <w:r w:rsidRPr="00432445">
              <w:t>1</w:t>
            </w:r>
            <w:r w:rsidR="005C324A">
              <w:rPr>
                <w:lang w:val="it-IT"/>
              </w:rPr>
              <w:t>,</w:t>
            </w:r>
            <w:r w:rsidRPr="00432445">
              <w:t>658</w:t>
            </w:r>
          </w:p>
        </w:tc>
        <w:tc>
          <w:tcPr>
            <w:tcW w:w="1290" w:type="dxa"/>
          </w:tcPr>
          <w:p w14:paraId="0AC0FB3C" w14:textId="77777777" w:rsidR="00432445" w:rsidRPr="00432445" w:rsidRDefault="00432445" w:rsidP="00E31B23">
            <w:r w:rsidRPr="00432445">
              <w:t>808</w:t>
            </w:r>
          </w:p>
        </w:tc>
        <w:tc>
          <w:tcPr>
            <w:tcW w:w="1318" w:type="dxa"/>
          </w:tcPr>
          <w:p w14:paraId="2872DFC0" w14:textId="77777777" w:rsidR="00432445" w:rsidRPr="00432445" w:rsidRDefault="00432445" w:rsidP="00E31B23">
            <w:r w:rsidRPr="00432445">
              <w:t>671</w:t>
            </w:r>
          </w:p>
        </w:tc>
        <w:tc>
          <w:tcPr>
            <w:tcW w:w="1290" w:type="dxa"/>
          </w:tcPr>
          <w:p w14:paraId="59FE9001" w14:textId="77777777" w:rsidR="00432445" w:rsidRPr="00432445" w:rsidRDefault="00432445" w:rsidP="00E31B23">
            <w:r w:rsidRPr="00432445">
              <w:t>802</w:t>
            </w:r>
          </w:p>
        </w:tc>
      </w:tr>
    </w:tbl>
    <w:p w14:paraId="25E7177A" w14:textId="1B3D6A07" w:rsidR="009B7355" w:rsidRDefault="009B7355" w:rsidP="009B7355"/>
    <w:p w14:paraId="12F56E6D" w14:textId="30B623CB" w:rsidR="00D34284" w:rsidRDefault="00D34284" w:rsidP="00D34284">
      <w:pPr>
        <w:pStyle w:val="Caption"/>
        <w:keepNext/>
      </w:pPr>
      <w:bookmarkStart w:id="6" w:name="_Ref172032497"/>
      <w:r>
        <w:t xml:space="preserve">Table </w:t>
      </w:r>
      <w:r>
        <w:fldChar w:fldCharType="begin"/>
      </w:r>
      <w:r>
        <w:instrText xml:space="preserve"> SEQ Table \* ARABIC </w:instrText>
      </w:r>
      <w:r>
        <w:fldChar w:fldCharType="separate"/>
      </w:r>
      <w:r>
        <w:rPr>
          <w:noProof/>
        </w:rPr>
        <w:t>2</w:t>
      </w:r>
      <w:r>
        <w:rPr>
          <w:noProof/>
        </w:rPr>
        <w:fldChar w:fldCharType="end"/>
      </w:r>
      <w:bookmarkEnd w:id="6"/>
      <w:r>
        <w:t xml:space="preserve">: </w:t>
      </w:r>
      <w:r w:rsidRPr="00A539C8">
        <w:t xml:space="preserve">Contingency table for method distribution by gender on </w:t>
      </w:r>
      <w:r>
        <w:t>international</w:t>
      </w:r>
      <w:r w:rsidRPr="00A539C8">
        <w:t xml:space="preserve"> data.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90"/>
        <w:gridCol w:w="1289"/>
        <w:gridCol w:w="1294"/>
        <w:gridCol w:w="1290"/>
        <w:gridCol w:w="1291"/>
        <w:gridCol w:w="1318"/>
        <w:gridCol w:w="1290"/>
      </w:tblGrid>
      <w:tr w:rsidR="00D34284" w:rsidRPr="00D34284" w14:paraId="31E0C7A2" w14:textId="77777777" w:rsidTr="00FF4E84">
        <w:tc>
          <w:tcPr>
            <w:tcW w:w="1290" w:type="dxa"/>
          </w:tcPr>
          <w:p w14:paraId="7D1F654B" w14:textId="25FC86F1" w:rsidR="00D34284" w:rsidRPr="00D34284" w:rsidRDefault="00FF4E84" w:rsidP="008664C1">
            <w:r>
              <w:t xml:space="preserve">Gender \ </w:t>
            </w:r>
            <w:r w:rsidRPr="00432445">
              <w:t>Method</w:t>
            </w:r>
          </w:p>
        </w:tc>
        <w:tc>
          <w:tcPr>
            <w:tcW w:w="1289" w:type="dxa"/>
          </w:tcPr>
          <w:p w14:paraId="387DDA4B" w14:textId="77777777" w:rsidR="00D34284" w:rsidRPr="00D34284" w:rsidRDefault="00D34284" w:rsidP="008664C1">
            <w:r w:rsidRPr="00D34284">
              <w:t>ICT</w:t>
            </w:r>
          </w:p>
        </w:tc>
        <w:tc>
          <w:tcPr>
            <w:tcW w:w="1294" w:type="dxa"/>
          </w:tcPr>
          <w:p w14:paraId="4F2C4663" w14:textId="48FDC4C9" w:rsidR="00D34284" w:rsidRPr="00D34284" w:rsidRDefault="00D34284" w:rsidP="005C324A">
            <w:r>
              <w:t>L</w:t>
            </w:r>
            <w:r w:rsidRPr="00D34284">
              <w:t>arge</w:t>
            </w:r>
            <w:r w:rsidR="005C324A">
              <w:rPr>
                <w:lang w:val="it-IT"/>
              </w:rPr>
              <w:t xml:space="preserve"> </w:t>
            </w:r>
            <w:r w:rsidRPr="00D34284">
              <w:t>group</w:t>
            </w:r>
          </w:p>
        </w:tc>
        <w:tc>
          <w:tcPr>
            <w:tcW w:w="1290" w:type="dxa"/>
          </w:tcPr>
          <w:p w14:paraId="70952751" w14:textId="70C37F4E" w:rsidR="00D34284" w:rsidRPr="00D34284" w:rsidRDefault="00D34284" w:rsidP="008664C1">
            <w:r>
              <w:t>N</w:t>
            </w:r>
            <w:r w:rsidRPr="00D34284">
              <w:t>one</w:t>
            </w:r>
          </w:p>
        </w:tc>
        <w:tc>
          <w:tcPr>
            <w:tcW w:w="1291" w:type="dxa"/>
          </w:tcPr>
          <w:p w14:paraId="25124916" w14:textId="7569F964" w:rsidR="00D34284" w:rsidRPr="00D34284" w:rsidRDefault="00D34284" w:rsidP="008664C1">
            <w:r>
              <w:t>O</w:t>
            </w:r>
            <w:r w:rsidRPr="00D34284">
              <w:t>ne-on-one</w:t>
            </w:r>
          </w:p>
        </w:tc>
        <w:tc>
          <w:tcPr>
            <w:tcW w:w="1318" w:type="dxa"/>
          </w:tcPr>
          <w:p w14:paraId="498A91CE" w14:textId="05201C17" w:rsidR="00D34284" w:rsidRPr="00D34284" w:rsidRDefault="00D34284" w:rsidP="008664C1">
            <w:r w:rsidRPr="00D34284">
              <w:t>Small</w:t>
            </w:r>
            <w:r>
              <w:t xml:space="preserve"> </w:t>
            </w:r>
            <w:r w:rsidRPr="00D34284">
              <w:t>group</w:t>
            </w:r>
          </w:p>
        </w:tc>
        <w:tc>
          <w:tcPr>
            <w:tcW w:w="1290" w:type="dxa"/>
          </w:tcPr>
          <w:p w14:paraId="64086A3E" w14:textId="55B791C4" w:rsidR="00D34284" w:rsidRPr="00D34284" w:rsidRDefault="00D34284" w:rsidP="008664C1">
            <w:r>
              <w:t>V</w:t>
            </w:r>
            <w:r w:rsidRPr="00D34284">
              <w:t>ideo</w:t>
            </w:r>
          </w:p>
        </w:tc>
      </w:tr>
      <w:tr w:rsidR="00D34284" w:rsidRPr="00D34284" w14:paraId="0FB23EEF" w14:textId="77777777" w:rsidTr="00FF4E84">
        <w:tc>
          <w:tcPr>
            <w:tcW w:w="1290" w:type="dxa"/>
          </w:tcPr>
          <w:p w14:paraId="1757560A" w14:textId="77777777" w:rsidR="00D34284" w:rsidRPr="00D34284" w:rsidRDefault="00D34284" w:rsidP="008664C1">
            <w:r w:rsidRPr="00D34284">
              <w:t>Male</w:t>
            </w:r>
          </w:p>
        </w:tc>
        <w:tc>
          <w:tcPr>
            <w:tcW w:w="1289" w:type="dxa"/>
          </w:tcPr>
          <w:p w14:paraId="0C8C7C5A" w14:textId="289C1F0A" w:rsidR="00D34284" w:rsidRPr="00D34284" w:rsidRDefault="00D34284" w:rsidP="008664C1">
            <w:r w:rsidRPr="00D34284">
              <w:t>35</w:t>
            </w:r>
            <w:r w:rsidR="005C324A">
              <w:rPr>
                <w:lang w:val="it-IT"/>
              </w:rPr>
              <w:t>,</w:t>
            </w:r>
            <w:r w:rsidRPr="00D34284">
              <w:t>855</w:t>
            </w:r>
          </w:p>
        </w:tc>
        <w:tc>
          <w:tcPr>
            <w:tcW w:w="1294" w:type="dxa"/>
          </w:tcPr>
          <w:p w14:paraId="048B3D73" w14:textId="55C38DFC" w:rsidR="00D34284" w:rsidRPr="00D34284" w:rsidRDefault="00D34284" w:rsidP="008664C1">
            <w:r w:rsidRPr="00D34284">
              <w:t>8</w:t>
            </w:r>
            <w:r w:rsidR="005C324A">
              <w:rPr>
                <w:lang w:val="it-IT"/>
              </w:rPr>
              <w:t>,</w:t>
            </w:r>
            <w:r w:rsidRPr="00D34284">
              <w:t>712</w:t>
            </w:r>
          </w:p>
        </w:tc>
        <w:tc>
          <w:tcPr>
            <w:tcW w:w="1290" w:type="dxa"/>
          </w:tcPr>
          <w:p w14:paraId="6CC11375" w14:textId="67EE0B74" w:rsidR="00D34284" w:rsidRPr="00D34284" w:rsidRDefault="00D34284" w:rsidP="008664C1">
            <w:r w:rsidRPr="00D34284">
              <w:t>97</w:t>
            </w:r>
            <w:r w:rsidR="005C324A">
              <w:rPr>
                <w:lang w:val="it-IT"/>
              </w:rPr>
              <w:t>,</w:t>
            </w:r>
            <w:r w:rsidRPr="00D34284">
              <w:t>414</w:t>
            </w:r>
          </w:p>
        </w:tc>
        <w:tc>
          <w:tcPr>
            <w:tcW w:w="1291" w:type="dxa"/>
          </w:tcPr>
          <w:p w14:paraId="46144F90" w14:textId="03AFAA6A" w:rsidR="00D34284" w:rsidRPr="00D34284" w:rsidRDefault="00D34284" w:rsidP="008664C1">
            <w:r w:rsidRPr="00D34284">
              <w:t>108</w:t>
            </w:r>
            <w:r w:rsidR="005C324A">
              <w:rPr>
                <w:lang w:val="it-IT"/>
              </w:rPr>
              <w:t>,</w:t>
            </w:r>
            <w:r w:rsidRPr="00D34284">
              <w:t>421</w:t>
            </w:r>
          </w:p>
        </w:tc>
        <w:tc>
          <w:tcPr>
            <w:tcW w:w="1318" w:type="dxa"/>
          </w:tcPr>
          <w:p w14:paraId="143D1C0F" w14:textId="1CC55FDF" w:rsidR="00D34284" w:rsidRPr="00D34284" w:rsidRDefault="00D34284" w:rsidP="008664C1">
            <w:r w:rsidRPr="00D34284">
              <w:t>19</w:t>
            </w:r>
            <w:r w:rsidR="005C324A">
              <w:rPr>
                <w:lang w:val="it-IT"/>
              </w:rPr>
              <w:t>,</w:t>
            </w:r>
            <w:r w:rsidRPr="00D34284">
              <w:t>167</w:t>
            </w:r>
          </w:p>
        </w:tc>
        <w:tc>
          <w:tcPr>
            <w:tcW w:w="1290" w:type="dxa"/>
          </w:tcPr>
          <w:p w14:paraId="076A2FA3" w14:textId="025AEAFE" w:rsidR="00D34284" w:rsidRPr="00D34284" w:rsidRDefault="00D34284" w:rsidP="008664C1">
            <w:r w:rsidRPr="00D34284">
              <w:t>20</w:t>
            </w:r>
            <w:r w:rsidR="005C324A">
              <w:rPr>
                <w:lang w:val="it-IT"/>
              </w:rPr>
              <w:t>,</w:t>
            </w:r>
            <w:r w:rsidRPr="00D34284">
              <w:t>346</w:t>
            </w:r>
          </w:p>
        </w:tc>
      </w:tr>
      <w:tr w:rsidR="00D34284" w:rsidRPr="00D34284" w14:paraId="56B2446A" w14:textId="77777777" w:rsidTr="00FF4E84">
        <w:tc>
          <w:tcPr>
            <w:tcW w:w="1290" w:type="dxa"/>
          </w:tcPr>
          <w:p w14:paraId="44250B93" w14:textId="77777777" w:rsidR="00D34284" w:rsidRPr="00D34284" w:rsidRDefault="00D34284" w:rsidP="008664C1">
            <w:r w:rsidRPr="00D34284">
              <w:t>Female</w:t>
            </w:r>
          </w:p>
        </w:tc>
        <w:tc>
          <w:tcPr>
            <w:tcW w:w="1289" w:type="dxa"/>
          </w:tcPr>
          <w:p w14:paraId="5C39DB72" w14:textId="085F9429" w:rsidR="00D34284" w:rsidRPr="00D34284" w:rsidRDefault="00D34284" w:rsidP="008664C1">
            <w:r w:rsidRPr="00D34284">
              <w:t>29</w:t>
            </w:r>
            <w:r w:rsidR="005C324A">
              <w:rPr>
                <w:lang w:val="it-IT"/>
              </w:rPr>
              <w:t>,</w:t>
            </w:r>
            <w:r w:rsidRPr="00D34284">
              <w:t>253</w:t>
            </w:r>
          </w:p>
        </w:tc>
        <w:tc>
          <w:tcPr>
            <w:tcW w:w="1294" w:type="dxa"/>
          </w:tcPr>
          <w:p w14:paraId="32A48479" w14:textId="4A2AD304" w:rsidR="00D34284" w:rsidRPr="00D34284" w:rsidRDefault="00D34284" w:rsidP="008664C1">
            <w:r w:rsidRPr="00D34284">
              <w:t>8</w:t>
            </w:r>
            <w:r w:rsidR="005C324A">
              <w:rPr>
                <w:lang w:val="it-IT"/>
              </w:rPr>
              <w:t>,</w:t>
            </w:r>
            <w:r w:rsidRPr="00D34284">
              <w:t>657</w:t>
            </w:r>
          </w:p>
        </w:tc>
        <w:tc>
          <w:tcPr>
            <w:tcW w:w="1290" w:type="dxa"/>
          </w:tcPr>
          <w:p w14:paraId="6C7AEA8C" w14:textId="323A5A87" w:rsidR="00D34284" w:rsidRPr="00D34284" w:rsidRDefault="00D34284" w:rsidP="008664C1">
            <w:r w:rsidRPr="00D34284">
              <w:t>91</w:t>
            </w:r>
            <w:r w:rsidR="005C324A">
              <w:rPr>
                <w:lang w:val="it-IT"/>
              </w:rPr>
              <w:t>,</w:t>
            </w:r>
            <w:r w:rsidRPr="00D34284">
              <w:t>046</w:t>
            </w:r>
          </w:p>
        </w:tc>
        <w:tc>
          <w:tcPr>
            <w:tcW w:w="1291" w:type="dxa"/>
          </w:tcPr>
          <w:p w14:paraId="4284FFD6" w14:textId="05294EEC" w:rsidR="00D34284" w:rsidRPr="00D34284" w:rsidRDefault="00D34284" w:rsidP="008664C1">
            <w:r w:rsidRPr="00D34284">
              <w:t>131</w:t>
            </w:r>
            <w:r w:rsidR="005C324A">
              <w:rPr>
                <w:lang w:val="it-IT"/>
              </w:rPr>
              <w:t>,</w:t>
            </w:r>
            <w:r w:rsidRPr="00D34284">
              <w:t>189</w:t>
            </w:r>
          </w:p>
        </w:tc>
        <w:tc>
          <w:tcPr>
            <w:tcW w:w="1318" w:type="dxa"/>
          </w:tcPr>
          <w:p w14:paraId="03577BB4" w14:textId="5AFBA0F6" w:rsidR="00D34284" w:rsidRPr="00D34284" w:rsidRDefault="00D34284" w:rsidP="008664C1">
            <w:r w:rsidRPr="00D34284">
              <w:t>16</w:t>
            </w:r>
            <w:r w:rsidR="005C324A">
              <w:rPr>
                <w:lang w:val="it-IT"/>
              </w:rPr>
              <w:t>,</w:t>
            </w:r>
            <w:r w:rsidRPr="00D34284">
              <w:t>689</w:t>
            </w:r>
          </w:p>
        </w:tc>
        <w:tc>
          <w:tcPr>
            <w:tcW w:w="1290" w:type="dxa"/>
          </w:tcPr>
          <w:p w14:paraId="4E315C64" w14:textId="74F5BBC8" w:rsidR="00D34284" w:rsidRPr="00D34284" w:rsidRDefault="00D34284" w:rsidP="008664C1">
            <w:r w:rsidRPr="00D34284">
              <w:t>15</w:t>
            </w:r>
            <w:r w:rsidR="005C324A">
              <w:rPr>
                <w:lang w:val="it-IT"/>
              </w:rPr>
              <w:t>,</w:t>
            </w:r>
            <w:r w:rsidRPr="00D34284">
              <w:t>085</w:t>
            </w:r>
          </w:p>
        </w:tc>
      </w:tr>
    </w:tbl>
    <w:p w14:paraId="1BB7070B" w14:textId="36C92AC4" w:rsidR="00D34284" w:rsidRDefault="00D34284" w:rsidP="00D34284"/>
    <w:p w14:paraId="2B2E624A" w14:textId="444D2ED3" w:rsidR="00D34284" w:rsidRPr="00D34284" w:rsidRDefault="00D34284" w:rsidP="00D34284">
      <w:r w:rsidRPr="00D34284">
        <w:lastRenderedPageBreak/>
        <w:t>Based on the chi-squared test, we conclude that there is a significant association between gender and method preference (</w:t>
      </w:r>
      <w:r w:rsidRPr="00D34284">
        <w:rPr>
          <w:i/>
          <w:iCs/>
        </w:rPr>
        <w:t>p</w:t>
      </w:r>
      <w:r w:rsidRPr="00D34284">
        <w:t xml:space="preserve"> &lt; .05)</w:t>
      </w:r>
      <w:r>
        <w:t xml:space="preserve"> both on Slovene and international data.</w:t>
      </w:r>
    </w:p>
    <w:p w14:paraId="1D0FBA8C" w14:textId="241069EA" w:rsidR="00D34284" w:rsidRDefault="00D34284" w:rsidP="00D34284">
      <w:r w:rsidRPr="00D34284">
        <w:t xml:space="preserve">Examining the methods individually, the test reveals that </w:t>
      </w:r>
      <w:r>
        <w:t xml:space="preserve">(1) in </w:t>
      </w:r>
      <w:r w:rsidR="005C324A">
        <w:t>the Slovene case</w:t>
      </w:r>
      <w:r w:rsidR="005C324A" w:rsidRPr="005C324A">
        <w:rPr>
          <w:lang w:val="en-US"/>
        </w:rPr>
        <w:t>,</w:t>
      </w:r>
      <w:r>
        <w:t xml:space="preserve"> </w:t>
      </w:r>
      <w:r w:rsidRPr="00D34284">
        <w:t>there were significant gender differences in the usage of one-on-one tutoring, with more females participating, and video instruction, with more males participating</w:t>
      </w:r>
      <w:r w:rsidR="00AD188B">
        <w:t>, and (2) in the international case</w:t>
      </w:r>
      <w:r w:rsidR="00AD188B" w:rsidRPr="00AD188B">
        <w:rPr>
          <w:lang w:val="en-US"/>
        </w:rPr>
        <w:t>,</w:t>
      </w:r>
      <w:r w:rsidR="00AD188B">
        <w:rPr>
          <w:lang w:val="en-US"/>
        </w:rPr>
        <w:t xml:space="preserve"> d</w:t>
      </w:r>
      <w:proofErr w:type="spellStart"/>
      <w:r>
        <w:t>ifferences</w:t>
      </w:r>
      <w:proofErr w:type="spellEnd"/>
      <w:r>
        <w:t xml:space="preserve"> were presented in all methods but the large group instructional method (</w:t>
      </w:r>
      <w:r w:rsidRPr="00D34284">
        <w:rPr>
          <w:i/>
          <w:iCs/>
        </w:rPr>
        <w:t>p</w:t>
      </w:r>
      <w:r>
        <w:t xml:space="preserve"> &gt; .05)</w:t>
      </w:r>
      <w:r w:rsidR="0001252B">
        <w:t>.</w:t>
      </w:r>
    </w:p>
    <w:p w14:paraId="74ACF0F5" w14:textId="32936BF0" w:rsidR="00D120D4" w:rsidRDefault="00D120D4" w:rsidP="003062C8">
      <w:pPr>
        <w:pStyle w:val="Heading2"/>
        <w:numPr>
          <w:ilvl w:val="0"/>
          <w:numId w:val="11"/>
        </w:numPr>
        <w:rPr>
          <w:lang w:val="en-US"/>
        </w:rPr>
      </w:pPr>
      <w:r>
        <w:rPr>
          <w:lang w:val="en-US"/>
        </w:rPr>
        <w:t>Discussion</w:t>
      </w:r>
    </w:p>
    <w:p w14:paraId="29DCB240" w14:textId="73C82187" w:rsidR="00725AFF" w:rsidRPr="00641E89" w:rsidRDefault="00794F26" w:rsidP="00725AFF">
      <w:pPr>
        <w:rPr>
          <w:lang w:val="en-US"/>
        </w:rPr>
      </w:pPr>
      <w:r w:rsidRPr="00725AFF">
        <w:rPr>
          <w:lang w:val="en-US"/>
        </w:rPr>
        <w:t xml:space="preserve">In this paper we have explored the results of PISA 2022 results in Slovenia, focusing on instruction methods in learning mathematics </w:t>
      </w:r>
      <w:r w:rsidR="00725AFF" w:rsidRPr="00725AFF">
        <w:rPr>
          <w:lang w:val="en-US"/>
        </w:rPr>
        <w:t xml:space="preserve">and their usage among students. Our analysis revealed several key findings. First, </w:t>
      </w:r>
      <w:proofErr w:type="gramStart"/>
      <w:r w:rsidR="00725AFF" w:rsidRPr="00725AFF">
        <w:rPr>
          <w:lang w:val="en-US"/>
        </w:rPr>
        <w:t>the majority of</w:t>
      </w:r>
      <w:proofErr w:type="gramEnd"/>
      <w:r w:rsidR="00725AFF" w:rsidRPr="00725AFF">
        <w:rPr>
          <w:lang w:val="en-US"/>
        </w:rPr>
        <w:t xml:space="preserve"> participants, both in Slovenia and globally, do not employ additional in</w:t>
      </w:r>
      <w:r w:rsidR="00AD188B">
        <w:rPr>
          <w:lang w:val="en-US"/>
        </w:rPr>
        <w:t>structional methods, with group learning</w:t>
      </w:r>
      <w:r w:rsidR="00725AFF" w:rsidRPr="00725AFF">
        <w:rPr>
          <w:lang w:val="en-US"/>
        </w:rPr>
        <w:t xml:space="preserve"> practices being notably underrepresented. However, a significant distinction was observed in the preference for video instructional methods among Slovene students, in contrast to the global trend where one-on-one tutoring was more prevalent. The chi-squared test confirmed significant differences in the proportions of various methods between the two datasets, specifically highlighting ICT, video, small groups, large groups, and 'none' methods.</w:t>
      </w:r>
      <w:r w:rsidR="00725AFF">
        <w:rPr>
          <w:lang w:val="en-US"/>
        </w:rPr>
        <w:t xml:space="preserve"> </w:t>
      </w:r>
      <w:r w:rsidR="00725AFF" w:rsidRPr="00725AFF">
        <w:rPr>
          <w:lang w:val="en-US"/>
        </w:rPr>
        <w:t xml:space="preserve">Gender differences were also significant in both Slovene and international data. In Slovenia, male students preferred video instruction more, whereas female students were more inclined towards one-on-one tutoring. On </w:t>
      </w:r>
      <w:r w:rsidR="00725AFF" w:rsidRPr="00641E89">
        <w:rPr>
          <w:lang w:val="en-US"/>
        </w:rPr>
        <w:t xml:space="preserve">the international level, significant gender differences were found across all methods except for </w:t>
      </w:r>
      <w:r w:rsidR="00AD188B">
        <w:rPr>
          <w:lang w:val="en-US"/>
        </w:rPr>
        <w:t>large-group</w:t>
      </w:r>
      <w:r w:rsidR="00725AFF" w:rsidRPr="00641E89">
        <w:rPr>
          <w:lang w:val="en-US"/>
        </w:rPr>
        <w:t xml:space="preserve"> instruction.</w:t>
      </w:r>
    </w:p>
    <w:p w14:paraId="5721BA5C" w14:textId="2BA6236E" w:rsidR="00412B37" w:rsidRPr="00641E89" w:rsidRDefault="00412B37" w:rsidP="00D120D4">
      <w:r w:rsidRPr="00641E89">
        <w:t>When comparing the Slovenian results with those from the international dataset, several differences emerge</w:t>
      </w:r>
      <w:r w:rsidR="006F3AFB" w:rsidRPr="00641E89">
        <w:t>d</w:t>
      </w:r>
      <w:r w:rsidRPr="00641E89">
        <w:t xml:space="preserve">. Internationally, there was a notable preference for </w:t>
      </w:r>
      <w:r w:rsidR="00641E89" w:rsidRPr="00641E89">
        <w:t xml:space="preserve">one-on-one and </w:t>
      </w:r>
      <w:proofErr w:type="gramStart"/>
      <w:r w:rsidR="00AD188B">
        <w:t>small-group</w:t>
      </w:r>
      <w:proofErr w:type="gramEnd"/>
      <w:r w:rsidRPr="00641E89">
        <w:t xml:space="preserve"> learning methods that </w:t>
      </w:r>
      <w:r w:rsidR="00AD188B">
        <w:t>were</w:t>
      </w:r>
      <w:r w:rsidRPr="00641E89">
        <w:t xml:space="preserve"> not as prominent in the Slovenian sample. This difference highlights a potential divergence in educational practices and cultural attitudes towards collaborative learning. Slovenian students showed a higher tendency towards ICT and video methods, whereas the international data revealed a more balanced engagement across different instructional methods. This suggests that, globally, there is a growing recognition of the benefits of group learning in fostering essential skills such as teamwork, communication, and critical thinking. In Slovenia, this</w:t>
      </w:r>
      <w:r w:rsidR="009D20B0" w:rsidRPr="00641E89">
        <w:t xml:space="preserve"> divergence</w:t>
      </w:r>
      <w:r w:rsidRPr="00641E89">
        <w:t xml:space="preserve"> could be attributed to </w:t>
      </w:r>
      <w:r w:rsidR="006F3AFB" w:rsidRPr="00641E89">
        <w:t xml:space="preserve">the </w:t>
      </w:r>
      <w:r w:rsidRPr="00641E89">
        <w:t xml:space="preserve">now prevailing learning </w:t>
      </w:r>
      <w:r w:rsidR="006F3AFB" w:rsidRPr="00641E89">
        <w:t>network</w:t>
      </w:r>
      <w:r w:rsidRPr="00641E89">
        <w:t xml:space="preserve"> called ASTRA, which provides video lectures of mathematics for high school students </w:t>
      </w:r>
      <w:r w:rsidRPr="00641E89">
        <w:fldChar w:fldCharType="begin"/>
      </w:r>
      <w:r w:rsidRPr="00641E89">
        <w:instrText xml:space="preserve"> ADDIN ZOTERO_ITEM CSL_CITATION {"citationID":"FN6xBGmd","properties":{"formattedCitation":"(\\uc0\\u352{}kraba, n.d.)","plainCitation":"(Škraba, n.d.)","noteIndex":0},"citationItems":[{"id":830,"uris":["http://zotero.org/users/local/ZlhuMgGE/items/B9RMHKQK"],"itemData":{"id":830,"type":"webpage","abstract":"Astra.si je brezplačna spletna učilnica, namenjena vsem učencem, dijakom in študentom, pa tudi drugim iskalcem znanja matematike.","container-title":"Astra.si","language":"sl-SI","title":"Astra.si","URL":"https://astra.si/","author":[{"family":"Škraba","given":"Andrej P."}],"accessed":{"date-parts":[["2024",7,2]]}}}],"schema":"https://github.com/citation-style-language/schema/raw/master/csl-citation.json"} </w:instrText>
      </w:r>
      <w:r w:rsidRPr="00641E89">
        <w:fldChar w:fldCharType="separate"/>
      </w:r>
      <w:r w:rsidRPr="00641E89">
        <w:rPr>
          <w:rFonts w:ascii="Calibri" w:hAnsi="Calibri" w:cs="Calibri"/>
          <w:kern w:val="0"/>
        </w:rPr>
        <w:t>(Škraba, n.d.)</w:t>
      </w:r>
      <w:r w:rsidRPr="00641E89">
        <w:fldChar w:fldCharType="end"/>
      </w:r>
      <w:r w:rsidRPr="00641E89">
        <w:t>.</w:t>
      </w:r>
      <w:r w:rsidR="006F3AFB" w:rsidRPr="00641E89">
        <w:t xml:space="preserve"> </w:t>
      </w:r>
      <w:r w:rsidR="00281F16" w:rsidRPr="00641E89">
        <w:t xml:space="preserve">Despite the lack of literature </w:t>
      </w:r>
      <w:proofErr w:type="spellStart"/>
      <w:r w:rsidR="00281F16" w:rsidRPr="00641E89">
        <w:t>analyzing</w:t>
      </w:r>
      <w:proofErr w:type="spellEnd"/>
      <w:r w:rsidR="00281F16" w:rsidRPr="00641E89">
        <w:t xml:space="preserve"> the popularity of this network, making it difficult to assess its presence among students, observational data from the researchers' experience confirm its spread among young people. Internationally, several online video and ICT tools and platforms are available for learning mathematics. However, these tools might not be as well-known in local communities, resulting in students not fully relying on them to deeply understand mathematics. Additional studies are necessary to fully understand the reasons underlying this difference between the Slovenian and international prevalence of additional mathematics instruction.</w:t>
      </w:r>
    </w:p>
    <w:p w14:paraId="46E97E0A" w14:textId="3858EEF0" w:rsidR="009D20B0" w:rsidRDefault="009D20B0" w:rsidP="00D120D4">
      <w:r w:rsidRPr="00641E89">
        <w:t>Gender preferences in learning methodologies often vary, with males showing a marked inclination towards ICT and video-based learning. This preference can be attributed to the interactive and visually engaging nature of these tools, which cater to the exploratory and problem-solving tendencies commonly observed in male learners</w:t>
      </w:r>
      <w:r w:rsidR="001172FA" w:rsidRPr="00641E89">
        <w:t xml:space="preserve"> </w:t>
      </w:r>
      <w:r w:rsidR="001172FA" w:rsidRPr="00641E89">
        <w:fldChar w:fldCharType="begin"/>
      </w:r>
      <w:r w:rsidR="001172FA" w:rsidRPr="00641E89">
        <w:instrText xml:space="preserve"> ADDIN ZOTERO_ITEM CSL_CITATION {"citationID":"0dYKN46k","properties":{"formattedCitation":"(Borgonovi &amp; Greiff, 2020; Utz &amp; Wolfers, 2022)","plainCitation":"(Borgonovi &amp; Greiff, 2020; Utz &amp; Wolfers, 2022)","noteIndex":0},"citationItems":[{"id":860,"uris":["http://zotero.org/users/local/ZlhuMgGE/items/2HMEYR2E"],"itemData":{"id":860,"type":"article-journal","container-title":"Intelligence","DOI":"10.1016/j.intell.2019.101422","ISSN":"01602896","journalAbbreviation":"Intelligence","language":"en","page":"101422","source":"DOI.org (Crossref)","title":"Societal level gender inequalities amplify gender gaps in problem solving more than in academic disciplines","volume":"79","author":[{"family":"Borgonovi","given":"Francesca"},{"family":"Greiff","given":"Samuel"}],"issued":{"date-parts":[["2020",3]]}}},{"id":859,"uris":["http://zotero.org/users/local/ZlhuMgGE/items/M3D32CSF"],"itemData":{"id":859,"type":"article-journal","container-title":"Information, Communication &amp; Society","DOI":"10.1080/1369118X.2020.1804984","ISSN":"1369-118X, 1468-4462","issue":"7","journalAbbreviation":"Information, Communication &amp; Society","language":"en","page":"959-974","source":"DOI.org (Crossref)","title":"How-to videos on YouTube: the role of the instructor","title-short":"How-to videos on YouTube","volume":"25","author":[{"family":"Utz","given":"Sonja"},{"family":"Wolfers","given":"Lara N."}],"issued":{"date-parts":[["2022",5,19]]}}}],"schema":"https://github.com/citation-style-language/schema/raw/master/csl-citation.json"} </w:instrText>
      </w:r>
      <w:r w:rsidR="001172FA" w:rsidRPr="00641E89">
        <w:fldChar w:fldCharType="separate"/>
      </w:r>
      <w:r w:rsidR="001172FA" w:rsidRPr="00641E89">
        <w:rPr>
          <w:rFonts w:ascii="Calibri" w:hAnsi="Calibri" w:cs="Calibri"/>
        </w:rPr>
        <w:t>(Borgonovi &amp; Greiff, 2020; Utz &amp; Wolfers, 2022)</w:t>
      </w:r>
      <w:r w:rsidR="001172FA" w:rsidRPr="00641E89">
        <w:fldChar w:fldCharType="end"/>
      </w:r>
      <w:r w:rsidRPr="00641E89">
        <w:t>. Conversely, females tend to prefer traditional learning practices without additional technological enhancements, potentially valuing the interpersonal elements that these methods offer</w:t>
      </w:r>
      <w:r w:rsidR="00B026D6" w:rsidRPr="00641E89">
        <w:t xml:space="preserve"> </w:t>
      </w:r>
      <w:r w:rsidR="00B026D6" w:rsidRPr="00641E89">
        <w:fldChar w:fldCharType="begin"/>
      </w:r>
      <w:r w:rsidR="00B026D6" w:rsidRPr="00641E89">
        <w:instrText xml:space="preserve"> ADDIN ZOTERO_ITEM CSL_CITATION {"citationID":"eEkzWdHw","properties":{"formattedCitation":"(Chang et al., 2020)","plainCitation":"(Chang et al., 2020)","noteIndex":0},"citationItems":[{"id":862,"uris":["http://zotero.org/users/local/ZlhuMgGE/items/RS3PESP9"],"itemData":{"id":862,"type":"article-journal","abstract":"The aim of this study is to explore the moderating effect of club involvement on the relationships of female college students’ sport club participation motivations for interpersonal relationships and learning achievement. Using cluster sampling, a structured questionnaire was distributed to 450 female college students located in northern, central, and southern Taiwan with a valid return rate of 96.2%. Using partial least squares structural equation modeling (PLS-SEM) analysis, the study found that the female college students’ participation motivations both affected interpersonal relationships and learning achievement positively. In addition, the moderating effects of club involvement on interpersonal relationships and learning achievement were both significant. Club involvement enhanced the effects of the female college students’ sport club participation motivations for interpersonal relationships and learning achievement. According to the results and discussion, practical application and future research suggestions were provided.","container-title":"International Journal of Environmental Research and Public Health","DOI":"10.3390/ijerph17186514","ISSN":"1660-4601","issue":"18","journalAbbreviation":"IJERPH","language":"en","license":"https://creativecommons.org/licenses/by/4.0/","page":"6514","source":"DOI.org (Crossref)","title":"The Effect of Participation Motivations on Interpersonal Relationships and Learning Achievement of Female College Students in Sports Club: Moderating Role of Club Involvement","title-short":"The Effect of Participation Motivations on Interpersonal Relationships and Learning Achievement of Female College Students in Sports Club","volume":"17","author":[{"family":"Chang","given":"Chia-Ming"},{"family":"Chou","given":"Yu-Hui"},{"family":"Hsieh","given":"Huey-Hong"},{"family":"Huange","given":"Cheng-Kai"}],"issued":{"date-parts":[["2020",9,7]]}}}],"schema":"https://github.com/citation-style-language/schema/raw/master/csl-citation.json"} </w:instrText>
      </w:r>
      <w:r w:rsidR="00B026D6" w:rsidRPr="00641E89">
        <w:fldChar w:fldCharType="separate"/>
      </w:r>
      <w:r w:rsidR="00B026D6" w:rsidRPr="00641E89">
        <w:rPr>
          <w:rFonts w:ascii="Calibri" w:hAnsi="Calibri" w:cs="Calibri"/>
        </w:rPr>
        <w:t>(Chang et al., 2020)</w:t>
      </w:r>
      <w:r w:rsidR="00B026D6" w:rsidRPr="00641E89">
        <w:fldChar w:fldCharType="end"/>
      </w:r>
      <w:r w:rsidRPr="00641E89">
        <w:t>. This distinction highlights the importance of tailoring educational approaches to accommodate different learning preferences based on gender.</w:t>
      </w:r>
    </w:p>
    <w:p w14:paraId="64ADE601" w14:textId="74A1A5B5" w:rsidR="00B9179A" w:rsidRPr="002719C8" w:rsidRDefault="00D67057" w:rsidP="00D120D4">
      <w:r>
        <w:rPr>
          <w:lang w:val="en-US"/>
        </w:rPr>
        <w:lastRenderedPageBreak/>
        <w:t xml:space="preserve">The insights into </w:t>
      </w:r>
      <w:r w:rsidRPr="00D67057">
        <w:t>the contemporary landscape of learning methods</w:t>
      </w:r>
      <w:r>
        <w:t xml:space="preserve"> </w:t>
      </w:r>
      <w:r w:rsidRPr="00D67057">
        <w:t>underscores the increasing integration of digital resources in education, driven by their accessibility, flexibility, and the enhanced learning experience they offer through multimedia content</w:t>
      </w:r>
      <w:r w:rsidR="00FE6E5E">
        <w:t xml:space="preserve"> </w:t>
      </w:r>
      <w:r w:rsidR="00FE6E5E">
        <w:fldChar w:fldCharType="begin"/>
      </w:r>
      <w:r w:rsidR="000D004B">
        <w:instrText xml:space="preserve"> ADDIN ZOTERO_ITEM CSL_CITATION {"citationID":"CIyAamWr","properties":{"formattedCitation":"(Cheng et al., 2009; Nusir et al., 2013)","plainCitation":"(Cheng et al., 2009; Nusir et al., 2013)","noteIndex":0},"citationItems":[{"id":"BQPZCFLM/bxBLgHGp","uris":["http://zotero.org/users/local/1Uxvmohd/items/GC95YN2B"],"itemData":{"id":896,"type":"article-journal","container-title":"IEEE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BQPZCFLM/Y77OdqNL","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fldChar w:fldCharType="separate"/>
      </w:r>
      <w:r w:rsidR="00FE6E5E" w:rsidRPr="00FE6E5E">
        <w:rPr>
          <w:rFonts w:ascii="Calibri" w:hAnsi="Calibri" w:cs="Calibri"/>
        </w:rPr>
        <w:t>(Cheng et al., 2009; Nusir et al., 2013)</w:t>
      </w:r>
      <w:r w:rsidR="00FE6E5E">
        <w:fldChar w:fldCharType="end"/>
      </w:r>
      <w:r w:rsidRPr="00D67057">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t xml:space="preserve"> </w:t>
      </w:r>
      <w:r w:rsidR="00FE6E5E" w:rsidRPr="00F141A2">
        <w:fldChar w:fldCharType="begin"/>
      </w:r>
      <w:r w:rsidR="000D004B">
        <w:instrText xml:space="preserve"> ADDIN ZOTERO_ITEM CSL_CITATION {"citationID":"A0JkeS2G","properties":{"formattedCitation":"(Carrillo &amp; Flores, 2020)","plainCitation":"(Carrillo &amp; Flores, 2020)","noteIndex":0},"citationItems":[{"id":"BQPZCFLM/whwxW3Vj","uris":["http://zotero.org/users/local/1Uxvmohd/items/DHD75MDE"],"itemData":{"id":900,"type":"article-journal","container-title":"European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rsidRPr="00F141A2">
        <w:fldChar w:fldCharType="separate"/>
      </w:r>
      <w:r w:rsidR="00FE6E5E" w:rsidRPr="00F141A2">
        <w:rPr>
          <w:rFonts w:ascii="Calibri" w:hAnsi="Calibri" w:cs="Calibri"/>
        </w:rPr>
        <w:t>(Carrillo &amp; Flores, 2020)</w:t>
      </w:r>
      <w:r w:rsidR="00FE6E5E" w:rsidRPr="00F141A2">
        <w:fldChar w:fldCharType="end"/>
      </w:r>
      <w:r w:rsidRPr="00F141A2">
        <w:t>. However, this shift towards ICT-based methods raises critical concerns regarding the quality of social interactions among students</w:t>
      </w:r>
      <w:r w:rsidR="00BC730C" w:rsidRPr="00F141A2">
        <w:t xml:space="preserve"> </w:t>
      </w:r>
      <w:r w:rsidR="00BC730C" w:rsidRPr="00F141A2">
        <w:fldChar w:fldCharType="begin"/>
      </w:r>
      <w:r w:rsidR="000D004B">
        <w:instrText xml:space="preserve"> ADDIN ZOTERO_ITEM CSL_CITATION {"citationID":"0wi6ujk2","properties":{"formattedCitation":"(Xiao &amp; Hew, 2022)","plainCitation":"(Xiao &amp; Hew, 2022)","noteIndex":0},"citationItems":[{"id":"BQPZCFLM/bWHaUC5A","uris":["http://zotero.org/users/local/1Uxvmohd/items/4V4K23UA"],"itemData":{"id":901,"type":"article-journal","abstract":"Evolving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rsidRPr="00F141A2">
        <w:fldChar w:fldCharType="separate"/>
      </w:r>
      <w:r w:rsidR="00BC730C" w:rsidRPr="00F141A2">
        <w:rPr>
          <w:rFonts w:ascii="Calibri" w:hAnsi="Calibri" w:cs="Calibri"/>
        </w:rPr>
        <w:t>(Xiao &amp; Hew, 2022)</w:t>
      </w:r>
      <w:r w:rsidR="00BC730C" w:rsidRPr="00F141A2">
        <w:fldChar w:fldCharType="end"/>
      </w:r>
      <w:r w:rsidRPr="00F141A2">
        <w:t>. Traditional group learning practices, which are poorly represented in our data, play a vital role in developing collaborative skills, critical thinking, and the ability to work effectively in teams</w:t>
      </w:r>
      <w:r w:rsidR="005D59C1" w:rsidRPr="00F141A2">
        <w:t xml:space="preserve"> </w:t>
      </w:r>
      <w:r w:rsidR="005D59C1" w:rsidRPr="00F141A2">
        <w:fldChar w:fldCharType="begin"/>
      </w:r>
      <w:r w:rsidR="000D004B">
        <w:instrText xml:space="preserve"> ADDIN ZOTERO_ITEM CSL_CITATION {"citationID":"3MvNrTk0","properties":{"formattedCitation":"(Andrade, 2020; Pervaz Iqbal et al., 2020)","plainCitation":"(Andrade, 2020; Pervaz Iqbal et al., 2020)","noteIndex":0},"citationItems":[{"id":"BQPZCFLM/viWVvHXD","uris":["http://zotero.org/users/local/1Uxvmohd/items/R3QHQ4FQ"],"itemData":{"id":904,"type":"article-journal","container-title":"Higher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Snow"}],"issued":{"date-parts":[["2020",1,1]]}}},{"id":"BQPZCFLM/Gk5EN1Mk","uris":["http://zotero.org/users/local/1Uxvmohd/items/YANGQ3SJ"],"itemData":{"id":902,"type":"article-journal","abstract":"Abstract\n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rsidRPr="00F141A2">
        <w:fldChar w:fldCharType="separate"/>
      </w:r>
      <w:r w:rsidR="005D59C1" w:rsidRPr="00F141A2">
        <w:rPr>
          <w:rFonts w:ascii="Calibri" w:hAnsi="Calibri" w:cs="Calibri"/>
        </w:rPr>
        <w:t>(Andrade, 2020; Pervaz Iqbal et al., 2020)</w:t>
      </w:r>
      <w:r w:rsidR="005D59C1" w:rsidRPr="00F141A2">
        <w:fldChar w:fldCharType="end"/>
      </w:r>
      <w:r w:rsidRPr="00F141A2">
        <w:t xml:space="preserve">. The lack of such interactions may hinder the development of these essential skills, suggesting a need to balance digital and face-to-face learning modalities. Moreover, the </w:t>
      </w:r>
      <w:r w:rsidR="00F141A2" w:rsidRPr="00F141A2">
        <w:t xml:space="preserve">big </w:t>
      </w:r>
      <w:r w:rsidRPr="00F141A2">
        <w:t>preference for one-on-one tutoring and</w:t>
      </w:r>
      <w:r w:rsidR="00F141A2" w:rsidRPr="00F141A2">
        <w:t xml:space="preserve"> small preference for</w:t>
      </w:r>
      <w:r w:rsidRPr="00F141A2">
        <w:t xml:space="preserve"> small group study reveals a subset of students who value personalized attention and tailored instruction. These methods cater to individual learning styles and provide immediate feedback, which ca</w:t>
      </w:r>
      <w:r w:rsidRPr="00D67057">
        <w:t>n significantly enhance understanding and retention of material</w:t>
      </w:r>
      <w:r w:rsidR="00611D02">
        <w:t xml:space="preserve"> </w:t>
      </w:r>
      <w:r w:rsidR="00611D02">
        <w:fldChar w:fldCharType="begin"/>
      </w:r>
      <w:r w:rsidR="000D004B">
        <w:instrText xml:space="preserve"> ADDIN ZOTERO_ITEM CSL_CITATION {"citationID":"Pcs37GxO","properties":{"formattedCitation":"(Pardo et al., 2019)","plainCitation":"(Pardo et al., 2019)","noteIndex":0},"citationItems":[{"id":"BQPZCFLM/I1dv88wZ","uris":["http://zotero.org/users/local/1Uxvmohd/items/S74LXFXV"],"itemData":{"id":912,"type":"article-journal","abstract":"Abstract\n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fldChar w:fldCharType="separate"/>
      </w:r>
      <w:r w:rsidR="00611D02" w:rsidRPr="00611D02">
        <w:rPr>
          <w:rFonts w:ascii="Calibri" w:hAnsi="Calibri" w:cs="Calibri"/>
        </w:rPr>
        <w:t>(Pardo et al., 2019)</w:t>
      </w:r>
      <w:r w:rsidR="00611D02">
        <w:fldChar w:fldCharType="end"/>
      </w:r>
      <w:r w:rsidRPr="00D67057">
        <w:t>. This individualized approach can be particularly beneficial for students who struggle with self-paced learning or those who require additional support beyond standard classroom instruction</w:t>
      </w:r>
      <w:r w:rsidR="00F97E9F">
        <w:t xml:space="preserve"> </w:t>
      </w:r>
      <w:r w:rsidR="00F97E9F">
        <w:fldChar w:fldCharType="begin"/>
      </w:r>
      <w:r w:rsidR="000D004B">
        <w:instrText xml:space="preserve"> ADDIN ZOTERO_ITEM CSL_CITATION {"citationID":"9pNltZGy","properties":{"formattedCitation":"(Shemshack et al., 2021; Tetzlaff et al., 2021)","plainCitation":"(Shemshack et al., 2021; Tetzlaff et al., 2021)","noteIndex":0},"citationItems":[{"id":"BQPZCFLM/aIdNLC2I","uris":["http://zotero.org/users/local/1Uxvmohd/items/WN7UWPQJ"],"itemData":{"id":911,"type":"article-journal","container-title":"Journal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Michael"}],"issued":{"date-parts":[["2021",12]]}}},{"id":"BQPZCFLM/yhrLX4WO","uris":["http://zotero.org/users/local/1Uxvmohd/items/AJ5G3LNT"],"itemData":{"id":909,"type":"article-journal","abstract":"Abstract\n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fldChar w:fldCharType="separate"/>
      </w:r>
      <w:r w:rsidR="00F97E9F" w:rsidRPr="00F97E9F">
        <w:rPr>
          <w:rFonts w:ascii="Calibri" w:hAnsi="Calibri" w:cs="Calibri"/>
        </w:rPr>
        <w:t>(Shemshack et al., 2021; Tetzlaff et al., 2021)</w:t>
      </w:r>
      <w:r w:rsidR="00F97E9F">
        <w:fldChar w:fldCharType="end"/>
      </w:r>
      <w:r w:rsidRPr="00D67057">
        <w:t>. The choice of one-on-one and small group settings also reflects the desire for a more intimate and focused learning environment, which can be less intimidating and more conducive to asking questions and engaging deeply with the content. On the other hand</w:t>
      </w:r>
      <w:r w:rsidR="00AD188B">
        <w:t>,</w:t>
      </w:r>
      <w:r w:rsidR="00F141A2">
        <w:t xml:space="preserve"> students who do not participate</w:t>
      </w:r>
      <w:r w:rsidRPr="00D67057">
        <w:t xml:space="preserve"> in supplementary instructional methods, highlight a potential area of concern. This group's disengagement could be due to a lack of awareness, resources, or motivation, pointing to the need for interventions that encourage the utilization of diverse learning methods to support all students effectively</w:t>
      </w:r>
      <w:r w:rsidR="00AA0FBF">
        <w:t xml:space="preserve"> </w:t>
      </w:r>
      <w:r w:rsidR="00AA0FBF">
        <w:fldChar w:fldCharType="begin"/>
      </w:r>
      <w:r w:rsidR="000D004B">
        <w:instrText xml:space="preserve"> ADDIN ZOTERO_ITEM CSL_CITATION {"citationID":"PMv8LoSG","properties":{"formattedCitation":"(Ramos et al., 2023; Ronksley-Pavia &amp; Neumann, 2020)","plainCitation":"(Ramos et al., 2023; Ronksley-Pavia &amp; Neumann, 2020)","noteIndex":0},"citationItems":[{"id":"BQPZCFLM/qEMgwdbH","uris":["http://zotero.org/users/local/1Uxvmohd/items/D3U5HHIH"],"itemData":{"id":906,"type":"article-journal","abstract":"This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BQPZCFLM/w4LGR8f4","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fldChar w:fldCharType="separate"/>
      </w:r>
      <w:r w:rsidR="00AA0FBF" w:rsidRPr="00AA0FBF">
        <w:rPr>
          <w:rFonts w:ascii="Calibri" w:hAnsi="Calibri" w:cs="Calibri"/>
        </w:rPr>
        <w:t>(Ramos et al., 2023; Ronksley-Pavia &amp; Neumann, 2020)</w:t>
      </w:r>
      <w:r w:rsidR="00AA0FBF">
        <w:fldChar w:fldCharType="end"/>
      </w:r>
      <w:r w:rsidRPr="00D67057">
        <w:t>.</w:t>
      </w:r>
      <w:r>
        <w:t xml:space="preserve"> While </w:t>
      </w:r>
      <w:r w:rsidRPr="00D67057">
        <w:t xml:space="preserve">ICT and video instruction offer significant benefits and are becoming increasingly integral to modern education, it is crucial to address the challenges they pose to </w:t>
      </w:r>
      <w:r w:rsidRPr="002719C8">
        <w:t>social learning and to ensure that complementary instructional methods, such as group practices and one-on-one tutoring, are also promoted to provide a holistic educational experience.</w:t>
      </w:r>
    </w:p>
    <w:p w14:paraId="0DE2F894" w14:textId="57EC8759" w:rsidR="00C2547E" w:rsidRDefault="00C2547E" w:rsidP="00D120D4">
      <w:r w:rsidRPr="002719C8">
        <w:t xml:space="preserve">When considering the evolution of education, it is crucial to </w:t>
      </w:r>
      <w:proofErr w:type="gramStart"/>
      <w:r w:rsidRPr="002719C8">
        <w:t>take into account</w:t>
      </w:r>
      <w:proofErr w:type="gramEnd"/>
      <w:r w:rsidRPr="002719C8">
        <w:t xml:space="preserve"> not only the needs of students but also the perspectives of teachers. Educators are increasingly recognizing the need to adapt and compete with eLearning possibilities to maintain the relevance of their profession</w:t>
      </w:r>
      <w:r w:rsidR="002B6168" w:rsidRPr="002719C8">
        <w:t xml:space="preserve"> </w:t>
      </w:r>
      <w:r w:rsidR="002B6168" w:rsidRPr="002719C8">
        <w:fldChar w:fldCharType="begin"/>
      </w:r>
      <w:r w:rsidR="002B6168" w:rsidRPr="002719C8">
        <w:instrText xml:space="preserve"> ADDIN ZOTERO_ITEM CSL_CITATION {"citationID":"ZqcAVHkn","properties":{"formattedCitation":"(Rojko, 2020)","plainCitation":"(Rojko, 2020)","noteIndex":0},"citationItems":[{"id":864,"uris":["http://zotero.org/users/local/ZlhuMgGE/items/EXNZ2FSE"],"itemData":{"id":864,"type":"article-journal","abstract":"Current evolution of education is marked by rapid expansion of ICT supporting learning and teaching.This presents a particular challenge for teachers, especially older one. eLearning has grown exponentially in recent years. During the deluge of different types of eLearning platforms and applications, it is difficult for a teacher to decide which one is appropriate to use and recommend to their students. Moreover, as a basis, he/she must possess certain digital competencies, in order to be able to conduct research on their strengths and weaknesses. Therefore, national projects to promote the use of ICT by higher education teachers are very welcome. On the other hand, teachers must also follow the trends on the students’and employers’ sides when imparting knowledge. This requires from them also to constantly look for new web applications and platforms and its features, and besides to use new methods of knowledge transfer. We found out, that this presents a great burden for most of teachers, as this requires additional and ongoing engagement from them. Namely, they are becoming more aware of the need to compete with eLearning possibilities, otherwise their profession might lose sense. It became clear, that they have to change their mindset to consider their professionas the added value and upgrade of what students can gain through eLearning, while also strive to become enablers for such knowledge gains. Our main goal is to make this clear, by presenting students’ views on the impact and usability of applications and web platforms for eLearning.","container-title":"Zbornik radova Međunarodne naučne konferencije o digitalnoj ekonomiji DIEC","ISSN":"2566-4514, 2566-4522","issue":"3","language":"English","note":"publisher: Internacionalna poslovno – informaciona akademija","page":"67-80","source":"www.ceeol.com","title":"INNOVATIVE LEARNING AND TEACHING IN HIGHER EDUCATION SUPPORTED BY WEB PLATFORMS AND APPLICATIONS","volume":"3","author":[{"family":"Rojko","given":"Katarina"}],"issued":{"date-parts":[["2020"]]}}}],"schema":"https://github.com/citation-style-language/schema/raw/master/csl-citation.json"} </w:instrText>
      </w:r>
      <w:r w:rsidR="002B6168" w:rsidRPr="002719C8">
        <w:fldChar w:fldCharType="separate"/>
      </w:r>
      <w:r w:rsidR="002B6168" w:rsidRPr="002719C8">
        <w:rPr>
          <w:rFonts w:ascii="Calibri" w:hAnsi="Calibri" w:cs="Calibri"/>
        </w:rPr>
        <w:t>(Rojko, 2020)</w:t>
      </w:r>
      <w:r w:rsidR="002B6168" w:rsidRPr="002719C8">
        <w:fldChar w:fldCharType="end"/>
      </w:r>
      <w:r w:rsidRPr="002719C8">
        <w:t xml:space="preserve">. This shift in mindset involves viewing their role as an enhancement and complement to what students can achieve through eLearning platforms. By integrating their expertise with digital tools, teachers can add significant value and facilitate a more comprehensive learning experience. A study by </w:t>
      </w:r>
      <w:r w:rsidR="002B6168" w:rsidRPr="002719C8">
        <w:fldChar w:fldCharType="begin"/>
      </w:r>
      <w:r w:rsidR="00840691" w:rsidRPr="002719C8">
        <w:instrText xml:space="preserve"> ADDIN ZOTERO_ITEM CSL_CITATION {"citationID":"5utqWSql","properties":{"formattedCitation":"(Lipovec et al., 2023)","plainCitation":"(Lipovec et al., 2023)","dontUpdate":true,"noteIndex":0},"citationItems":[{"id":868,"uris":["http://zotero.org/users/local/ZlhuMgGE/items/R5UPB2LJ"],"itemData":{"id":868,"type":"chapter","abstract":"The paper presents the first results of the EXPERT project, in which Slovenian e-textbooks and associated video lectures are translated into English using machine translation models. Emergency remote teaching and the characteristics of video lectures in five countries (Slovenia, Finland, Germany, Spain, and Turkey) were thoroughly analysed. The questionnaire consisted of ten broad open questions with several subquestions. Responses were collected from ten e-learning experts, two in each country. A mixed quantitative and qualitative method was chosen to analyse the data. The various characteristics of video lectures were grouped into four pedagogical and six technical principles. The results show that the countries followed diverse paths in providing open educational resources and teacher training during COVID-19 school closures. In all countries, the video lectures’ compliance with the pedagogical principles for video explanations was satisfactory, but the interactivity level should have been higher. However, recording formats and the features related to the machine translation model should be reconsidered. These issues will be addressed in the subsequent phases of the project.","container-title":"Perspectives on Teacher Education and Development","ISBN":"978-961-286-718-8","language":"en","license":"https://creativecommons.org/licenses/by/4.0/","note":"DOI: 10.18690/um.pef.1.2023.25","page":"466-486","publisher":"University of Maribor, University Press","source":"DOI.org (Crossref)","title":"Cross-National Analysis of Educational Video Characteristics","URL":"https://press.um.si/index.php/ump/catalog/book/770","container-author":[{"family":"Lipovec","given":"Alenka"},{"family":"Tekavc","given":"Janja"}],"author":[{"family":"Lipovec","given":"Alenka"},{"family":"Arcet","given":"Barbara"},{"family":"Güler","given":"Oya"},{"family":"Putzlocher","given":"Martin"}],"accessed":{"date-parts":[["2024",7,11]]},"issued":{"date-parts":[["2023"]]}}}],"schema":"https://github.com/citation-style-language/schema/raw/master/csl-citation.json"} </w:instrText>
      </w:r>
      <w:r w:rsidR="002B6168" w:rsidRPr="002719C8">
        <w:fldChar w:fldCharType="separate"/>
      </w:r>
      <w:r w:rsidR="002B6168" w:rsidRPr="002719C8">
        <w:rPr>
          <w:rFonts w:ascii="Calibri" w:hAnsi="Calibri" w:cs="Calibri"/>
        </w:rPr>
        <w:t>Lipovec et al., (2023)</w:t>
      </w:r>
      <w:r w:rsidR="002B6168" w:rsidRPr="002719C8">
        <w:fldChar w:fldCharType="end"/>
      </w:r>
      <w:r w:rsidR="002B6168" w:rsidRPr="002719C8">
        <w:t xml:space="preserve"> </w:t>
      </w:r>
      <w:r w:rsidRPr="002719C8">
        <w:t>found that, while video lectures generally adhered well to pedagogical principles across various countries</w:t>
      </w:r>
      <w:r w:rsidR="002B6168" w:rsidRPr="002719C8">
        <w:t xml:space="preserve"> including Slovenia and 4 others included in PISA 2022 research</w:t>
      </w:r>
      <w:r w:rsidRPr="002719C8">
        <w:t>, the level of interactivity was lacking. To ensure effective education, teachers must embrace the dual role of content experts and facilitators of interactive, technology-enhanced learning environments. This approach not only preserves the essence of traditional teaching but also leverages the strengths of modern eLearning.</w:t>
      </w:r>
    </w:p>
    <w:p w14:paraId="18BA1623" w14:textId="507A785A" w:rsidR="004E5E20" w:rsidRDefault="00181959" w:rsidP="003062C8">
      <w:pPr>
        <w:pStyle w:val="Heading2"/>
        <w:numPr>
          <w:ilvl w:val="0"/>
          <w:numId w:val="11"/>
        </w:numPr>
        <w:rPr>
          <w:lang w:val="en-US"/>
        </w:rPr>
      </w:pPr>
      <w:r>
        <w:rPr>
          <w:lang w:val="en-US"/>
        </w:rPr>
        <w:t>Limitations and future di</w:t>
      </w:r>
      <w:r w:rsidR="00470729">
        <w:rPr>
          <w:lang w:val="en-US"/>
        </w:rPr>
        <w:t>r</w:t>
      </w:r>
      <w:r>
        <w:rPr>
          <w:lang w:val="en-US"/>
        </w:rPr>
        <w:t>e</w:t>
      </w:r>
      <w:r w:rsidR="00470729">
        <w:rPr>
          <w:lang w:val="en-US"/>
        </w:rPr>
        <w:t>c</w:t>
      </w:r>
      <w:r>
        <w:rPr>
          <w:lang w:val="en-US"/>
        </w:rPr>
        <w:t>tions</w:t>
      </w:r>
    </w:p>
    <w:p w14:paraId="66940EBD" w14:textId="67C175B5" w:rsidR="00BD4A48" w:rsidRPr="00BD4A48" w:rsidRDefault="00BD4A48" w:rsidP="00BD4A48">
      <w:pPr>
        <w:rPr>
          <w:lang w:val="en-US"/>
        </w:rPr>
      </w:pPr>
      <w:r w:rsidRPr="00BD4A48">
        <w:rPr>
          <w:highlight w:val="green"/>
          <w:lang w:val="en-US"/>
        </w:rPr>
        <w:t xml:space="preserve">Conclusion je </w:t>
      </w:r>
      <w:proofErr w:type="spellStart"/>
      <w:r w:rsidRPr="00BD4A48">
        <w:rPr>
          <w:highlight w:val="green"/>
          <w:lang w:val="en-US"/>
        </w:rPr>
        <w:t>sicer</w:t>
      </w:r>
      <w:proofErr w:type="spellEnd"/>
      <w:r w:rsidRPr="00BD4A48">
        <w:rPr>
          <w:highlight w:val="green"/>
          <w:lang w:val="en-US"/>
        </w:rPr>
        <w:t xml:space="preserve"> </w:t>
      </w:r>
      <w:proofErr w:type="spellStart"/>
      <w:r w:rsidRPr="00BD4A48">
        <w:rPr>
          <w:highlight w:val="green"/>
          <w:lang w:val="en-US"/>
        </w:rPr>
        <w:t>nekako</w:t>
      </w:r>
      <w:proofErr w:type="spellEnd"/>
      <w:r w:rsidRPr="00BD4A48">
        <w:rPr>
          <w:highlight w:val="green"/>
          <w:lang w:val="en-US"/>
        </w:rPr>
        <w:t xml:space="preserve"> ze </w:t>
      </w:r>
      <w:proofErr w:type="spellStart"/>
      <w:r w:rsidRPr="00BD4A48">
        <w:rPr>
          <w:highlight w:val="green"/>
          <w:lang w:val="en-US"/>
        </w:rPr>
        <w:t>zajet</w:t>
      </w:r>
      <w:proofErr w:type="spellEnd"/>
      <w:r w:rsidRPr="00BD4A48">
        <w:rPr>
          <w:highlight w:val="green"/>
          <w:lang w:val="en-US"/>
        </w:rPr>
        <w:t xml:space="preserve"> v </w:t>
      </w:r>
      <w:proofErr w:type="spellStart"/>
      <w:r w:rsidRPr="00BD4A48">
        <w:rPr>
          <w:highlight w:val="green"/>
          <w:lang w:val="en-US"/>
        </w:rPr>
        <w:t>diskusiji</w:t>
      </w:r>
      <w:proofErr w:type="spellEnd"/>
      <w:r w:rsidRPr="00BD4A48">
        <w:rPr>
          <w:highlight w:val="green"/>
          <w:lang w:val="en-US"/>
        </w:rPr>
        <w:t>…</w:t>
      </w:r>
    </w:p>
    <w:p w14:paraId="33FBA3A0" w14:textId="6BC1AE3D" w:rsidR="0034029B" w:rsidRDefault="008B0F10" w:rsidP="0034029B">
      <w:r w:rsidRPr="008B0F10">
        <w:t xml:space="preserve">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w:t>
      </w:r>
      <w:r w:rsidRPr="008B0F10">
        <w:lastRenderedPageBreak/>
        <w:t xml:space="preserve">exercised in interpreting PISA results; further research at the national level is essential to validate and expand upon our findings. Additionally, our study did not measure the direct impact of the observed instructional methods on </w:t>
      </w:r>
      <w:r w:rsidRPr="004643E0">
        <w:t>students' grades</w:t>
      </w:r>
      <w:r w:rsidR="00EA2533" w:rsidRPr="004643E0">
        <w:t xml:space="preserve"> or whether certain </w:t>
      </w:r>
      <w:r w:rsidR="004643E0" w:rsidRPr="004643E0">
        <w:t xml:space="preserve">instructional </w:t>
      </w:r>
      <w:r w:rsidR="00AD188B">
        <w:t>methods</w:t>
      </w:r>
      <w:r w:rsidR="004643E0" w:rsidRPr="004643E0">
        <w:t xml:space="preserve"> </w:t>
      </w:r>
      <w:r w:rsidR="00EA2533" w:rsidRPr="004643E0">
        <w:t>outperformed others</w:t>
      </w:r>
      <w:r w:rsidRPr="004643E0">
        <w:t>, which represents a significant gap that future research should address to fully understand the efficacy of these instructional practices.</w:t>
      </w:r>
      <w:r w:rsidR="002B6168" w:rsidRPr="004643E0">
        <w:t xml:space="preserve"> </w:t>
      </w:r>
      <w:commentRangeStart w:id="7"/>
      <w:commentRangeStart w:id="8"/>
      <w:r w:rsidR="00343C34" w:rsidRPr="004643E0">
        <w:t>The</w:t>
      </w:r>
      <w:commentRangeEnd w:id="7"/>
      <w:r w:rsidR="00343C34" w:rsidRPr="004643E0">
        <w:rPr>
          <w:rStyle w:val="CommentReference"/>
        </w:rPr>
        <w:commentReference w:id="7"/>
      </w:r>
      <w:commentRangeEnd w:id="8"/>
      <w:r w:rsidR="00281F16" w:rsidRPr="004643E0">
        <w:rPr>
          <w:rStyle w:val="CommentReference"/>
        </w:rPr>
        <w:commentReference w:id="8"/>
      </w:r>
      <w:r w:rsidR="00343C34" w:rsidRPr="004643E0">
        <w:t xml:space="preserve"> latter limitation was due to the presentation of data by OECD, as the data is split into general questions (from which we sourced our data) and cognitive data</w:t>
      </w:r>
      <w:r w:rsidR="004F1F62" w:rsidRPr="004643E0">
        <w:t xml:space="preserve"> with PISA results</w:t>
      </w:r>
      <w:r w:rsidR="00343C34" w:rsidRPr="004643E0">
        <w:t xml:space="preserve">. </w:t>
      </w:r>
      <w:commentRangeStart w:id="9"/>
      <w:commentRangeStart w:id="10"/>
      <w:r w:rsidR="00343C34" w:rsidRPr="004643E0">
        <w:t>Furthermore, the data is biased towards SPSS and R analysis and not completely compatible with other methods, such as Python, which we used in our study</w:t>
      </w:r>
      <w:commentRangeEnd w:id="9"/>
      <w:r w:rsidR="00281F16" w:rsidRPr="004643E0">
        <w:rPr>
          <w:rStyle w:val="CommentReference"/>
        </w:rPr>
        <w:commentReference w:id="9"/>
      </w:r>
      <w:commentRangeEnd w:id="10"/>
      <w:r w:rsidR="004643E0">
        <w:rPr>
          <w:rStyle w:val="CommentReference"/>
        </w:rPr>
        <w:commentReference w:id="10"/>
      </w:r>
      <w:r w:rsidR="00343C34" w:rsidRPr="004643E0">
        <w:t>. This presents a gap we aim to address in future research to enhance compatibility and comprehensiveness in data analysis methodologies.</w:t>
      </w:r>
    </w:p>
    <w:p w14:paraId="21AE6B75" w14:textId="788317F9" w:rsidR="0034029B" w:rsidRPr="0034029B" w:rsidRDefault="0034029B" w:rsidP="0034029B">
      <w:r w:rsidRPr="004643E0">
        <w:t xml:space="preserve">However, despite the </w:t>
      </w:r>
      <w:proofErr w:type="gramStart"/>
      <w:r w:rsidRPr="004643E0">
        <w:t>aforementioned limitations</w:t>
      </w:r>
      <w:proofErr w:type="gramEnd"/>
      <w:r w:rsidRPr="004643E0">
        <w:t>, the present study offers novel insights into PISA data, particularly regarding additional mathematics instruction methods. Interestingly, the distribution of these instructional methods differs between Slovenia and other participating countries. Additional research should address whether the adoption of various mathematics instruction methods and their usage impact students' mathematics achievements. Specifically, future research might investigate whether one method is more efficient than another, which could, in turn, significantly influence how additional mathematics instruction is delivered. Longitudinal studies would allow us to understand the long-term effects of specific methods of delivering additional instruction.</w:t>
      </w:r>
    </w:p>
    <w:p w14:paraId="0C83B7CB" w14:textId="61F1EB19" w:rsidR="00945896" w:rsidRPr="00945896" w:rsidRDefault="00945896" w:rsidP="003062C8">
      <w:pPr>
        <w:pStyle w:val="Heading2"/>
        <w:numPr>
          <w:ilvl w:val="0"/>
          <w:numId w:val="11"/>
        </w:numPr>
        <w:rPr>
          <w:lang w:val="en-US"/>
        </w:rPr>
      </w:pPr>
      <w:r>
        <w:rPr>
          <w:lang w:val="en-US"/>
        </w:rPr>
        <w:t>References</w:t>
      </w:r>
    </w:p>
    <w:p w14:paraId="0516AAA8" w14:textId="77777777" w:rsidR="000D004B" w:rsidRPr="000D004B" w:rsidRDefault="00945896" w:rsidP="000D004B">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0D004B" w:rsidRPr="000D004B">
        <w:rPr>
          <w:rFonts w:ascii="Calibri" w:hAnsi="Calibri" w:cs="Calibri"/>
        </w:rPr>
        <w:t xml:space="preserve">Andrade, M. S. (2020). Cross-cutting skills: Strategies for teaching &amp; learning. </w:t>
      </w:r>
      <w:r w:rsidR="000D004B" w:rsidRPr="000D004B">
        <w:rPr>
          <w:rFonts w:ascii="Calibri" w:hAnsi="Calibri" w:cs="Calibri"/>
          <w:i/>
          <w:iCs/>
        </w:rPr>
        <w:t>Higher Education Pedagogies</w:t>
      </w:r>
      <w:r w:rsidR="000D004B" w:rsidRPr="000D004B">
        <w:rPr>
          <w:rFonts w:ascii="Calibri" w:hAnsi="Calibri" w:cs="Calibri"/>
        </w:rPr>
        <w:t xml:space="preserve">, </w:t>
      </w:r>
      <w:r w:rsidR="000D004B" w:rsidRPr="000D004B">
        <w:rPr>
          <w:rFonts w:ascii="Calibri" w:hAnsi="Calibri" w:cs="Calibri"/>
          <w:i/>
          <w:iCs/>
        </w:rPr>
        <w:t>5</w:t>
      </w:r>
      <w:r w:rsidR="000D004B" w:rsidRPr="000D004B">
        <w:rPr>
          <w:rFonts w:ascii="Calibri" w:hAnsi="Calibri" w:cs="Calibri"/>
        </w:rPr>
        <w:t>(1), 165–181. https://doi.org/10.1080/23752696.2020.1810096</w:t>
      </w:r>
    </w:p>
    <w:p w14:paraId="519D983E" w14:textId="77777777" w:rsidR="000D004B" w:rsidRPr="000D004B" w:rsidRDefault="000D004B" w:rsidP="000D004B">
      <w:pPr>
        <w:pStyle w:val="Bibliography"/>
        <w:rPr>
          <w:rFonts w:ascii="Calibri" w:hAnsi="Calibri" w:cs="Calibri"/>
        </w:rPr>
      </w:pPr>
      <w:r w:rsidRPr="000D004B">
        <w:rPr>
          <w:rFonts w:ascii="Calibri" w:hAnsi="Calibri" w:cs="Calibri"/>
        </w:rPr>
        <w:t xml:space="preserve">Armah, S. E., Akayuure, P., &amp; Armah, R. B. (2020). A Comparative Study of Male and Female Distance Learners’ Mathematics Achievement. </w:t>
      </w:r>
      <w:r w:rsidRPr="000D004B">
        <w:rPr>
          <w:rFonts w:ascii="Calibri" w:hAnsi="Calibri" w:cs="Calibri"/>
          <w:i/>
          <w:iCs/>
        </w:rPr>
        <w:t>Contemporary Mathematics and Science Education</w:t>
      </w:r>
      <w:r w:rsidRPr="000D004B">
        <w:rPr>
          <w:rFonts w:ascii="Calibri" w:hAnsi="Calibri" w:cs="Calibri"/>
        </w:rPr>
        <w:t xml:space="preserve">, </w:t>
      </w:r>
      <w:r w:rsidRPr="000D004B">
        <w:rPr>
          <w:rFonts w:ascii="Calibri" w:hAnsi="Calibri" w:cs="Calibri"/>
          <w:i/>
          <w:iCs/>
        </w:rPr>
        <w:t>2</w:t>
      </w:r>
      <w:r w:rsidRPr="000D004B">
        <w:rPr>
          <w:rFonts w:ascii="Calibri" w:hAnsi="Calibri" w:cs="Calibri"/>
        </w:rPr>
        <w:t>(1), ep21001. https://doi.org/10.30935/conmaths/9288</w:t>
      </w:r>
    </w:p>
    <w:p w14:paraId="25E6589E" w14:textId="77777777" w:rsidR="000D004B" w:rsidRPr="000D004B" w:rsidRDefault="000D004B" w:rsidP="000D004B">
      <w:pPr>
        <w:pStyle w:val="Bibliography"/>
        <w:rPr>
          <w:rFonts w:ascii="Calibri" w:hAnsi="Calibri" w:cs="Calibri"/>
        </w:rPr>
      </w:pPr>
      <w:r w:rsidRPr="000D004B">
        <w:rPr>
          <w:rFonts w:ascii="Calibri" w:hAnsi="Calibri" w:cs="Calibri"/>
        </w:rPr>
        <w:t xml:space="preserve">Bieber, T., &amp; Martens, K. (2011). The OECD PISA Study as a Soft Power in Education? Lessons from Switzerland and the US. </w:t>
      </w:r>
      <w:r w:rsidRPr="000D004B">
        <w:rPr>
          <w:rFonts w:ascii="Calibri" w:hAnsi="Calibri" w:cs="Calibri"/>
          <w:i/>
          <w:iCs/>
        </w:rPr>
        <w:t>European Journal of Education</w:t>
      </w:r>
      <w:r w:rsidRPr="000D004B">
        <w:rPr>
          <w:rFonts w:ascii="Calibri" w:hAnsi="Calibri" w:cs="Calibri"/>
        </w:rPr>
        <w:t xml:space="preserve">, </w:t>
      </w:r>
      <w:r w:rsidRPr="000D004B">
        <w:rPr>
          <w:rFonts w:ascii="Calibri" w:hAnsi="Calibri" w:cs="Calibri"/>
          <w:i/>
          <w:iCs/>
        </w:rPr>
        <w:t>46</w:t>
      </w:r>
      <w:r w:rsidRPr="000D004B">
        <w:rPr>
          <w:rFonts w:ascii="Calibri" w:hAnsi="Calibri" w:cs="Calibri"/>
        </w:rPr>
        <w:t>(1), 101–116. https://doi.org/10.1111/j.1465-3435.2010.01462.x</w:t>
      </w:r>
    </w:p>
    <w:p w14:paraId="10E273ED" w14:textId="77777777" w:rsidR="000D004B" w:rsidRPr="000D004B" w:rsidRDefault="000D004B" w:rsidP="000D004B">
      <w:pPr>
        <w:pStyle w:val="Bibliography"/>
        <w:rPr>
          <w:rFonts w:ascii="Calibri" w:hAnsi="Calibri" w:cs="Calibri"/>
        </w:rPr>
      </w:pPr>
      <w:r w:rsidRPr="000D004B">
        <w:rPr>
          <w:rFonts w:ascii="Calibri" w:hAnsi="Calibri" w:cs="Calibri"/>
        </w:rPr>
        <w:t xml:space="preserve">Bonesrønning, H., Finseraas, H., Hardoy, I., Iversen, J. M. V., Nyhus, O. H., Opheim, V., Salvanes, K. V., Sandsør, A. M. J., &amp; Schøne, P. (2022). Small-group instruction to improve student performance in mathematics in early grades: Results from a randomized field experiment. </w:t>
      </w:r>
      <w:r w:rsidRPr="000D004B">
        <w:rPr>
          <w:rFonts w:ascii="Calibri" w:hAnsi="Calibri" w:cs="Calibri"/>
          <w:i/>
          <w:iCs/>
        </w:rPr>
        <w:t>Journal of Public Economics</w:t>
      </w:r>
      <w:r w:rsidRPr="000D004B">
        <w:rPr>
          <w:rFonts w:ascii="Calibri" w:hAnsi="Calibri" w:cs="Calibri"/>
        </w:rPr>
        <w:t xml:space="preserve">, </w:t>
      </w:r>
      <w:r w:rsidRPr="000D004B">
        <w:rPr>
          <w:rFonts w:ascii="Calibri" w:hAnsi="Calibri" w:cs="Calibri"/>
          <w:i/>
          <w:iCs/>
        </w:rPr>
        <w:t>216</w:t>
      </w:r>
      <w:r w:rsidRPr="000D004B">
        <w:rPr>
          <w:rFonts w:ascii="Calibri" w:hAnsi="Calibri" w:cs="Calibri"/>
        </w:rPr>
        <w:t>, 104765. https://doi.org/10.1016/j.jpubeco.2022.104765</w:t>
      </w:r>
    </w:p>
    <w:p w14:paraId="5A860C5C" w14:textId="77777777" w:rsidR="000D004B" w:rsidRPr="000D004B" w:rsidRDefault="000D004B" w:rsidP="000D004B">
      <w:pPr>
        <w:pStyle w:val="Bibliography"/>
        <w:rPr>
          <w:rFonts w:ascii="Calibri" w:hAnsi="Calibri" w:cs="Calibri"/>
        </w:rPr>
      </w:pPr>
      <w:r w:rsidRPr="000D004B">
        <w:rPr>
          <w:rFonts w:ascii="Calibri" w:hAnsi="Calibri" w:cs="Calibri"/>
        </w:rPr>
        <w:t xml:space="preserve">Borgonovi, F., &amp; Greiff, S. (2020). Societal level gender inequalities amplify gender gaps in problem solving more than in academic disciplines. </w:t>
      </w:r>
      <w:r w:rsidRPr="000D004B">
        <w:rPr>
          <w:rFonts w:ascii="Calibri" w:hAnsi="Calibri" w:cs="Calibri"/>
          <w:i/>
          <w:iCs/>
        </w:rPr>
        <w:t>Intelligence</w:t>
      </w:r>
      <w:r w:rsidRPr="000D004B">
        <w:rPr>
          <w:rFonts w:ascii="Calibri" w:hAnsi="Calibri" w:cs="Calibri"/>
        </w:rPr>
        <w:t xml:space="preserve">, </w:t>
      </w:r>
      <w:r w:rsidRPr="000D004B">
        <w:rPr>
          <w:rFonts w:ascii="Calibri" w:hAnsi="Calibri" w:cs="Calibri"/>
          <w:i/>
          <w:iCs/>
        </w:rPr>
        <w:t>79</w:t>
      </w:r>
      <w:r w:rsidRPr="000D004B">
        <w:rPr>
          <w:rFonts w:ascii="Calibri" w:hAnsi="Calibri" w:cs="Calibri"/>
        </w:rPr>
        <w:t>, 101422. https://doi.org/10.1016/j.intell.2019.101422</w:t>
      </w:r>
    </w:p>
    <w:p w14:paraId="63950747" w14:textId="77777777" w:rsidR="000D004B" w:rsidRPr="000D004B" w:rsidRDefault="000D004B" w:rsidP="000D004B">
      <w:pPr>
        <w:pStyle w:val="Bibliography"/>
        <w:rPr>
          <w:rFonts w:ascii="Calibri" w:hAnsi="Calibri" w:cs="Calibri"/>
        </w:rPr>
      </w:pPr>
      <w:r w:rsidRPr="000D004B">
        <w:rPr>
          <w:rFonts w:ascii="Calibri" w:hAnsi="Calibri" w:cs="Calibri"/>
        </w:rPr>
        <w:lastRenderedPageBreak/>
        <w:t xml:space="preserve">Carrillo, C., &amp; Flores, M. A. (2020). COVID-19 and teacher education: A literature review of online teaching and learning practices. </w:t>
      </w:r>
      <w:r w:rsidRPr="000D004B">
        <w:rPr>
          <w:rFonts w:ascii="Calibri" w:hAnsi="Calibri" w:cs="Calibri"/>
          <w:i/>
          <w:iCs/>
        </w:rPr>
        <w:t>European Journal of Teacher Education</w:t>
      </w:r>
      <w:r w:rsidRPr="000D004B">
        <w:rPr>
          <w:rFonts w:ascii="Calibri" w:hAnsi="Calibri" w:cs="Calibri"/>
        </w:rPr>
        <w:t xml:space="preserve">, </w:t>
      </w:r>
      <w:r w:rsidRPr="000D004B">
        <w:rPr>
          <w:rFonts w:ascii="Calibri" w:hAnsi="Calibri" w:cs="Calibri"/>
          <w:i/>
          <w:iCs/>
        </w:rPr>
        <w:t>43</w:t>
      </w:r>
      <w:r w:rsidRPr="000D004B">
        <w:rPr>
          <w:rFonts w:ascii="Calibri" w:hAnsi="Calibri" w:cs="Calibri"/>
        </w:rPr>
        <w:t>(4), 466–487. https://doi.org/10.1080/02619768.2020.1821184</w:t>
      </w:r>
    </w:p>
    <w:p w14:paraId="6745112C" w14:textId="77777777" w:rsidR="000D004B" w:rsidRPr="000D004B" w:rsidRDefault="000D004B" w:rsidP="000D004B">
      <w:pPr>
        <w:pStyle w:val="Bibliography"/>
        <w:rPr>
          <w:rFonts w:ascii="Calibri" w:hAnsi="Calibri" w:cs="Calibri"/>
        </w:rPr>
      </w:pPr>
      <w:r w:rsidRPr="000D004B">
        <w:rPr>
          <w:rFonts w:ascii="Calibri" w:hAnsi="Calibri" w:cs="Calibri"/>
        </w:rPr>
        <w:t xml:space="preserve">Chang, C.-M., Chou, Y.-H., Hsieh, H.-H., &amp; Huange, C.-K. (2020). The Effect of Participation Motivations on Interpersonal Relationships and Learning Achievement of Female College Students in Sports Club: Moderating Role of Club Involvement. </w:t>
      </w:r>
      <w:r w:rsidRPr="000D004B">
        <w:rPr>
          <w:rFonts w:ascii="Calibri" w:hAnsi="Calibri" w:cs="Calibri"/>
          <w:i/>
          <w:iCs/>
        </w:rPr>
        <w:t>International Journal of Environmental Research and Public Health</w:t>
      </w:r>
      <w:r w:rsidRPr="000D004B">
        <w:rPr>
          <w:rFonts w:ascii="Calibri" w:hAnsi="Calibri" w:cs="Calibri"/>
        </w:rPr>
        <w:t xml:space="preserve">, </w:t>
      </w:r>
      <w:r w:rsidRPr="000D004B">
        <w:rPr>
          <w:rFonts w:ascii="Calibri" w:hAnsi="Calibri" w:cs="Calibri"/>
          <w:i/>
          <w:iCs/>
        </w:rPr>
        <w:t>17</w:t>
      </w:r>
      <w:r w:rsidRPr="000D004B">
        <w:rPr>
          <w:rFonts w:ascii="Calibri" w:hAnsi="Calibri" w:cs="Calibri"/>
        </w:rPr>
        <w:t>(18), 6514. https://doi.org/10.3390/ijerph17186514</w:t>
      </w:r>
    </w:p>
    <w:p w14:paraId="5FB0B1C7" w14:textId="77777777" w:rsidR="000D004B" w:rsidRPr="000D004B" w:rsidRDefault="000D004B" w:rsidP="000D004B">
      <w:pPr>
        <w:pStyle w:val="Bibliography"/>
        <w:rPr>
          <w:rFonts w:ascii="Calibri" w:hAnsi="Calibri" w:cs="Calibri"/>
        </w:rPr>
      </w:pPr>
      <w:r w:rsidRPr="000D004B">
        <w:rPr>
          <w:rFonts w:ascii="Calibri" w:hAnsi="Calibri" w:cs="Calibri"/>
        </w:rPr>
        <w:t xml:space="preserve">Cheng, I., Basu, A., &amp; Goebel, R. (2009). Interactive Multimedia for Adaptive Online Education. </w:t>
      </w:r>
      <w:r w:rsidRPr="000D004B">
        <w:rPr>
          <w:rFonts w:ascii="Calibri" w:hAnsi="Calibri" w:cs="Calibri"/>
          <w:i/>
          <w:iCs/>
        </w:rPr>
        <w:t>IEEE Multimedia</w:t>
      </w:r>
      <w:r w:rsidRPr="000D004B">
        <w:rPr>
          <w:rFonts w:ascii="Calibri" w:hAnsi="Calibri" w:cs="Calibri"/>
        </w:rPr>
        <w:t xml:space="preserve">, </w:t>
      </w:r>
      <w:r w:rsidRPr="000D004B">
        <w:rPr>
          <w:rFonts w:ascii="Calibri" w:hAnsi="Calibri" w:cs="Calibri"/>
          <w:i/>
          <w:iCs/>
        </w:rPr>
        <w:t>16</w:t>
      </w:r>
      <w:r w:rsidRPr="000D004B">
        <w:rPr>
          <w:rFonts w:ascii="Calibri" w:hAnsi="Calibri" w:cs="Calibri"/>
        </w:rPr>
        <w:t>(1), 16–25. https://doi.org/10.1109/MMUL.2009.11</w:t>
      </w:r>
    </w:p>
    <w:p w14:paraId="18A1159C" w14:textId="77777777" w:rsidR="000D004B" w:rsidRPr="000D004B" w:rsidRDefault="000D004B" w:rsidP="000D004B">
      <w:pPr>
        <w:pStyle w:val="Bibliography"/>
        <w:rPr>
          <w:rFonts w:ascii="Calibri" w:hAnsi="Calibri" w:cs="Calibri"/>
        </w:rPr>
      </w:pPr>
      <w:r w:rsidRPr="000D004B">
        <w:rPr>
          <w:rFonts w:ascii="Calibri" w:hAnsi="Calibri" w:cs="Calibri"/>
        </w:rPr>
        <w:t xml:space="preserve">Cuder, A., Živković, M., Doz, E., Pellizzoni, S., &amp; Passolunghi, M. C. (2023). The relationship between math anxiety and math performance: The moderating role of visuospatial working memory. </w:t>
      </w:r>
      <w:r w:rsidRPr="000D004B">
        <w:rPr>
          <w:rFonts w:ascii="Calibri" w:hAnsi="Calibri" w:cs="Calibri"/>
          <w:i/>
          <w:iCs/>
        </w:rPr>
        <w:t>Journal of Experimental Child Psychology</w:t>
      </w:r>
      <w:r w:rsidRPr="000D004B">
        <w:rPr>
          <w:rFonts w:ascii="Calibri" w:hAnsi="Calibri" w:cs="Calibri"/>
        </w:rPr>
        <w:t xml:space="preserve">, </w:t>
      </w:r>
      <w:r w:rsidRPr="000D004B">
        <w:rPr>
          <w:rFonts w:ascii="Calibri" w:hAnsi="Calibri" w:cs="Calibri"/>
          <w:i/>
          <w:iCs/>
        </w:rPr>
        <w:t>233</w:t>
      </w:r>
      <w:r w:rsidRPr="000D004B">
        <w:rPr>
          <w:rFonts w:ascii="Calibri" w:hAnsi="Calibri" w:cs="Calibri"/>
        </w:rPr>
        <w:t>, 105688. https://doi.org/10.1016/j.jecp.2023.105688</w:t>
      </w:r>
    </w:p>
    <w:p w14:paraId="76C6ADE0" w14:textId="77777777" w:rsidR="000D004B" w:rsidRPr="000D004B" w:rsidRDefault="000D004B" w:rsidP="000D004B">
      <w:pPr>
        <w:pStyle w:val="Bibliography"/>
        <w:rPr>
          <w:rFonts w:ascii="Calibri" w:hAnsi="Calibri" w:cs="Calibri"/>
        </w:rPr>
      </w:pPr>
      <w:r w:rsidRPr="000D004B">
        <w:rPr>
          <w:rFonts w:ascii="Calibri" w:hAnsi="Calibri" w:cs="Calibri"/>
        </w:rPr>
        <w:t xml:space="preserve">Deutsch, N. L., Reitz-Krueger, C. L., Henneberger, A. K., Futch Ehrlich, V. A., &amp; Lawrence, E. C. (2017). “It Gave Me Ways to Solve Problems and Ways to Talk to People”: Outcomes From a Combined Group and One-on-One Mentoring Program for Early Adolescent Girls. </w:t>
      </w:r>
      <w:r w:rsidRPr="000D004B">
        <w:rPr>
          <w:rFonts w:ascii="Calibri" w:hAnsi="Calibri" w:cs="Calibri"/>
          <w:i/>
          <w:iCs/>
        </w:rPr>
        <w:t>Journal of Adolescent Research</w:t>
      </w:r>
      <w:r w:rsidRPr="000D004B">
        <w:rPr>
          <w:rFonts w:ascii="Calibri" w:hAnsi="Calibri" w:cs="Calibri"/>
        </w:rPr>
        <w:t xml:space="preserve">, </w:t>
      </w:r>
      <w:r w:rsidRPr="000D004B">
        <w:rPr>
          <w:rFonts w:ascii="Calibri" w:hAnsi="Calibri" w:cs="Calibri"/>
          <w:i/>
          <w:iCs/>
        </w:rPr>
        <w:t>32</w:t>
      </w:r>
      <w:r w:rsidRPr="000D004B">
        <w:rPr>
          <w:rFonts w:ascii="Calibri" w:hAnsi="Calibri" w:cs="Calibri"/>
        </w:rPr>
        <w:t>(3), 291–322. https://doi.org/10.1177/0743558416630813</w:t>
      </w:r>
    </w:p>
    <w:p w14:paraId="3F097106" w14:textId="77777777" w:rsidR="000D004B" w:rsidRPr="000D004B" w:rsidRDefault="000D004B" w:rsidP="000D004B">
      <w:pPr>
        <w:pStyle w:val="Bibliography"/>
        <w:rPr>
          <w:rFonts w:ascii="Calibri" w:hAnsi="Calibri" w:cs="Calibri"/>
        </w:rPr>
      </w:pPr>
      <w:r w:rsidRPr="000D004B">
        <w:rPr>
          <w:rFonts w:ascii="Calibri" w:hAnsi="Calibri" w:cs="Calibri"/>
        </w:rPr>
        <w:t xml:space="preserve">Guill, K., Lüdtke, O., &amp; Köller, O. (2020). Assessing the instructional quality of private tutoring and its effects on student outcomes: Analyses from the German National Educational Panel Study. </w:t>
      </w:r>
      <w:r w:rsidRPr="000D004B">
        <w:rPr>
          <w:rFonts w:ascii="Calibri" w:hAnsi="Calibri" w:cs="Calibri"/>
          <w:i/>
          <w:iCs/>
        </w:rPr>
        <w:t>British Journal of Educational Psychology</w:t>
      </w:r>
      <w:r w:rsidRPr="000D004B">
        <w:rPr>
          <w:rFonts w:ascii="Calibri" w:hAnsi="Calibri" w:cs="Calibri"/>
        </w:rPr>
        <w:t xml:space="preserve">, </w:t>
      </w:r>
      <w:r w:rsidRPr="000D004B">
        <w:rPr>
          <w:rFonts w:ascii="Calibri" w:hAnsi="Calibri" w:cs="Calibri"/>
          <w:i/>
          <w:iCs/>
        </w:rPr>
        <w:t>90</w:t>
      </w:r>
      <w:r w:rsidRPr="000D004B">
        <w:rPr>
          <w:rFonts w:ascii="Calibri" w:hAnsi="Calibri" w:cs="Calibri"/>
        </w:rPr>
        <w:t>(2), 282–300. https://doi.org/10.1111/bjep.12281</w:t>
      </w:r>
    </w:p>
    <w:p w14:paraId="6841B663" w14:textId="77777777" w:rsidR="000D004B" w:rsidRPr="000D004B" w:rsidRDefault="000D004B" w:rsidP="000D004B">
      <w:pPr>
        <w:pStyle w:val="Bibliography"/>
        <w:rPr>
          <w:rFonts w:ascii="Calibri" w:hAnsi="Calibri" w:cs="Calibri"/>
        </w:rPr>
      </w:pPr>
      <w:r w:rsidRPr="000D004B">
        <w:rPr>
          <w:rFonts w:ascii="Calibri" w:hAnsi="Calibri" w:cs="Calibri"/>
        </w:rPr>
        <w:t xml:space="preserve">Hawrot, A. (2024). Do School-Related Factors Affect Private Tutoring Attendance? Predictors of Private Tutoring in Maths and German among German Tenth-Graders. </w:t>
      </w:r>
      <w:r w:rsidRPr="000D004B">
        <w:rPr>
          <w:rFonts w:ascii="Calibri" w:hAnsi="Calibri" w:cs="Calibri"/>
          <w:i/>
          <w:iCs/>
        </w:rPr>
        <w:t>Research Papers in Education</w:t>
      </w:r>
      <w:r w:rsidRPr="000D004B">
        <w:rPr>
          <w:rFonts w:ascii="Calibri" w:hAnsi="Calibri" w:cs="Calibri"/>
        </w:rPr>
        <w:t xml:space="preserve">, </w:t>
      </w:r>
      <w:r w:rsidRPr="000D004B">
        <w:rPr>
          <w:rFonts w:ascii="Calibri" w:hAnsi="Calibri" w:cs="Calibri"/>
          <w:i/>
          <w:iCs/>
        </w:rPr>
        <w:t>39</w:t>
      </w:r>
      <w:r w:rsidRPr="000D004B">
        <w:rPr>
          <w:rFonts w:ascii="Calibri" w:hAnsi="Calibri" w:cs="Calibri"/>
        </w:rPr>
        <w:t>(1), 1–23. https://doi.org/10.1080/02671522.2022.2089209</w:t>
      </w:r>
    </w:p>
    <w:p w14:paraId="3BFEF18C" w14:textId="77777777" w:rsidR="000D004B" w:rsidRPr="000D004B" w:rsidRDefault="000D004B" w:rsidP="000D004B">
      <w:pPr>
        <w:pStyle w:val="Bibliography"/>
        <w:rPr>
          <w:rFonts w:ascii="Calibri" w:hAnsi="Calibri" w:cs="Calibri"/>
        </w:rPr>
      </w:pPr>
      <w:r w:rsidRPr="000D004B">
        <w:rPr>
          <w:rFonts w:ascii="Calibri" w:hAnsi="Calibri" w:cs="Calibri"/>
        </w:rPr>
        <w:t xml:space="preserve">Hopfenbeck, T. N., Lenkeit, J., El Masri, Y., Cantrell, K., Ryan, J., &amp; Baird, J.-A. (2018). Lessons Learned from PISA: A Systematic Review of Peer-Reviewed Articles on the Programme for International </w:t>
      </w:r>
      <w:r w:rsidRPr="000D004B">
        <w:rPr>
          <w:rFonts w:ascii="Calibri" w:hAnsi="Calibri" w:cs="Calibri"/>
        </w:rPr>
        <w:lastRenderedPageBreak/>
        <w:t xml:space="preserve">Student Assessment. </w:t>
      </w:r>
      <w:r w:rsidRPr="000D004B">
        <w:rPr>
          <w:rFonts w:ascii="Calibri" w:hAnsi="Calibri" w:cs="Calibri"/>
          <w:i/>
          <w:iCs/>
        </w:rPr>
        <w:t>Scandinavian Journal of Educational Research</w:t>
      </w:r>
      <w:r w:rsidRPr="000D004B">
        <w:rPr>
          <w:rFonts w:ascii="Calibri" w:hAnsi="Calibri" w:cs="Calibri"/>
        </w:rPr>
        <w:t xml:space="preserve">, </w:t>
      </w:r>
      <w:r w:rsidRPr="000D004B">
        <w:rPr>
          <w:rFonts w:ascii="Calibri" w:hAnsi="Calibri" w:cs="Calibri"/>
          <w:i/>
          <w:iCs/>
        </w:rPr>
        <w:t>62</w:t>
      </w:r>
      <w:r w:rsidRPr="000D004B">
        <w:rPr>
          <w:rFonts w:ascii="Calibri" w:hAnsi="Calibri" w:cs="Calibri"/>
        </w:rPr>
        <w:t>(3), 333–353. https://doi.org/10.1080/00313831.2016.1258726</w:t>
      </w:r>
    </w:p>
    <w:p w14:paraId="3E854BD2" w14:textId="77777777" w:rsidR="000D004B" w:rsidRPr="000D004B" w:rsidRDefault="000D004B" w:rsidP="000D004B">
      <w:pPr>
        <w:pStyle w:val="Bibliography"/>
        <w:rPr>
          <w:rFonts w:ascii="Calibri" w:hAnsi="Calibri" w:cs="Calibri"/>
        </w:rPr>
      </w:pPr>
      <w:r w:rsidRPr="000D004B">
        <w:rPr>
          <w:rFonts w:ascii="Calibri" w:hAnsi="Calibri" w:cs="Calibri"/>
        </w:rPr>
        <w:t xml:space="preserve">Hussein, M. H., Ow, S. H., Elaish, M. M., &amp; Jensen, E. O. (2022). Digital game-based learning in K-12 mathematics education: A systematic literature review. </w:t>
      </w:r>
      <w:r w:rsidRPr="000D004B">
        <w:rPr>
          <w:rFonts w:ascii="Calibri" w:hAnsi="Calibri" w:cs="Calibri"/>
          <w:i/>
          <w:iCs/>
        </w:rPr>
        <w:t>Education and Information Technologies</w:t>
      </w:r>
      <w:r w:rsidRPr="000D004B">
        <w:rPr>
          <w:rFonts w:ascii="Calibri" w:hAnsi="Calibri" w:cs="Calibri"/>
        </w:rPr>
        <w:t xml:space="preserve">, </w:t>
      </w:r>
      <w:r w:rsidRPr="000D004B">
        <w:rPr>
          <w:rFonts w:ascii="Calibri" w:hAnsi="Calibri" w:cs="Calibri"/>
          <w:i/>
          <w:iCs/>
        </w:rPr>
        <w:t>27</w:t>
      </w:r>
      <w:r w:rsidRPr="000D004B">
        <w:rPr>
          <w:rFonts w:ascii="Calibri" w:hAnsi="Calibri" w:cs="Calibri"/>
        </w:rPr>
        <w:t>(2), 2859–2891. https://doi.org/10.1007/s10639-021-10721-x</w:t>
      </w:r>
    </w:p>
    <w:p w14:paraId="1ABA8777" w14:textId="77777777" w:rsidR="000D004B" w:rsidRPr="000D004B" w:rsidRDefault="000D004B" w:rsidP="000D004B">
      <w:pPr>
        <w:pStyle w:val="Bibliography"/>
        <w:rPr>
          <w:rFonts w:ascii="Calibri" w:hAnsi="Calibri" w:cs="Calibri"/>
        </w:rPr>
      </w:pPr>
      <w:r w:rsidRPr="000D004B">
        <w:rPr>
          <w:rFonts w:ascii="Calibri" w:hAnsi="Calibri" w:cs="Calibri"/>
        </w:rPr>
        <w:t xml:space="preserve">Jerez, O., Orsini, C., Ortiz, C., &amp; Hasbun, B. (2021). Which conditions facilitate the effectiveness of large-group learning activities? A systematic review of research in higher education. </w:t>
      </w:r>
      <w:r w:rsidRPr="000D004B">
        <w:rPr>
          <w:rFonts w:ascii="Calibri" w:hAnsi="Calibri" w:cs="Calibri"/>
          <w:i/>
          <w:iCs/>
        </w:rPr>
        <w:t>Learning: Research and Practice</w:t>
      </w:r>
      <w:r w:rsidRPr="000D004B">
        <w:rPr>
          <w:rFonts w:ascii="Calibri" w:hAnsi="Calibri" w:cs="Calibri"/>
        </w:rPr>
        <w:t xml:space="preserve">, </w:t>
      </w:r>
      <w:r w:rsidRPr="000D004B">
        <w:rPr>
          <w:rFonts w:ascii="Calibri" w:hAnsi="Calibri" w:cs="Calibri"/>
          <w:i/>
          <w:iCs/>
        </w:rPr>
        <w:t>7</w:t>
      </w:r>
      <w:r w:rsidRPr="000D004B">
        <w:rPr>
          <w:rFonts w:ascii="Calibri" w:hAnsi="Calibri" w:cs="Calibri"/>
        </w:rPr>
        <w:t>(2), 147–164. https://doi.org/10.1080/23735082.2020.1871062</w:t>
      </w:r>
    </w:p>
    <w:p w14:paraId="00EBA159" w14:textId="77777777" w:rsidR="000D004B" w:rsidRPr="000D004B" w:rsidRDefault="000D004B" w:rsidP="000D004B">
      <w:pPr>
        <w:pStyle w:val="Bibliography"/>
        <w:rPr>
          <w:rFonts w:ascii="Calibri" w:hAnsi="Calibri" w:cs="Calibri"/>
        </w:rPr>
      </w:pPr>
      <w:r w:rsidRPr="000D004B">
        <w:rPr>
          <w:rFonts w:ascii="Calibri" w:hAnsi="Calibri" w:cs="Calibri"/>
        </w:rPr>
        <w:t xml:space="preserve">Jerrim, J., Lopez-Agudo, L. A., &amp; Marcenaro-Gutierrez, O. D. (2024). How Did Spain Perform In PISA 2018? New Estimates Of Children’s PISA Reading Scores </w:t>
      </w:r>
      <w:r w:rsidRPr="000D004B">
        <w:rPr>
          <w:rFonts w:ascii="Calibri" w:hAnsi="Calibri" w:cs="Calibri"/>
          <w:vertAlign w:val="superscript"/>
        </w:rPr>
        <w:t>*</w:t>
      </w:r>
      <w:r w:rsidRPr="000D004B">
        <w:rPr>
          <w:rFonts w:ascii="Calibri" w:hAnsi="Calibri" w:cs="Calibri"/>
        </w:rPr>
        <w:t xml:space="preserve">. </w:t>
      </w:r>
      <w:r w:rsidRPr="000D004B">
        <w:rPr>
          <w:rFonts w:ascii="Calibri" w:hAnsi="Calibri" w:cs="Calibri"/>
          <w:i/>
          <w:iCs/>
        </w:rPr>
        <w:t>British Journal of Educational Studies</w:t>
      </w:r>
      <w:r w:rsidRPr="000D004B">
        <w:rPr>
          <w:rFonts w:ascii="Calibri" w:hAnsi="Calibri" w:cs="Calibri"/>
        </w:rPr>
        <w:t xml:space="preserve">, </w:t>
      </w:r>
      <w:r w:rsidRPr="000D004B">
        <w:rPr>
          <w:rFonts w:ascii="Calibri" w:hAnsi="Calibri" w:cs="Calibri"/>
          <w:i/>
          <w:iCs/>
        </w:rPr>
        <w:t>72</w:t>
      </w:r>
      <w:r w:rsidRPr="000D004B">
        <w:rPr>
          <w:rFonts w:ascii="Calibri" w:hAnsi="Calibri" w:cs="Calibri"/>
        </w:rPr>
        <w:t>(2), 177–198. https://doi.org/10.1080/00071005.2023.2258184</w:t>
      </w:r>
    </w:p>
    <w:p w14:paraId="6A9980E3" w14:textId="77777777" w:rsidR="000D004B" w:rsidRPr="000D004B" w:rsidRDefault="000D004B" w:rsidP="000D004B">
      <w:pPr>
        <w:pStyle w:val="Bibliography"/>
        <w:rPr>
          <w:rFonts w:ascii="Calibri" w:hAnsi="Calibri" w:cs="Calibri"/>
        </w:rPr>
      </w:pPr>
      <w:r w:rsidRPr="000D004B">
        <w:rPr>
          <w:rFonts w:ascii="Calibri" w:hAnsi="Calibri" w:cs="Calibri"/>
        </w:rPr>
        <w:t xml:space="preserve">Kaldo, I., &amp; Õun, K. (2020). GENDER DIFFERENCES FAVOURING FEMALES IN LEARNING STRATEGIES IN MATHEMATICS. </w:t>
      </w:r>
      <w:r w:rsidRPr="000D004B">
        <w:rPr>
          <w:rFonts w:ascii="Calibri" w:hAnsi="Calibri" w:cs="Calibri"/>
          <w:i/>
          <w:iCs/>
        </w:rPr>
        <w:t>Problems of Education in the 21st Century</w:t>
      </w:r>
      <w:r w:rsidRPr="000D004B">
        <w:rPr>
          <w:rFonts w:ascii="Calibri" w:hAnsi="Calibri" w:cs="Calibri"/>
        </w:rPr>
        <w:t xml:space="preserve">, </w:t>
      </w:r>
      <w:r w:rsidRPr="000D004B">
        <w:rPr>
          <w:rFonts w:ascii="Calibri" w:hAnsi="Calibri" w:cs="Calibri"/>
          <w:i/>
          <w:iCs/>
        </w:rPr>
        <w:t>78</w:t>
      </w:r>
      <w:r w:rsidRPr="000D004B">
        <w:rPr>
          <w:rFonts w:ascii="Calibri" w:hAnsi="Calibri" w:cs="Calibri"/>
        </w:rPr>
        <w:t>(4), 595–611. https://doi.org/10.33225/pec/20.78.595</w:t>
      </w:r>
    </w:p>
    <w:p w14:paraId="1DF26F17" w14:textId="77777777" w:rsidR="000D004B" w:rsidRPr="000D004B" w:rsidRDefault="000D004B" w:rsidP="000D004B">
      <w:pPr>
        <w:pStyle w:val="Bibliography"/>
        <w:rPr>
          <w:rFonts w:ascii="Calibri" w:hAnsi="Calibri" w:cs="Calibri"/>
        </w:rPr>
      </w:pPr>
      <w:r w:rsidRPr="000D004B">
        <w:rPr>
          <w:rFonts w:ascii="Calibri" w:hAnsi="Calibri" w:cs="Calibri"/>
        </w:rPr>
        <w:t xml:space="preserve">Kirsch, I., Lennon, M., Von Davier, M., Gonzalez, E., &amp; Yamamoto, K. (2013). On the Growing Importance of International Large-Scale Assessments. In M. Von Davier, E. Gonzalez, I. Kirsch, &amp; K. Yamamoto (Eds.), </w:t>
      </w:r>
      <w:r w:rsidRPr="000D004B">
        <w:rPr>
          <w:rFonts w:ascii="Calibri" w:hAnsi="Calibri" w:cs="Calibri"/>
          <w:i/>
          <w:iCs/>
        </w:rPr>
        <w:t>The Role of International Large-Scale Assessments: Perspectives from Technology, Economy, and Educational Research</w:t>
      </w:r>
      <w:r w:rsidRPr="000D004B">
        <w:rPr>
          <w:rFonts w:ascii="Calibri" w:hAnsi="Calibri" w:cs="Calibri"/>
        </w:rPr>
        <w:t xml:space="preserve"> (pp. 1–11). Springer Netherlands. https://doi.org/10.1007/978-94-007-4629-9_1</w:t>
      </w:r>
    </w:p>
    <w:p w14:paraId="789C9680" w14:textId="77777777" w:rsidR="000D004B" w:rsidRPr="000D004B" w:rsidRDefault="000D004B" w:rsidP="000D004B">
      <w:pPr>
        <w:pStyle w:val="Bibliography"/>
        <w:rPr>
          <w:rFonts w:ascii="Calibri" w:hAnsi="Calibri" w:cs="Calibri"/>
        </w:rPr>
      </w:pPr>
      <w:r w:rsidRPr="000D004B">
        <w:rPr>
          <w:rFonts w:ascii="Calibri" w:hAnsi="Calibri" w:cs="Calibri"/>
        </w:rPr>
        <w:t xml:space="preserve">Kochmanski, N., &amp; Cobb, P. (2023). Identifying and Negotiating Productive Instructional Improvement Goals in One-on-One Mathematics Coaching. </w:t>
      </w:r>
      <w:r w:rsidRPr="000D004B">
        <w:rPr>
          <w:rFonts w:ascii="Calibri" w:hAnsi="Calibri" w:cs="Calibri"/>
          <w:i/>
          <w:iCs/>
        </w:rPr>
        <w:t>Journal of Teacher Education</w:t>
      </w:r>
      <w:r w:rsidRPr="000D004B">
        <w:rPr>
          <w:rFonts w:ascii="Calibri" w:hAnsi="Calibri" w:cs="Calibri"/>
        </w:rPr>
        <w:t xml:space="preserve">, </w:t>
      </w:r>
      <w:r w:rsidRPr="000D004B">
        <w:rPr>
          <w:rFonts w:ascii="Calibri" w:hAnsi="Calibri" w:cs="Calibri"/>
          <w:i/>
          <w:iCs/>
        </w:rPr>
        <w:t>74</w:t>
      </w:r>
      <w:r w:rsidRPr="000D004B">
        <w:rPr>
          <w:rFonts w:ascii="Calibri" w:hAnsi="Calibri" w:cs="Calibri"/>
        </w:rPr>
        <w:t>(5), 437–450. https://doi.org/10.1177/00224871221143124</w:t>
      </w:r>
    </w:p>
    <w:p w14:paraId="2A46A1D7" w14:textId="77777777" w:rsidR="000D004B" w:rsidRPr="000D004B" w:rsidRDefault="000D004B" w:rsidP="000D004B">
      <w:pPr>
        <w:pStyle w:val="Bibliography"/>
        <w:rPr>
          <w:rFonts w:ascii="Calibri" w:hAnsi="Calibri" w:cs="Calibri"/>
        </w:rPr>
      </w:pPr>
      <w:r w:rsidRPr="000D004B">
        <w:rPr>
          <w:rFonts w:ascii="Calibri" w:hAnsi="Calibri" w:cs="Calibri"/>
        </w:rPr>
        <w:t xml:space="preserve">Liao, X., &amp; Huang, X. (2018). Who is More Likely to Participate in Private Tutoring and Does it Work?: Evidence from PISA (2015). </w:t>
      </w:r>
      <w:r w:rsidRPr="000D004B">
        <w:rPr>
          <w:rFonts w:ascii="Calibri" w:hAnsi="Calibri" w:cs="Calibri"/>
          <w:i/>
          <w:iCs/>
        </w:rPr>
        <w:t>ECNU Review of Education</w:t>
      </w:r>
      <w:r w:rsidRPr="000D004B">
        <w:rPr>
          <w:rFonts w:ascii="Calibri" w:hAnsi="Calibri" w:cs="Calibri"/>
        </w:rPr>
        <w:t xml:space="preserve">, </w:t>
      </w:r>
      <w:r w:rsidRPr="000D004B">
        <w:rPr>
          <w:rFonts w:ascii="Calibri" w:hAnsi="Calibri" w:cs="Calibri"/>
          <w:i/>
          <w:iCs/>
        </w:rPr>
        <w:t>1</w:t>
      </w:r>
      <w:r w:rsidRPr="000D004B">
        <w:rPr>
          <w:rFonts w:ascii="Calibri" w:hAnsi="Calibri" w:cs="Calibri"/>
        </w:rPr>
        <w:t>(3), 69–95. https://doi.org/10.30926/ecnuroe2018010304</w:t>
      </w:r>
    </w:p>
    <w:p w14:paraId="72BB79F6" w14:textId="77777777" w:rsidR="000D004B" w:rsidRPr="000D004B" w:rsidRDefault="000D004B" w:rsidP="000D004B">
      <w:pPr>
        <w:pStyle w:val="Bibliography"/>
        <w:rPr>
          <w:rFonts w:ascii="Calibri" w:hAnsi="Calibri" w:cs="Calibri"/>
        </w:rPr>
      </w:pPr>
      <w:r w:rsidRPr="000D004B">
        <w:rPr>
          <w:rFonts w:ascii="Calibri" w:hAnsi="Calibri" w:cs="Calibri"/>
        </w:rPr>
        <w:lastRenderedPageBreak/>
        <w:t xml:space="preserve">Lingard, B., &amp; Sellar, S. (2013). Globalisation and Sociology of Education Policy: The Case of PISA. In R. Brooks, M. McCormack, &amp; K. Bhopal (Eds.), </w:t>
      </w:r>
      <w:r w:rsidRPr="000D004B">
        <w:rPr>
          <w:rFonts w:ascii="Calibri" w:hAnsi="Calibri" w:cs="Calibri"/>
          <w:i/>
          <w:iCs/>
        </w:rPr>
        <w:t>Contemporary Debates in the Sociology of Education</w:t>
      </w:r>
      <w:r w:rsidRPr="000D004B">
        <w:rPr>
          <w:rFonts w:ascii="Calibri" w:hAnsi="Calibri" w:cs="Calibri"/>
        </w:rPr>
        <w:t xml:space="preserve"> (pp. 19–38). Palgrave Macmillan UK. https://doi.org/10.1057/9781137269881_2</w:t>
      </w:r>
    </w:p>
    <w:p w14:paraId="1D42CFCD" w14:textId="77777777" w:rsidR="000D004B" w:rsidRPr="000D004B" w:rsidRDefault="000D004B" w:rsidP="000D004B">
      <w:pPr>
        <w:pStyle w:val="Bibliography"/>
        <w:rPr>
          <w:rFonts w:ascii="Calibri" w:hAnsi="Calibri" w:cs="Calibri"/>
        </w:rPr>
      </w:pPr>
      <w:r w:rsidRPr="000D004B">
        <w:rPr>
          <w:rFonts w:ascii="Calibri" w:hAnsi="Calibri" w:cs="Calibri"/>
        </w:rPr>
        <w:t xml:space="preserve">Lipovec, A., Arcet, B., Güler, O., &amp; Putzlocher, M. (2023). Cross-National Analysis of Educational Video Characteristics. In A. Lipovec &amp; J. Tekavc, </w:t>
      </w:r>
      <w:r w:rsidRPr="000D004B">
        <w:rPr>
          <w:rFonts w:ascii="Calibri" w:hAnsi="Calibri" w:cs="Calibri"/>
          <w:i/>
          <w:iCs/>
        </w:rPr>
        <w:t>Perspectives on Teacher Education and Development</w:t>
      </w:r>
      <w:r w:rsidRPr="000D004B">
        <w:rPr>
          <w:rFonts w:ascii="Calibri" w:hAnsi="Calibri" w:cs="Calibri"/>
        </w:rPr>
        <w:t xml:space="preserve"> (pp. 466–486). University of Maribor, University Press. https://doi.org/10.18690/um.pef.1.2023.25</w:t>
      </w:r>
    </w:p>
    <w:p w14:paraId="272AA1A6" w14:textId="77777777" w:rsidR="000D004B" w:rsidRPr="000D004B" w:rsidRDefault="000D004B" w:rsidP="000D004B">
      <w:pPr>
        <w:pStyle w:val="Bibliography"/>
        <w:rPr>
          <w:rFonts w:ascii="Calibri" w:hAnsi="Calibri" w:cs="Calibri"/>
        </w:rPr>
      </w:pPr>
      <w:r w:rsidRPr="000D004B">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0D004B">
        <w:rPr>
          <w:rFonts w:ascii="Calibri" w:hAnsi="Calibri" w:cs="Calibri"/>
          <w:i/>
          <w:iCs/>
        </w:rPr>
        <w:t>Asian Journal of Education and Social Studies</w:t>
      </w:r>
      <w:r w:rsidRPr="000D004B">
        <w:rPr>
          <w:rFonts w:ascii="Calibri" w:hAnsi="Calibri" w:cs="Calibri"/>
        </w:rPr>
        <w:t xml:space="preserve">, </w:t>
      </w:r>
      <w:r w:rsidRPr="000D004B">
        <w:rPr>
          <w:rFonts w:ascii="Calibri" w:hAnsi="Calibri" w:cs="Calibri"/>
          <w:i/>
          <w:iCs/>
        </w:rPr>
        <w:t>49</w:t>
      </w:r>
      <w:r w:rsidRPr="000D004B">
        <w:rPr>
          <w:rFonts w:ascii="Calibri" w:hAnsi="Calibri" w:cs="Calibri"/>
        </w:rPr>
        <w:t>(4), 95–105. https://doi.org/10.9734/ajess/2023/v49i41191</w:t>
      </w:r>
    </w:p>
    <w:p w14:paraId="29881D4C" w14:textId="77777777" w:rsidR="000D004B" w:rsidRPr="000D004B" w:rsidRDefault="000D004B" w:rsidP="000D004B">
      <w:pPr>
        <w:pStyle w:val="Bibliography"/>
        <w:rPr>
          <w:rFonts w:ascii="Calibri" w:hAnsi="Calibri" w:cs="Calibri"/>
        </w:rPr>
      </w:pPr>
      <w:r w:rsidRPr="000D004B">
        <w:rPr>
          <w:rFonts w:ascii="Calibri" w:hAnsi="Calibri" w:cs="Calibri"/>
        </w:rPr>
        <w:t xml:space="preserve">Nusir, S., Alsmadi, I., Al-Kabi, M., &amp; Sharadgah, F. (2013). Studying the Impact of Using Multimedia Interactive Programs on Children’s Ability to Learn Basic Math Skills. </w:t>
      </w:r>
      <w:r w:rsidRPr="000D004B">
        <w:rPr>
          <w:rFonts w:ascii="Calibri" w:hAnsi="Calibri" w:cs="Calibri"/>
          <w:i/>
          <w:iCs/>
        </w:rPr>
        <w:t>E-Learning and Digital Media</w:t>
      </w:r>
      <w:r w:rsidRPr="000D004B">
        <w:rPr>
          <w:rFonts w:ascii="Calibri" w:hAnsi="Calibri" w:cs="Calibri"/>
        </w:rPr>
        <w:t xml:space="preserve">, </w:t>
      </w:r>
      <w:r w:rsidRPr="000D004B">
        <w:rPr>
          <w:rFonts w:ascii="Calibri" w:hAnsi="Calibri" w:cs="Calibri"/>
          <w:i/>
          <w:iCs/>
        </w:rPr>
        <w:t>10</w:t>
      </w:r>
      <w:r w:rsidRPr="000D004B">
        <w:rPr>
          <w:rFonts w:ascii="Calibri" w:hAnsi="Calibri" w:cs="Calibri"/>
        </w:rPr>
        <w:t>(3), 305–319. https://doi.org/10.2304/elea.2013.10.3.305</w:t>
      </w:r>
    </w:p>
    <w:p w14:paraId="65D8A4BB" w14:textId="77777777" w:rsidR="000D004B" w:rsidRPr="000D004B" w:rsidRDefault="000D004B" w:rsidP="000D004B">
      <w:pPr>
        <w:pStyle w:val="Bibliography"/>
        <w:rPr>
          <w:rFonts w:ascii="Calibri" w:hAnsi="Calibri" w:cs="Calibri"/>
        </w:rPr>
      </w:pPr>
      <w:r w:rsidRPr="000D004B">
        <w:rPr>
          <w:rFonts w:ascii="Calibri" w:hAnsi="Calibri" w:cs="Calibri"/>
        </w:rPr>
        <w:t xml:space="preserve">OECD. (2023a). </w:t>
      </w:r>
      <w:r w:rsidRPr="000D004B">
        <w:rPr>
          <w:rFonts w:ascii="Calibri" w:hAnsi="Calibri" w:cs="Calibri"/>
          <w:i/>
          <w:iCs/>
        </w:rPr>
        <w:t>COMPUTER-BASED STUDENT QUESTIONNAIRE FOR PISA 2022 Main Survey Version</w:t>
      </w:r>
      <w:r w:rsidRPr="000D004B">
        <w:rPr>
          <w:rFonts w:ascii="Calibri" w:hAnsi="Calibri" w:cs="Calibri"/>
        </w:rPr>
        <w:t xml:space="preserve"> (p. 70) [Dataset]. https://www.oecd.org/en/data/datasets/pisa-2022-database.html</w:t>
      </w:r>
    </w:p>
    <w:p w14:paraId="433475A5" w14:textId="77777777" w:rsidR="000D004B" w:rsidRPr="000D004B" w:rsidRDefault="000D004B" w:rsidP="000D004B">
      <w:pPr>
        <w:pStyle w:val="Bibliography"/>
        <w:rPr>
          <w:rFonts w:ascii="Calibri" w:hAnsi="Calibri" w:cs="Calibri"/>
        </w:rPr>
      </w:pPr>
      <w:r w:rsidRPr="000D004B">
        <w:rPr>
          <w:rFonts w:ascii="Calibri" w:hAnsi="Calibri" w:cs="Calibri"/>
        </w:rPr>
        <w:t xml:space="preserve">OECD. (2023b). </w:t>
      </w:r>
      <w:r w:rsidRPr="000D004B">
        <w:rPr>
          <w:rFonts w:ascii="Calibri" w:hAnsi="Calibri" w:cs="Calibri"/>
          <w:i/>
          <w:iCs/>
        </w:rPr>
        <w:t>PISA 2022 Assessment and Analytical Framework</w:t>
      </w:r>
      <w:r w:rsidRPr="000D004B">
        <w:rPr>
          <w:rFonts w:ascii="Calibri" w:hAnsi="Calibri" w:cs="Calibri"/>
        </w:rPr>
        <w:t>. OECD. https://doi.org/10.1787/dfe0bf9c-en</w:t>
      </w:r>
    </w:p>
    <w:p w14:paraId="4E92215E" w14:textId="77777777" w:rsidR="000D004B" w:rsidRPr="000D004B" w:rsidRDefault="000D004B" w:rsidP="000D004B">
      <w:pPr>
        <w:pStyle w:val="Bibliography"/>
        <w:rPr>
          <w:rFonts w:ascii="Calibri" w:hAnsi="Calibri" w:cs="Calibri"/>
        </w:rPr>
      </w:pPr>
      <w:r w:rsidRPr="000D004B">
        <w:rPr>
          <w:rFonts w:ascii="Calibri" w:hAnsi="Calibri" w:cs="Calibri"/>
        </w:rPr>
        <w:t xml:space="preserve">Ogbuehi, P. I., &amp; Fraser, B. J. (2007). Learning environment, attitudes and conceptual development associated with innovative strategies in middle-school mathematics. </w:t>
      </w:r>
      <w:r w:rsidRPr="000D004B">
        <w:rPr>
          <w:rFonts w:ascii="Calibri" w:hAnsi="Calibri" w:cs="Calibri"/>
          <w:i/>
          <w:iCs/>
        </w:rPr>
        <w:t>Learning Environments Research</w:t>
      </w:r>
      <w:r w:rsidRPr="000D004B">
        <w:rPr>
          <w:rFonts w:ascii="Calibri" w:hAnsi="Calibri" w:cs="Calibri"/>
        </w:rPr>
        <w:t xml:space="preserve">, </w:t>
      </w:r>
      <w:r w:rsidRPr="000D004B">
        <w:rPr>
          <w:rFonts w:ascii="Calibri" w:hAnsi="Calibri" w:cs="Calibri"/>
          <w:i/>
          <w:iCs/>
        </w:rPr>
        <w:t>10</w:t>
      </w:r>
      <w:r w:rsidRPr="000D004B">
        <w:rPr>
          <w:rFonts w:ascii="Calibri" w:hAnsi="Calibri" w:cs="Calibri"/>
        </w:rPr>
        <w:t>(2), 101–114. https://doi.org/10.1007/s10984-007-9026-z</w:t>
      </w:r>
    </w:p>
    <w:p w14:paraId="5716F89A" w14:textId="77777777" w:rsidR="000D004B" w:rsidRPr="000D004B" w:rsidRDefault="000D004B" w:rsidP="000D004B">
      <w:pPr>
        <w:pStyle w:val="Bibliography"/>
        <w:rPr>
          <w:rFonts w:ascii="Calibri" w:hAnsi="Calibri" w:cs="Calibri"/>
        </w:rPr>
      </w:pPr>
      <w:r w:rsidRPr="000D004B">
        <w:rPr>
          <w:rFonts w:ascii="Calibri" w:hAnsi="Calibri" w:cs="Calibri"/>
        </w:rPr>
        <w:t xml:space="preserve">Pardo, A., Jovanovic, J., Dawson, S., Gašević, D., &amp; Mirriahi, N. (2019). Using learning analytics to scale the provision of personalised feedback. </w:t>
      </w:r>
      <w:r w:rsidRPr="000D004B">
        <w:rPr>
          <w:rFonts w:ascii="Calibri" w:hAnsi="Calibri" w:cs="Calibri"/>
          <w:i/>
          <w:iCs/>
        </w:rPr>
        <w:t>British Journal of Educational Technology</w:t>
      </w:r>
      <w:r w:rsidRPr="000D004B">
        <w:rPr>
          <w:rFonts w:ascii="Calibri" w:hAnsi="Calibri" w:cs="Calibri"/>
        </w:rPr>
        <w:t xml:space="preserve">, </w:t>
      </w:r>
      <w:r w:rsidRPr="000D004B">
        <w:rPr>
          <w:rFonts w:ascii="Calibri" w:hAnsi="Calibri" w:cs="Calibri"/>
          <w:i/>
          <w:iCs/>
        </w:rPr>
        <w:t>50</w:t>
      </w:r>
      <w:r w:rsidRPr="000D004B">
        <w:rPr>
          <w:rFonts w:ascii="Calibri" w:hAnsi="Calibri" w:cs="Calibri"/>
        </w:rPr>
        <w:t>(1), 128–138. https://doi.org/10.1111/bjet.12592</w:t>
      </w:r>
    </w:p>
    <w:p w14:paraId="274C038A" w14:textId="77777777" w:rsidR="000D004B" w:rsidRPr="000D004B" w:rsidRDefault="000D004B" w:rsidP="000D004B">
      <w:pPr>
        <w:pStyle w:val="Bibliography"/>
        <w:rPr>
          <w:rFonts w:ascii="Calibri" w:hAnsi="Calibri" w:cs="Calibri"/>
        </w:rPr>
      </w:pPr>
      <w:r w:rsidRPr="000D004B">
        <w:rPr>
          <w:rFonts w:ascii="Calibri" w:hAnsi="Calibri" w:cs="Calibri"/>
        </w:rPr>
        <w:t xml:space="preserve">Pervaz Iqbal, M., Velan, G. M., O’Sullivan, A. J., &amp; Balasooriya, C. (2020). The collaborative learning development exercise (CLeD-EX): An educational instrument to promote key collaborative </w:t>
      </w:r>
      <w:r w:rsidRPr="000D004B">
        <w:rPr>
          <w:rFonts w:ascii="Calibri" w:hAnsi="Calibri" w:cs="Calibri"/>
        </w:rPr>
        <w:lastRenderedPageBreak/>
        <w:t xml:space="preserve">learning behaviours in medical students. </w:t>
      </w:r>
      <w:r w:rsidRPr="000D004B">
        <w:rPr>
          <w:rFonts w:ascii="Calibri" w:hAnsi="Calibri" w:cs="Calibri"/>
          <w:i/>
          <w:iCs/>
        </w:rPr>
        <w:t>BMC Medical Education</w:t>
      </w:r>
      <w:r w:rsidRPr="000D004B">
        <w:rPr>
          <w:rFonts w:ascii="Calibri" w:hAnsi="Calibri" w:cs="Calibri"/>
        </w:rPr>
        <w:t xml:space="preserve">, </w:t>
      </w:r>
      <w:r w:rsidRPr="000D004B">
        <w:rPr>
          <w:rFonts w:ascii="Calibri" w:hAnsi="Calibri" w:cs="Calibri"/>
          <w:i/>
          <w:iCs/>
        </w:rPr>
        <w:t>20</w:t>
      </w:r>
      <w:r w:rsidRPr="000D004B">
        <w:rPr>
          <w:rFonts w:ascii="Calibri" w:hAnsi="Calibri" w:cs="Calibri"/>
        </w:rPr>
        <w:t>(1), 62. https://doi.org/10.1186/s12909-020-1977-0</w:t>
      </w:r>
    </w:p>
    <w:p w14:paraId="2A308593" w14:textId="77777777" w:rsidR="000D004B" w:rsidRPr="000D004B" w:rsidRDefault="000D004B" w:rsidP="000D004B">
      <w:pPr>
        <w:pStyle w:val="Bibliography"/>
        <w:rPr>
          <w:rFonts w:ascii="Calibri" w:hAnsi="Calibri" w:cs="Calibri"/>
        </w:rPr>
      </w:pPr>
      <w:r w:rsidRPr="000D004B">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0D004B">
        <w:rPr>
          <w:rFonts w:ascii="Calibri" w:hAnsi="Calibri" w:cs="Calibri"/>
          <w:i/>
          <w:iCs/>
        </w:rPr>
        <w:t>Frontiers in Psychology</w:t>
      </w:r>
      <w:r w:rsidRPr="000D004B">
        <w:rPr>
          <w:rFonts w:ascii="Calibri" w:hAnsi="Calibri" w:cs="Calibri"/>
        </w:rPr>
        <w:t xml:space="preserve">, </w:t>
      </w:r>
      <w:r w:rsidRPr="000D004B">
        <w:rPr>
          <w:rFonts w:ascii="Calibri" w:hAnsi="Calibri" w:cs="Calibri"/>
          <w:i/>
          <w:iCs/>
        </w:rPr>
        <w:t>14</w:t>
      </w:r>
      <w:r w:rsidRPr="000D004B">
        <w:rPr>
          <w:rFonts w:ascii="Calibri" w:hAnsi="Calibri" w:cs="Calibri"/>
        </w:rPr>
        <w:t>, 1185677. https://doi.org/10.3389/fpsyg.2023.1185677</w:t>
      </w:r>
    </w:p>
    <w:p w14:paraId="228113F9" w14:textId="77777777" w:rsidR="000D004B" w:rsidRPr="000D004B" w:rsidRDefault="000D004B" w:rsidP="000D004B">
      <w:pPr>
        <w:pStyle w:val="Bibliography"/>
        <w:rPr>
          <w:rFonts w:ascii="Calibri" w:hAnsi="Calibri" w:cs="Calibri"/>
        </w:rPr>
      </w:pPr>
      <w:r w:rsidRPr="000D004B">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0D004B">
        <w:rPr>
          <w:rFonts w:ascii="Calibri" w:hAnsi="Calibri" w:cs="Calibri"/>
          <w:i/>
          <w:iCs/>
        </w:rPr>
        <w:t>International Journal of Advanced Research</w:t>
      </w:r>
      <w:r w:rsidRPr="000D004B">
        <w:rPr>
          <w:rFonts w:ascii="Calibri" w:hAnsi="Calibri" w:cs="Calibri"/>
        </w:rPr>
        <w:t xml:space="preserve">, </w:t>
      </w:r>
      <w:r w:rsidRPr="000D004B">
        <w:rPr>
          <w:rFonts w:ascii="Calibri" w:hAnsi="Calibri" w:cs="Calibri"/>
          <w:i/>
          <w:iCs/>
        </w:rPr>
        <w:t>11</w:t>
      </w:r>
      <w:r w:rsidRPr="000D004B">
        <w:rPr>
          <w:rFonts w:ascii="Calibri" w:hAnsi="Calibri" w:cs="Calibri"/>
        </w:rPr>
        <w:t>(05), 989–995. https://doi.org/10.21474/IJAR01/16955</w:t>
      </w:r>
    </w:p>
    <w:p w14:paraId="4CE7FA71" w14:textId="77777777" w:rsidR="000D004B" w:rsidRPr="000D004B" w:rsidRDefault="000D004B" w:rsidP="000D004B">
      <w:pPr>
        <w:pStyle w:val="Bibliography"/>
        <w:rPr>
          <w:rFonts w:ascii="Calibri" w:hAnsi="Calibri" w:cs="Calibri"/>
        </w:rPr>
      </w:pPr>
      <w:r w:rsidRPr="000D004B">
        <w:rPr>
          <w:rFonts w:ascii="Calibri" w:hAnsi="Calibri" w:cs="Calibri"/>
        </w:rPr>
        <w:t xml:space="preserve">Ramirez, F. O., Schofer, E., &amp; Meyer, J. W. (2018). International Tests, National Assessments, and Educational Development (1970–2012). </w:t>
      </w:r>
      <w:r w:rsidRPr="000D004B">
        <w:rPr>
          <w:rFonts w:ascii="Calibri" w:hAnsi="Calibri" w:cs="Calibri"/>
          <w:i/>
          <w:iCs/>
        </w:rPr>
        <w:t>Comparative Education Review</w:t>
      </w:r>
      <w:r w:rsidRPr="000D004B">
        <w:rPr>
          <w:rFonts w:ascii="Calibri" w:hAnsi="Calibri" w:cs="Calibri"/>
        </w:rPr>
        <w:t xml:space="preserve">, </w:t>
      </w:r>
      <w:r w:rsidRPr="000D004B">
        <w:rPr>
          <w:rFonts w:ascii="Calibri" w:hAnsi="Calibri" w:cs="Calibri"/>
          <w:i/>
          <w:iCs/>
        </w:rPr>
        <w:t>62</w:t>
      </w:r>
      <w:r w:rsidRPr="000D004B">
        <w:rPr>
          <w:rFonts w:ascii="Calibri" w:hAnsi="Calibri" w:cs="Calibri"/>
        </w:rPr>
        <w:t>(3), 344–364. https://doi.org/10.1086/698326</w:t>
      </w:r>
    </w:p>
    <w:p w14:paraId="7A7FA9B9" w14:textId="77777777" w:rsidR="000D004B" w:rsidRPr="000D004B" w:rsidRDefault="000D004B" w:rsidP="000D004B">
      <w:pPr>
        <w:pStyle w:val="Bibliography"/>
        <w:rPr>
          <w:rFonts w:ascii="Calibri" w:hAnsi="Calibri" w:cs="Calibri"/>
        </w:rPr>
      </w:pPr>
      <w:r w:rsidRPr="000D004B">
        <w:rPr>
          <w:rFonts w:ascii="Calibri" w:hAnsi="Calibri" w:cs="Calibri"/>
        </w:rPr>
        <w:t xml:space="preserve">Ramos, A., Lavrijsen, J., Linnenbrink-Garcia, L., Soenens, B., Vansteenkiste, M., Sypré, S., Boncquet, M., &amp; Verschueren, K. (2023). Motivational Pathways Underlying Gifted Underachievement: Trajectory Classes, Longitudinal Outcomes, and Predicting Factors. </w:t>
      </w:r>
      <w:r w:rsidRPr="000D004B">
        <w:rPr>
          <w:rFonts w:ascii="Calibri" w:hAnsi="Calibri" w:cs="Calibri"/>
          <w:i/>
          <w:iCs/>
        </w:rPr>
        <w:t>Gifted Child Quarterly</w:t>
      </w:r>
      <w:r w:rsidRPr="000D004B">
        <w:rPr>
          <w:rFonts w:ascii="Calibri" w:hAnsi="Calibri" w:cs="Calibri"/>
        </w:rPr>
        <w:t xml:space="preserve">, </w:t>
      </w:r>
      <w:r w:rsidRPr="000D004B">
        <w:rPr>
          <w:rFonts w:ascii="Calibri" w:hAnsi="Calibri" w:cs="Calibri"/>
          <w:i/>
          <w:iCs/>
        </w:rPr>
        <w:t>67</w:t>
      </w:r>
      <w:r w:rsidRPr="000D004B">
        <w:rPr>
          <w:rFonts w:ascii="Calibri" w:hAnsi="Calibri" w:cs="Calibri"/>
        </w:rPr>
        <w:t>(3), 179–197. https://doi.org/10.1177/00169862221132279</w:t>
      </w:r>
    </w:p>
    <w:p w14:paraId="0E9F14E6" w14:textId="77777777" w:rsidR="000D004B" w:rsidRPr="000D004B" w:rsidRDefault="000D004B" w:rsidP="000D004B">
      <w:pPr>
        <w:pStyle w:val="Bibliography"/>
        <w:rPr>
          <w:rFonts w:ascii="Calibri" w:hAnsi="Calibri" w:cs="Calibri"/>
        </w:rPr>
      </w:pPr>
      <w:r w:rsidRPr="000D004B">
        <w:rPr>
          <w:rFonts w:ascii="Calibri" w:hAnsi="Calibri" w:cs="Calibri"/>
        </w:rPr>
        <w:t xml:space="preserve">Rojko, K. (2020). INNOVATIVE LEARNING AND TEACHING IN HIGHER EDUCATION SUPPORTED BY WEB PLATFORMS AND APPLICATIONS. </w:t>
      </w:r>
      <w:r w:rsidRPr="000D004B">
        <w:rPr>
          <w:rFonts w:ascii="Calibri" w:hAnsi="Calibri" w:cs="Calibri"/>
          <w:i/>
          <w:iCs/>
        </w:rPr>
        <w:t>Zbornik Radova Međunarodne Naučne Konferencije o Digitalnoj Ekonomiji DIEC</w:t>
      </w:r>
      <w:r w:rsidRPr="000D004B">
        <w:rPr>
          <w:rFonts w:ascii="Calibri" w:hAnsi="Calibri" w:cs="Calibri"/>
        </w:rPr>
        <w:t xml:space="preserve">, </w:t>
      </w:r>
      <w:r w:rsidRPr="000D004B">
        <w:rPr>
          <w:rFonts w:ascii="Calibri" w:hAnsi="Calibri" w:cs="Calibri"/>
          <w:i/>
          <w:iCs/>
        </w:rPr>
        <w:t>3</w:t>
      </w:r>
      <w:r w:rsidRPr="000D004B">
        <w:rPr>
          <w:rFonts w:ascii="Calibri" w:hAnsi="Calibri" w:cs="Calibri"/>
        </w:rPr>
        <w:t>(3), 67–80.</w:t>
      </w:r>
    </w:p>
    <w:p w14:paraId="07F1643F" w14:textId="77777777" w:rsidR="000D004B" w:rsidRPr="000D004B" w:rsidRDefault="000D004B" w:rsidP="000D004B">
      <w:pPr>
        <w:pStyle w:val="Bibliography"/>
        <w:rPr>
          <w:rFonts w:ascii="Calibri" w:hAnsi="Calibri" w:cs="Calibri"/>
        </w:rPr>
      </w:pPr>
      <w:r w:rsidRPr="000D004B">
        <w:rPr>
          <w:rFonts w:ascii="Calibri" w:hAnsi="Calibri" w:cs="Calibri"/>
        </w:rPr>
        <w:t xml:space="preserve">Ronksley-Pavia, M., &amp; Neumann, M. M. (2020). Conceptualising Gifted Student (Dis) Engagement through the Lens of Learner (Re) Engagement. </w:t>
      </w:r>
      <w:r w:rsidRPr="000D004B">
        <w:rPr>
          <w:rFonts w:ascii="Calibri" w:hAnsi="Calibri" w:cs="Calibri"/>
          <w:i/>
          <w:iCs/>
        </w:rPr>
        <w:t>Education Sciences</w:t>
      </w:r>
      <w:r w:rsidRPr="000D004B">
        <w:rPr>
          <w:rFonts w:ascii="Calibri" w:hAnsi="Calibri" w:cs="Calibri"/>
        </w:rPr>
        <w:t xml:space="preserve">, </w:t>
      </w:r>
      <w:r w:rsidRPr="000D004B">
        <w:rPr>
          <w:rFonts w:ascii="Calibri" w:hAnsi="Calibri" w:cs="Calibri"/>
          <w:i/>
          <w:iCs/>
        </w:rPr>
        <w:t>10</w:t>
      </w:r>
      <w:r w:rsidRPr="000D004B">
        <w:rPr>
          <w:rFonts w:ascii="Calibri" w:hAnsi="Calibri" w:cs="Calibri"/>
        </w:rPr>
        <w:t>(10), 274. https://doi.org/10.3390/educsci10100274</w:t>
      </w:r>
    </w:p>
    <w:p w14:paraId="529F6A33" w14:textId="77777777" w:rsidR="000D004B" w:rsidRPr="000D004B" w:rsidRDefault="000D004B" w:rsidP="000D004B">
      <w:pPr>
        <w:pStyle w:val="Bibliography"/>
        <w:rPr>
          <w:rFonts w:ascii="Calibri" w:hAnsi="Calibri" w:cs="Calibri"/>
        </w:rPr>
      </w:pPr>
      <w:r w:rsidRPr="000D004B">
        <w:rPr>
          <w:rFonts w:ascii="Calibri" w:hAnsi="Calibri" w:cs="Calibri"/>
        </w:rPr>
        <w:t xml:space="preserve">Saha, J., Ahmmed, S., Ali, M., Tamal, M. A., &amp; Rezaul, K. M. (2020). ICT Based Mathematics Skill Development Program: An Initiative to Overcome Mathematics Anxiety. </w:t>
      </w:r>
      <w:r w:rsidRPr="000D004B">
        <w:rPr>
          <w:rFonts w:ascii="Calibri" w:hAnsi="Calibri" w:cs="Calibri"/>
          <w:i/>
          <w:iCs/>
        </w:rPr>
        <w:t xml:space="preserve">International Journal </w:t>
      </w:r>
      <w:r w:rsidRPr="000D004B">
        <w:rPr>
          <w:rFonts w:ascii="Calibri" w:hAnsi="Calibri" w:cs="Calibri"/>
          <w:i/>
          <w:iCs/>
        </w:rPr>
        <w:lastRenderedPageBreak/>
        <w:t>of Emerging Technologies in Learning (iJET)</w:t>
      </w:r>
      <w:r w:rsidRPr="000D004B">
        <w:rPr>
          <w:rFonts w:ascii="Calibri" w:hAnsi="Calibri" w:cs="Calibri"/>
        </w:rPr>
        <w:t xml:space="preserve">, </w:t>
      </w:r>
      <w:r w:rsidRPr="000D004B">
        <w:rPr>
          <w:rFonts w:ascii="Calibri" w:hAnsi="Calibri" w:cs="Calibri"/>
          <w:i/>
          <w:iCs/>
        </w:rPr>
        <w:t>15</w:t>
      </w:r>
      <w:r w:rsidRPr="000D004B">
        <w:rPr>
          <w:rFonts w:ascii="Calibri" w:hAnsi="Calibri" w:cs="Calibri"/>
        </w:rPr>
        <w:t>(14), 252. https://doi.org/10.3991/ijet.v15i14.14149</w:t>
      </w:r>
    </w:p>
    <w:p w14:paraId="48BA11E6" w14:textId="77777777" w:rsidR="000D004B" w:rsidRPr="000D004B" w:rsidRDefault="000D004B" w:rsidP="000D004B">
      <w:pPr>
        <w:pStyle w:val="Bibliography"/>
        <w:rPr>
          <w:rFonts w:ascii="Calibri" w:hAnsi="Calibri" w:cs="Calibri"/>
        </w:rPr>
      </w:pPr>
      <w:r w:rsidRPr="000D004B">
        <w:rPr>
          <w:rFonts w:ascii="Calibri" w:hAnsi="Calibri" w:cs="Calibri"/>
        </w:rPr>
        <w:t xml:space="preserve">Satsangi, R., &amp; Sigmon, S. D. (2023). Teaching Multiplicative Thinking With Virtual Representations to Children With Mathematics Difficulty. </w:t>
      </w:r>
      <w:r w:rsidRPr="000D004B">
        <w:rPr>
          <w:rFonts w:ascii="Calibri" w:hAnsi="Calibri" w:cs="Calibri"/>
          <w:i/>
          <w:iCs/>
        </w:rPr>
        <w:t>Remedial and Special Education</w:t>
      </w:r>
      <w:r w:rsidRPr="000D004B">
        <w:rPr>
          <w:rFonts w:ascii="Calibri" w:hAnsi="Calibri" w:cs="Calibri"/>
        </w:rPr>
        <w:t>, 07419325231206483. https://doi.org/10.1177/07419325231206483</w:t>
      </w:r>
    </w:p>
    <w:p w14:paraId="254D898F" w14:textId="77777777" w:rsidR="000D004B" w:rsidRPr="000D004B" w:rsidRDefault="000D004B" w:rsidP="000D004B">
      <w:pPr>
        <w:pStyle w:val="Bibliography"/>
        <w:rPr>
          <w:rFonts w:ascii="Calibri" w:hAnsi="Calibri" w:cs="Calibri"/>
        </w:rPr>
      </w:pPr>
      <w:r w:rsidRPr="000D004B">
        <w:rPr>
          <w:rFonts w:ascii="Calibri" w:hAnsi="Calibri" w:cs="Calibri"/>
        </w:rPr>
        <w:t xml:space="preserve">Seppänen, P., Thrupp, M., &amp; Lempinen, S. (2020). Edu-business in Finnish schooling. In A. Hogan &amp; G. Thompson (Eds.), </w:t>
      </w:r>
      <w:r w:rsidRPr="000D004B">
        <w:rPr>
          <w:rFonts w:ascii="Calibri" w:hAnsi="Calibri" w:cs="Calibri"/>
          <w:i/>
          <w:iCs/>
        </w:rPr>
        <w:t>Privatisation and Commercialisation in Public Education</w:t>
      </w:r>
      <w:r w:rsidRPr="000D004B">
        <w:rPr>
          <w:rFonts w:ascii="Calibri" w:hAnsi="Calibri" w:cs="Calibri"/>
        </w:rPr>
        <w:t xml:space="preserve"> (1st ed., pp. 101–118). Routledge. https://doi.org/10.4324/9780429330025-9</w:t>
      </w:r>
    </w:p>
    <w:p w14:paraId="2AA30718" w14:textId="77777777" w:rsidR="000D004B" w:rsidRPr="000D004B" w:rsidRDefault="000D004B" w:rsidP="000D004B">
      <w:pPr>
        <w:pStyle w:val="Bibliography"/>
        <w:rPr>
          <w:rFonts w:ascii="Calibri" w:hAnsi="Calibri" w:cs="Calibri"/>
        </w:rPr>
      </w:pPr>
      <w:r w:rsidRPr="000D004B">
        <w:rPr>
          <w:rFonts w:ascii="Calibri" w:hAnsi="Calibri" w:cs="Calibri"/>
        </w:rPr>
        <w:t xml:space="preserve">Shemshack, A., Kinshuk, &amp; Spector, J. M. (2021). A comprehensive analysis of personalized learning components. </w:t>
      </w:r>
      <w:r w:rsidRPr="000D004B">
        <w:rPr>
          <w:rFonts w:ascii="Calibri" w:hAnsi="Calibri" w:cs="Calibri"/>
          <w:i/>
          <w:iCs/>
        </w:rPr>
        <w:t>Journal of Computers in Education</w:t>
      </w:r>
      <w:r w:rsidRPr="000D004B">
        <w:rPr>
          <w:rFonts w:ascii="Calibri" w:hAnsi="Calibri" w:cs="Calibri"/>
        </w:rPr>
        <w:t xml:space="preserve">, </w:t>
      </w:r>
      <w:r w:rsidRPr="000D004B">
        <w:rPr>
          <w:rFonts w:ascii="Calibri" w:hAnsi="Calibri" w:cs="Calibri"/>
          <w:i/>
          <w:iCs/>
        </w:rPr>
        <w:t>8</w:t>
      </w:r>
      <w:r w:rsidRPr="000D004B">
        <w:rPr>
          <w:rFonts w:ascii="Calibri" w:hAnsi="Calibri" w:cs="Calibri"/>
        </w:rPr>
        <w:t>(4), 485–503. https://doi.org/10.1007/s40692-021-00188-7</w:t>
      </w:r>
    </w:p>
    <w:p w14:paraId="4B53FCE2" w14:textId="77777777" w:rsidR="000D004B" w:rsidRPr="000D004B" w:rsidRDefault="000D004B" w:rsidP="000D004B">
      <w:pPr>
        <w:pStyle w:val="Bibliography"/>
        <w:rPr>
          <w:rFonts w:ascii="Calibri" w:hAnsi="Calibri" w:cs="Calibri"/>
        </w:rPr>
      </w:pPr>
      <w:r w:rsidRPr="000D004B">
        <w:rPr>
          <w:rFonts w:ascii="Calibri" w:hAnsi="Calibri" w:cs="Calibri"/>
        </w:rPr>
        <w:t xml:space="preserve">Škraba, A. P. (n.d.). </w:t>
      </w:r>
      <w:r w:rsidRPr="000D004B">
        <w:rPr>
          <w:rFonts w:ascii="Calibri" w:hAnsi="Calibri" w:cs="Calibri"/>
          <w:i/>
          <w:iCs/>
        </w:rPr>
        <w:t>Astra.si</w:t>
      </w:r>
      <w:r w:rsidRPr="000D004B">
        <w:rPr>
          <w:rFonts w:ascii="Calibri" w:hAnsi="Calibri" w:cs="Calibri"/>
        </w:rPr>
        <w:t>. Astra.si. Retrieved 2 July 2024, from https://astra.si/</w:t>
      </w:r>
    </w:p>
    <w:p w14:paraId="701949C8" w14:textId="77777777" w:rsidR="000D004B" w:rsidRPr="000D004B" w:rsidRDefault="000D004B" w:rsidP="000D004B">
      <w:pPr>
        <w:pStyle w:val="Bibliography"/>
        <w:rPr>
          <w:rFonts w:ascii="Calibri" w:hAnsi="Calibri" w:cs="Calibri"/>
        </w:rPr>
      </w:pPr>
      <w:r w:rsidRPr="000D004B">
        <w:rPr>
          <w:rFonts w:ascii="Calibri" w:hAnsi="Calibri" w:cs="Calibri"/>
        </w:rPr>
        <w:t xml:space="preserve">Slavin, R. E., &amp; Lake, C. (2008). Effective Programs in Elementary Mathematics: A Best-Evidence Synthesis. </w:t>
      </w:r>
      <w:r w:rsidRPr="000D004B">
        <w:rPr>
          <w:rFonts w:ascii="Calibri" w:hAnsi="Calibri" w:cs="Calibri"/>
          <w:i/>
          <w:iCs/>
        </w:rPr>
        <w:t>Review of Educational Research</w:t>
      </w:r>
      <w:r w:rsidRPr="000D004B">
        <w:rPr>
          <w:rFonts w:ascii="Calibri" w:hAnsi="Calibri" w:cs="Calibri"/>
        </w:rPr>
        <w:t xml:space="preserve">, </w:t>
      </w:r>
      <w:r w:rsidRPr="000D004B">
        <w:rPr>
          <w:rFonts w:ascii="Calibri" w:hAnsi="Calibri" w:cs="Calibri"/>
          <w:i/>
          <w:iCs/>
        </w:rPr>
        <w:t>78</w:t>
      </w:r>
      <w:r w:rsidRPr="000D004B">
        <w:rPr>
          <w:rFonts w:ascii="Calibri" w:hAnsi="Calibri" w:cs="Calibri"/>
        </w:rPr>
        <w:t>(3), 427–515. https://doi.org/10.3102/0034654308317473</w:t>
      </w:r>
    </w:p>
    <w:p w14:paraId="15307C23" w14:textId="77777777" w:rsidR="000D004B" w:rsidRPr="000D004B" w:rsidRDefault="000D004B" w:rsidP="000D004B">
      <w:pPr>
        <w:pStyle w:val="Bibliography"/>
        <w:rPr>
          <w:rFonts w:ascii="Calibri" w:hAnsi="Calibri" w:cs="Calibri"/>
        </w:rPr>
      </w:pPr>
      <w:r w:rsidRPr="000D004B">
        <w:rPr>
          <w:rFonts w:ascii="Calibri" w:hAnsi="Calibri" w:cs="Calibri"/>
        </w:rPr>
        <w:t xml:space="preserve">Stoeger, H., Hopp, M., &amp; Ziegler, A. (2017). Online Mentoring as an Extracurricular Measure to Encourage Talented Girls in STEM (Science, Technology, Engineering, and Mathematics): An Empirical Study of One-on-One Versus Group Mentoring. </w:t>
      </w:r>
      <w:r w:rsidRPr="000D004B">
        <w:rPr>
          <w:rFonts w:ascii="Calibri" w:hAnsi="Calibri" w:cs="Calibri"/>
          <w:i/>
          <w:iCs/>
        </w:rPr>
        <w:t>Gifted Child Quarterly</w:t>
      </w:r>
      <w:r w:rsidRPr="000D004B">
        <w:rPr>
          <w:rFonts w:ascii="Calibri" w:hAnsi="Calibri" w:cs="Calibri"/>
        </w:rPr>
        <w:t xml:space="preserve">, </w:t>
      </w:r>
      <w:r w:rsidRPr="000D004B">
        <w:rPr>
          <w:rFonts w:ascii="Calibri" w:hAnsi="Calibri" w:cs="Calibri"/>
          <w:i/>
          <w:iCs/>
        </w:rPr>
        <w:t>61</w:t>
      </w:r>
      <w:r w:rsidRPr="000D004B">
        <w:rPr>
          <w:rFonts w:ascii="Calibri" w:hAnsi="Calibri" w:cs="Calibri"/>
        </w:rPr>
        <w:t>(3), 239–249. https://doi.org/10.1177/0016986217702215</w:t>
      </w:r>
    </w:p>
    <w:p w14:paraId="00171593" w14:textId="77777777" w:rsidR="000D004B" w:rsidRPr="000D004B" w:rsidRDefault="000D004B" w:rsidP="000D004B">
      <w:pPr>
        <w:pStyle w:val="Bibliography"/>
        <w:rPr>
          <w:rFonts w:ascii="Calibri" w:hAnsi="Calibri" w:cs="Calibri"/>
        </w:rPr>
      </w:pPr>
      <w:r w:rsidRPr="000D004B">
        <w:rPr>
          <w:rFonts w:ascii="Calibri" w:hAnsi="Calibri" w:cs="Calibri"/>
        </w:rPr>
        <w:t xml:space="preserve">Tetzlaff, L., Schmiedek, F., &amp; Brod, G. (2021). Developing Personalized Education: A Dynamic Framework. </w:t>
      </w:r>
      <w:r w:rsidRPr="000D004B">
        <w:rPr>
          <w:rFonts w:ascii="Calibri" w:hAnsi="Calibri" w:cs="Calibri"/>
          <w:i/>
          <w:iCs/>
        </w:rPr>
        <w:t>Educational Psychology Review</w:t>
      </w:r>
      <w:r w:rsidRPr="000D004B">
        <w:rPr>
          <w:rFonts w:ascii="Calibri" w:hAnsi="Calibri" w:cs="Calibri"/>
        </w:rPr>
        <w:t xml:space="preserve">, </w:t>
      </w:r>
      <w:r w:rsidRPr="000D004B">
        <w:rPr>
          <w:rFonts w:ascii="Calibri" w:hAnsi="Calibri" w:cs="Calibri"/>
          <w:i/>
          <w:iCs/>
        </w:rPr>
        <w:t>33</w:t>
      </w:r>
      <w:r w:rsidRPr="000D004B">
        <w:rPr>
          <w:rFonts w:ascii="Calibri" w:hAnsi="Calibri" w:cs="Calibri"/>
        </w:rPr>
        <w:t>(3), 863–882. https://doi.org/10.1007/s10648-020-09570-w</w:t>
      </w:r>
    </w:p>
    <w:p w14:paraId="10A34720" w14:textId="77777777" w:rsidR="000D004B" w:rsidRPr="000D004B" w:rsidRDefault="000D004B" w:rsidP="000D004B">
      <w:pPr>
        <w:pStyle w:val="Bibliography"/>
        <w:rPr>
          <w:rFonts w:ascii="Calibri" w:hAnsi="Calibri" w:cs="Calibri"/>
        </w:rPr>
      </w:pPr>
      <w:r w:rsidRPr="000D004B">
        <w:rPr>
          <w:rFonts w:ascii="Calibri" w:hAnsi="Calibri" w:cs="Calibri"/>
        </w:rPr>
        <w:t xml:space="preserve">Trenholm, S. (2022). Media effects accompanying the use of recorded lecture videos in undergraduate mathematics instruction. </w:t>
      </w:r>
      <w:r w:rsidRPr="000D004B">
        <w:rPr>
          <w:rFonts w:ascii="Calibri" w:hAnsi="Calibri" w:cs="Calibri"/>
          <w:i/>
          <w:iCs/>
        </w:rPr>
        <w:t>International Journal of Mathematical Education in Science and Technology</w:t>
      </w:r>
      <w:r w:rsidRPr="000D004B">
        <w:rPr>
          <w:rFonts w:ascii="Calibri" w:hAnsi="Calibri" w:cs="Calibri"/>
        </w:rPr>
        <w:t xml:space="preserve">, </w:t>
      </w:r>
      <w:r w:rsidRPr="000D004B">
        <w:rPr>
          <w:rFonts w:ascii="Calibri" w:hAnsi="Calibri" w:cs="Calibri"/>
          <w:i/>
          <w:iCs/>
        </w:rPr>
        <w:t>53</w:t>
      </w:r>
      <w:r w:rsidRPr="000D004B">
        <w:rPr>
          <w:rFonts w:ascii="Calibri" w:hAnsi="Calibri" w:cs="Calibri"/>
        </w:rPr>
        <w:t>(11), 3015–3043. https://doi.org/10.1080/0020739X.2021.1930221</w:t>
      </w:r>
    </w:p>
    <w:p w14:paraId="62EC5C3C" w14:textId="77777777" w:rsidR="000D004B" w:rsidRPr="000D004B" w:rsidRDefault="000D004B" w:rsidP="000D004B">
      <w:pPr>
        <w:pStyle w:val="Bibliography"/>
        <w:rPr>
          <w:rFonts w:ascii="Calibri" w:hAnsi="Calibri" w:cs="Calibri"/>
        </w:rPr>
      </w:pPr>
      <w:r w:rsidRPr="000D004B">
        <w:rPr>
          <w:rFonts w:ascii="Calibri" w:hAnsi="Calibri" w:cs="Calibri"/>
        </w:rPr>
        <w:lastRenderedPageBreak/>
        <w:t xml:space="preserve">Utz, S., &amp; Wolfers, L. N. (2022). How-to videos on YouTube: The role of the instructor. </w:t>
      </w:r>
      <w:r w:rsidRPr="000D004B">
        <w:rPr>
          <w:rFonts w:ascii="Calibri" w:hAnsi="Calibri" w:cs="Calibri"/>
          <w:i/>
          <w:iCs/>
        </w:rPr>
        <w:t>Information, Communication &amp; Society</w:t>
      </w:r>
      <w:r w:rsidRPr="000D004B">
        <w:rPr>
          <w:rFonts w:ascii="Calibri" w:hAnsi="Calibri" w:cs="Calibri"/>
        </w:rPr>
        <w:t xml:space="preserve">, </w:t>
      </w:r>
      <w:r w:rsidRPr="000D004B">
        <w:rPr>
          <w:rFonts w:ascii="Calibri" w:hAnsi="Calibri" w:cs="Calibri"/>
          <w:i/>
          <w:iCs/>
        </w:rPr>
        <w:t>25</w:t>
      </w:r>
      <w:r w:rsidRPr="000D004B">
        <w:rPr>
          <w:rFonts w:ascii="Calibri" w:hAnsi="Calibri" w:cs="Calibri"/>
        </w:rPr>
        <w:t>(7), 959–974. https://doi.org/10.1080/1369118X.2020.1804984</w:t>
      </w:r>
    </w:p>
    <w:p w14:paraId="209B477A" w14:textId="77777777" w:rsidR="000D004B" w:rsidRPr="000D004B" w:rsidRDefault="000D004B" w:rsidP="000D004B">
      <w:pPr>
        <w:pStyle w:val="Bibliography"/>
        <w:rPr>
          <w:rFonts w:ascii="Calibri" w:hAnsi="Calibri" w:cs="Calibri"/>
        </w:rPr>
      </w:pPr>
      <w:r w:rsidRPr="000D004B">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0D004B">
        <w:rPr>
          <w:rFonts w:ascii="Calibri" w:hAnsi="Calibri" w:cs="Calibri"/>
          <w:i/>
          <w:iCs/>
        </w:rPr>
        <w:t>Journal of Educational Computing Research</w:t>
      </w:r>
      <w:r w:rsidRPr="000D004B">
        <w:rPr>
          <w:rFonts w:ascii="Calibri" w:hAnsi="Calibri" w:cs="Calibri"/>
        </w:rPr>
        <w:t xml:space="preserve">, </w:t>
      </w:r>
      <w:r w:rsidRPr="000D004B">
        <w:rPr>
          <w:rFonts w:ascii="Calibri" w:hAnsi="Calibri" w:cs="Calibri"/>
          <w:i/>
          <w:iCs/>
        </w:rPr>
        <w:t>60</w:t>
      </w:r>
      <w:r w:rsidRPr="000D004B">
        <w:rPr>
          <w:rFonts w:ascii="Calibri" w:hAnsi="Calibri" w:cs="Calibri"/>
        </w:rPr>
        <w:t>(5), 1166–1196. https://doi.org/10.1177/07356331211070975</w:t>
      </w:r>
    </w:p>
    <w:p w14:paraId="0011E73F" w14:textId="77777777" w:rsidR="000D004B" w:rsidRPr="000D004B" w:rsidRDefault="000D004B" w:rsidP="000D004B">
      <w:pPr>
        <w:pStyle w:val="Bibliography"/>
        <w:rPr>
          <w:rFonts w:ascii="Calibri" w:hAnsi="Calibri" w:cs="Calibri"/>
        </w:rPr>
      </w:pPr>
      <w:r w:rsidRPr="000D004B">
        <w:rPr>
          <w:rFonts w:ascii="Calibri" w:hAnsi="Calibri" w:cs="Calibri"/>
        </w:rPr>
        <w:t xml:space="preserve">Xu, P. (2023). Study of Gender Differences in Mathematics. </w:t>
      </w:r>
      <w:r w:rsidRPr="000D004B">
        <w:rPr>
          <w:rFonts w:ascii="Calibri" w:hAnsi="Calibri" w:cs="Calibri"/>
          <w:i/>
          <w:iCs/>
        </w:rPr>
        <w:t>Lecture Notes in Education Psychology and Public Media</w:t>
      </w:r>
      <w:r w:rsidRPr="000D004B">
        <w:rPr>
          <w:rFonts w:ascii="Calibri" w:hAnsi="Calibri" w:cs="Calibri"/>
        </w:rPr>
        <w:t xml:space="preserve">, </w:t>
      </w:r>
      <w:r w:rsidRPr="000D004B">
        <w:rPr>
          <w:rFonts w:ascii="Calibri" w:hAnsi="Calibri" w:cs="Calibri"/>
          <w:i/>
          <w:iCs/>
        </w:rPr>
        <w:t>6</w:t>
      </w:r>
      <w:r w:rsidRPr="000D004B">
        <w:rPr>
          <w:rFonts w:ascii="Calibri" w:hAnsi="Calibri" w:cs="Calibri"/>
        </w:rPr>
        <w:t>(1), 498–503. https://doi.org/10.54254/2753-7048/6/20220446</w:t>
      </w:r>
    </w:p>
    <w:p w14:paraId="49E0F9C8" w14:textId="77777777" w:rsidR="000D004B" w:rsidRPr="000D004B" w:rsidRDefault="000D004B" w:rsidP="000D004B">
      <w:pPr>
        <w:pStyle w:val="Bibliography"/>
        <w:rPr>
          <w:rFonts w:ascii="Calibri" w:hAnsi="Calibri" w:cs="Calibri"/>
        </w:rPr>
      </w:pPr>
      <w:r w:rsidRPr="000D004B">
        <w:rPr>
          <w:rFonts w:ascii="Calibri" w:hAnsi="Calibri" w:cs="Calibri"/>
        </w:rPr>
        <w:t xml:space="preserve">Zhu, J., &amp; Mok, M. M. C. (2020). Predictors of students’ participation in internet or computer tutoring for additional instruction and its effect on academic achievement. </w:t>
      </w:r>
      <w:r w:rsidRPr="000D004B">
        <w:rPr>
          <w:rFonts w:ascii="Calibri" w:hAnsi="Calibri" w:cs="Calibri"/>
          <w:i/>
          <w:iCs/>
        </w:rPr>
        <w:t>Journal of Computer Assisted Learning</w:t>
      </w:r>
      <w:r w:rsidRPr="000D004B">
        <w:rPr>
          <w:rFonts w:ascii="Calibri" w:hAnsi="Calibri" w:cs="Calibri"/>
        </w:rPr>
        <w:t xml:space="preserve">, </w:t>
      </w:r>
      <w:r w:rsidRPr="000D004B">
        <w:rPr>
          <w:rFonts w:ascii="Calibri" w:hAnsi="Calibri" w:cs="Calibri"/>
          <w:i/>
          <w:iCs/>
        </w:rPr>
        <w:t>36</w:t>
      </w:r>
      <w:r w:rsidRPr="000D004B">
        <w:rPr>
          <w:rFonts w:ascii="Calibri" w:hAnsi="Calibri" w:cs="Calibri"/>
        </w:rPr>
        <w:t>(5), 729–740. https://doi.org/10.1111/jcal.12440</w:t>
      </w:r>
    </w:p>
    <w:p w14:paraId="0B32D477" w14:textId="6D6B1E7B" w:rsidR="00D120D4" w:rsidRPr="00D120D4" w:rsidRDefault="00945896" w:rsidP="0073685F">
      <w:pPr>
        <w:pStyle w:val="Heading2"/>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4-07-12T11:27:00Z" w:initials="R1">
    <w:p w14:paraId="2ACBB0B5" w14:textId="2B93B6AD" w:rsidR="00281F16" w:rsidRDefault="00281F16">
      <w:pPr>
        <w:pStyle w:val="CommentText"/>
      </w:pPr>
      <w:r>
        <w:rPr>
          <w:rStyle w:val="CommentReference"/>
        </w:rPr>
        <w:annotationRef/>
      </w:r>
      <w:r>
        <w:t>Kot morebitne revije:</w:t>
      </w:r>
    </w:p>
    <w:p w14:paraId="5CD3DEEA" w14:textId="7B08695E" w:rsidR="00281F16" w:rsidRDefault="00000000" w:rsidP="00F50DCA">
      <w:pPr>
        <w:pStyle w:val="CommentText"/>
        <w:numPr>
          <w:ilvl w:val="0"/>
          <w:numId w:val="17"/>
        </w:numPr>
      </w:pPr>
      <w:hyperlink r:id="rId1" w:history="1">
        <w:r w:rsidR="00281F16" w:rsidRPr="00560D7A">
          <w:rPr>
            <w:rStyle w:val="Hyperlink"/>
          </w:rPr>
          <w:t>https://www.tandfonline.com/journals/rrme20</w:t>
        </w:r>
      </w:hyperlink>
    </w:p>
    <w:p w14:paraId="66BE4304" w14:textId="498003B2" w:rsidR="00281F16" w:rsidRDefault="00000000" w:rsidP="00F50DCA">
      <w:pPr>
        <w:pStyle w:val="CommentText"/>
        <w:numPr>
          <w:ilvl w:val="0"/>
          <w:numId w:val="17"/>
        </w:numPr>
      </w:pPr>
      <w:hyperlink r:id="rId2" w:history="1">
        <w:r w:rsidR="00281F16" w:rsidRPr="00560D7A">
          <w:rPr>
            <w:rStyle w:val="Hyperlink"/>
          </w:rPr>
          <w:t>https</w:t>
        </w:r>
        <w:r w:rsidR="00281F16" w:rsidRPr="00445839">
          <w:rPr>
            <w:rStyle w:val="Hyperlink"/>
          </w:rPr>
          <w:t>://</w:t>
        </w:r>
        <w:r w:rsidR="00281F16" w:rsidRPr="00560D7A">
          <w:rPr>
            <w:rStyle w:val="Hyperlink"/>
          </w:rPr>
          <w:t>link.springer.com/journal/13394</w:t>
        </w:r>
      </w:hyperlink>
    </w:p>
    <w:p w14:paraId="6EEFE6EE" w14:textId="48A1BB5B" w:rsidR="00281F16" w:rsidRDefault="00000000" w:rsidP="00F50DCA">
      <w:pPr>
        <w:pStyle w:val="CommentText"/>
        <w:numPr>
          <w:ilvl w:val="0"/>
          <w:numId w:val="17"/>
        </w:numPr>
      </w:pPr>
      <w:hyperlink r:id="rId3" w:history="1">
        <w:r w:rsidR="00281F16" w:rsidRPr="00560D7A">
          <w:rPr>
            <w:rStyle w:val="Hyperlink"/>
          </w:rPr>
          <w:t>https://link.springer.com/journal/10763</w:t>
        </w:r>
      </w:hyperlink>
    </w:p>
    <w:p w14:paraId="3E8F34F8" w14:textId="290BBBE1" w:rsidR="00281F16" w:rsidRDefault="00000000" w:rsidP="00F50DCA">
      <w:pPr>
        <w:pStyle w:val="CommentText"/>
        <w:numPr>
          <w:ilvl w:val="0"/>
          <w:numId w:val="17"/>
        </w:numPr>
      </w:pPr>
      <w:hyperlink r:id="rId4" w:history="1">
        <w:r w:rsidR="00281F16" w:rsidRPr="00560D7A">
          <w:rPr>
            <w:rStyle w:val="Hyperlink"/>
          </w:rPr>
          <w:t>https://us.sagepub.com/en-us/nam/asian-journal-for-mathematics-education/journal203738</w:t>
        </w:r>
      </w:hyperlink>
    </w:p>
  </w:comment>
  <w:comment w:id="1" w:author="Bor Bregant" w:date="2024-07-16T18:38:00Z" w:initials="BB">
    <w:p w14:paraId="7E628EF6" w14:textId="32E6F86D" w:rsidR="00370315" w:rsidRPr="00370315" w:rsidRDefault="0009257C" w:rsidP="0009257C">
      <w:pPr>
        <w:pStyle w:val="CommentText"/>
        <w:jc w:val="left"/>
        <w:rPr>
          <w:lang w:val="it-IT"/>
        </w:rPr>
      </w:pPr>
      <w:r>
        <w:rPr>
          <w:rStyle w:val="CommentReference"/>
        </w:rPr>
        <w:annotationRef/>
      </w:r>
      <w:r w:rsidRPr="00370315">
        <w:rPr>
          <w:lang w:val="it-IT"/>
        </w:rPr>
        <w:t>Asian journal… smo citirali tako da morda damo se kaksen njiihov citat in povecamo % sprejetja?</w:t>
      </w:r>
    </w:p>
  </w:comment>
  <w:comment w:id="2" w:author="Reviewer" w:date="2024-07-17T17:34:00Z" w:initials="R1">
    <w:p w14:paraId="4BBB4109" w14:textId="2A8545D6" w:rsidR="00370315" w:rsidRPr="00370315" w:rsidRDefault="00370315">
      <w:pPr>
        <w:pStyle w:val="CommentText"/>
        <w:rPr>
          <w:lang w:val="it-IT"/>
        </w:rPr>
      </w:pPr>
      <w:r>
        <w:rPr>
          <w:rStyle w:val="CommentReference"/>
        </w:rPr>
        <w:annotationRef/>
      </w:r>
      <w:r w:rsidRPr="00370315">
        <w:rPr>
          <w:lang w:val="it-IT"/>
        </w:rPr>
        <w:t>Yesss! Super! Mogoce l</w:t>
      </w:r>
      <w:r>
        <w:rPr>
          <w:lang w:val="it-IT"/>
        </w:rPr>
        <w:t>ahko res poskusimo pri njih!</w:t>
      </w:r>
    </w:p>
  </w:comment>
  <w:comment w:id="7" w:author="Bor Bregant" w:date="2024-07-11T11:30:00Z" w:initials="BB">
    <w:p w14:paraId="24984EA3" w14:textId="1A371080" w:rsidR="00281F16" w:rsidRDefault="00281F16" w:rsidP="00343C34">
      <w:pPr>
        <w:pStyle w:val="CommentText"/>
        <w:jc w:val="left"/>
      </w:pPr>
      <w:r>
        <w:rPr>
          <w:rStyle w:val="CommentReference"/>
        </w:rPr>
        <w:annotationRef/>
      </w:r>
      <w:r>
        <w:t>Tole res upam, da nisem jaz kaj spregledal med podatki, ker zna biti awkward ce to ni povsem res ☺️</w:t>
      </w:r>
    </w:p>
  </w:comment>
  <w:comment w:id="8" w:author="Reviewer" w:date="2024-07-12T18:35:00Z" w:initials="R1">
    <w:p w14:paraId="5068AA78" w14:textId="2B73EB78" w:rsidR="00281F16" w:rsidRPr="00281F16" w:rsidRDefault="00281F16">
      <w:pPr>
        <w:pStyle w:val="CommentText"/>
        <w:rPr>
          <w:lang w:val="it-IT"/>
        </w:rPr>
      </w:pPr>
      <w:r>
        <w:rPr>
          <w:rStyle w:val="CommentReference"/>
        </w:rPr>
        <w:annotationRef/>
      </w:r>
      <w:r w:rsidRPr="00281F16">
        <w:rPr>
          <w:lang w:val="it-IT"/>
        </w:rPr>
        <w:t xml:space="preserve">Mislim, da velja to, kar si napisal. </w:t>
      </w:r>
      <w:r>
        <w:rPr>
          <w:lang w:val="it-IT"/>
        </w:rPr>
        <w:t>Bom pa se enkrat pregledal</w:t>
      </w:r>
    </w:p>
  </w:comment>
  <w:comment w:id="9" w:author="Reviewer" w:date="2024-07-12T18:34:00Z" w:initials="R1">
    <w:p w14:paraId="0319B2E9" w14:textId="5A718784" w:rsidR="00281F16" w:rsidRPr="00370315" w:rsidRDefault="00281F16">
      <w:pPr>
        <w:pStyle w:val="CommentText"/>
        <w:rPr>
          <w:lang w:val="it-IT"/>
        </w:rPr>
      </w:pPr>
      <w:r>
        <w:rPr>
          <w:rStyle w:val="CommentReference"/>
        </w:rPr>
        <w:annotationRef/>
      </w:r>
      <w:r w:rsidRPr="00370315">
        <w:rPr>
          <w:lang w:val="it-IT"/>
        </w:rPr>
        <w:t>Mogoce bi odstranil to, ker bi kdo lahko sicer rekel “Aha, torej zakaj niste uporabili R oz SPSS”?</w:t>
      </w:r>
    </w:p>
  </w:comment>
  <w:comment w:id="10" w:author="Bor Bregant" w:date="2024-07-16T18:52:00Z" w:initials="BB">
    <w:p w14:paraId="20314142" w14:textId="77777777" w:rsidR="004643E0" w:rsidRPr="00370315" w:rsidRDefault="004643E0" w:rsidP="004643E0">
      <w:pPr>
        <w:pStyle w:val="CommentText"/>
        <w:jc w:val="left"/>
        <w:rPr>
          <w:lang w:val="it-IT"/>
        </w:rPr>
      </w:pPr>
      <w:r>
        <w:rPr>
          <w:rStyle w:val="CommentReference"/>
        </w:rPr>
        <w:annotationRef/>
      </w:r>
      <w:r w:rsidRPr="00370315">
        <w:rPr>
          <w:lang w:val="it-IT"/>
        </w:rPr>
        <w:t>Se strinjam. Toda morda bi vseeno želel nakazati, da obstajajo boljše alternative tako za raziskovalce kot OECD. Če ne najdemo boljšega stavka (jaz se ga ne spomnim) pač brišemo.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8F34F8" w15:done="0"/>
  <w15:commentEx w15:paraId="7E628EF6" w15:paraIdParent="3E8F34F8" w15:done="0"/>
  <w15:commentEx w15:paraId="4BBB4109" w15:paraIdParent="3E8F34F8" w15:done="0"/>
  <w15:commentEx w15:paraId="24984EA3" w15:done="0"/>
  <w15:commentEx w15:paraId="5068AA78" w15:paraIdParent="24984EA3" w15:done="0"/>
  <w15:commentEx w15:paraId="0319B2E9" w15:done="0"/>
  <w15:commentEx w15:paraId="20314142" w15:paraIdParent="0319B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A621AA" w16cex:dateUtc="2024-07-11T09:30:00Z"/>
  <w16cex:commentExtensible w16cex:durableId="63DFABAE" w16cex:dateUtc="2024-07-16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8F34F8" w16cid:durableId="7693C930"/>
  <w16cid:commentId w16cid:paraId="7E628EF6" w16cid:durableId="7D4A1250"/>
  <w16cid:commentId w16cid:paraId="4BBB4109" w16cid:durableId="5D689AB1"/>
  <w16cid:commentId w16cid:paraId="24984EA3" w16cid:durableId="72A621AA"/>
  <w16cid:commentId w16cid:paraId="5068AA78" w16cid:durableId="22733734"/>
  <w16cid:commentId w16cid:paraId="0319B2E9" w16cid:durableId="68C10CB7"/>
  <w16cid:commentId w16cid:paraId="20314142" w16cid:durableId="63DFAB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A8514" w14:textId="77777777" w:rsidR="00171941" w:rsidRDefault="00171941" w:rsidP="00334A8F">
      <w:pPr>
        <w:spacing w:after="0" w:line="240" w:lineRule="auto"/>
      </w:pPr>
      <w:r>
        <w:separator/>
      </w:r>
    </w:p>
  </w:endnote>
  <w:endnote w:type="continuationSeparator" w:id="0">
    <w:p w14:paraId="2B9C5565" w14:textId="77777777" w:rsidR="00171941" w:rsidRDefault="00171941"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3988B" w14:textId="77777777" w:rsidR="00171941" w:rsidRDefault="00171941" w:rsidP="00334A8F">
      <w:pPr>
        <w:spacing w:after="0" w:line="240" w:lineRule="auto"/>
      </w:pPr>
      <w:r>
        <w:separator/>
      </w:r>
    </w:p>
  </w:footnote>
  <w:footnote w:type="continuationSeparator" w:id="0">
    <w:p w14:paraId="4BE108B9" w14:textId="77777777" w:rsidR="00171941" w:rsidRDefault="00171941"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3710AD"/>
    <w:multiLevelType w:val="multilevel"/>
    <w:tmpl w:val="E2D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2813322">
    <w:abstractNumId w:val="13"/>
  </w:num>
  <w:num w:numId="2" w16cid:durableId="307326546">
    <w:abstractNumId w:val="7"/>
  </w:num>
  <w:num w:numId="3" w16cid:durableId="1590892752">
    <w:abstractNumId w:val="8"/>
  </w:num>
  <w:num w:numId="4" w16cid:durableId="1592811420">
    <w:abstractNumId w:val="14"/>
  </w:num>
  <w:num w:numId="5" w16cid:durableId="151531448">
    <w:abstractNumId w:val="6"/>
  </w:num>
  <w:num w:numId="6" w16cid:durableId="1737898192">
    <w:abstractNumId w:val="0"/>
  </w:num>
  <w:num w:numId="7" w16cid:durableId="1294336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13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58761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12593202">
    <w:abstractNumId w:val="12"/>
  </w:num>
  <w:num w:numId="11" w16cid:durableId="933588608">
    <w:abstractNumId w:val="1"/>
  </w:num>
  <w:num w:numId="12" w16cid:durableId="1047995648">
    <w:abstractNumId w:val="11"/>
  </w:num>
  <w:num w:numId="13" w16cid:durableId="1043866384">
    <w:abstractNumId w:val="9"/>
  </w:num>
  <w:num w:numId="14" w16cid:durableId="479157391">
    <w:abstractNumId w:val="5"/>
  </w:num>
  <w:num w:numId="15" w16cid:durableId="603735269">
    <w:abstractNumId w:val="4"/>
  </w:num>
  <w:num w:numId="16" w16cid:durableId="1719471753">
    <w:abstractNumId w:val="10"/>
  </w:num>
  <w:num w:numId="17" w16cid:durableId="192159610">
    <w:abstractNumId w:val="3"/>
  </w:num>
  <w:num w:numId="18" w16cid:durableId="10229735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rson w15:author="Bor Bregant">
    <w15:presenceInfo w15:providerId="Windows Live" w15:userId="fbe48b0d25c3c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5376"/>
    <w:rsid w:val="000108C1"/>
    <w:rsid w:val="0001252B"/>
    <w:rsid w:val="00012C5E"/>
    <w:rsid w:val="00014924"/>
    <w:rsid w:val="00016313"/>
    <w:rsid w:val="00017A43"/>
    <w:rsid w:val="00021A1D"/>
    <w:rsid w:val="0002468E"/>
    <w:rsid w:val="00025C41"/>
    <w:rsid w:val="000339D2"/>
    <w:rsid w:val="0003543E"/>
    <w:rsid w:val="00040D1B"/>
    <w:rsid w:val="00041E88"/>
    <w:rsid w:val="00042846"/>
    <w:rsid w:val="00046752"/>
    <w:rsid w:val="000506A8"/>
    <w:rsid w:val="00050A24"/>
    <w:rsid w:val="0006482E"/>
    <w:rsid w:val="00070494"/>
    <w:rsid w:val="00074BB8"/>
    <w:rsid w:val="00077640"/>
    <w:rsid w:val="0008000E"/>
    <w:rsid w:val="0008396B"/>
    <w:rsid w:val="00083FAF"/>
    <w:rsid w:val="00085879"/>
    <w:rsid w:val="00085A16"/>
    <w:rsid w:val="0009238C"/>
    <w:rsid w:val="0009257C"/>
    <w:rsid w:val="00094CE8"/>
    <w:rsid w:val="00096075"/>
    <w:rsid w:val="00096082"/>
    <w:rsid w:val="00096CBF"/>
    <w:rsid w:val="000A0A40"/>
    <w:rsid w:val="000A2024"/>
    <w:rsid w:val="000A5567"/>
    <w:rsid w:val="000A6906"/>
    <w:rsid w:val="000B20A6"/>
    <w:rsid w:val="000B2FD0"/>
    <w:rsid w:val="000C0ACA"/>
    <w:rsid w:val="000C10A4"/>
    <w:rsid w:val="000C2B1A"/>
    <w:rsid w:val="000D004B"/>
    <w:rsid w:val="000D035A"/>
    <w:rsid w:val="000D1A7C"/>
    <w:rsid w:val="000D2EEC"/>
    <w:rsid w:val="000D643C"/>
    <w:rsid w:val="000D66F7"/>
    <w:rsid w:val="000D690D"/>
    <w:rsid w:val="000D75BD"/>
    <w:rsid w:val="000E3C04"/>
    <w:rsid w:val="000E60F3"/>
    <w:rsid w:val="000F06A6"/>
    <w:rsid w:val="000F0BA3"/>
    <w:rsid w:val="000F6D2C"/>
    <w:rsid w:val="001002C8"/>
    <w:rsid w:val="00100F24"/>
    <w:rsid w:val="00111EF0"/>
    <w:rsid w:val="00112853"/>
    <w:rsid w:val="00113C60"/>
    <w:rsid w:val="00114F5B"/>
    <w:rsid w:val="001172FA"/>
    <w:rsid w:val="00120DFE"/>
    <w:rsid w:val="001217F3"/>
    <w:rsid w:val="00121A8D"/>
    <w:rsid w:val="001220E0"/>
    <w:rsid w:val="00127C86"/>
    <w:rsid w:val="00131F75"/>
    <w:rsid w:val="00133B32"/>
    <w:rsid w:val="00134973"/>
    <w:rsid w:val="00143EA3"/>
    <w:rsid w:val="0014629A"/>
    <w:rsid w:val="00146615"/>
    <w:rsid w:val="00146761"/>
    <w:rsid w:val="00153B4E"/>
    <w:rsid w:val="00155728"/>
    <w:rsid w:val="00155FC5"/>
    <w:rsid w:val="00156853"/>
    <w:rsid w:val="00157D77"/>
    <w:rsid w:val="00160850"/>
    <w:rsid w:val="00163E55"/>
    <w:rsid w:val="001702DE"/>
    <w:rsid w:val="00171941"/>
    <w:rsid w:val="00172471"/>
    <w:rsid w:val="00180732"/>
    <w:rsid w:val="00181959"/>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4C9C"/>
    <w:rsid w:val="001B19A4"/>
    <w:rsid w:val="001B1C85"/>
    <w:rsid w:val="001B378A"/>
    <w:rsid w:val="001B5F94"/>
    <w:rsid w:val="001B6641"/>
    <w:rsid w:val="001C0AB9"/>
    <w:rsid w:val="001C1D41"/>
    <w:rsid w:val="001C3CB0"/>
    <w:rsid w:val="001C4A4B"/>
    <w:rsid w:val="001C50CD"/>
    <w:rsid w:val="001C5E9D"/>
    <w:rsid w:val="001D3ACB"/>
    <w:rsid w:val="001D6D3B"/>
    <w:rsid w:val="001E2B13"/>
    <w:rsid w:val="001E349A"/>
    <w:rsid w:val="001E5E41"/>
    <w:rsid w:val="001E75C6"/>
    <w:rsid w:val="001F39D7"/>
    <w:rsid w:val="00200198"/>
    <w:rsid w:val="00205556"/>
    <w:rsid w:val="00205AA2"/>
    <w:rsid w:val="00207BDD"/>
    <w:rsid w:val="002165C4"/>
    <w:rsid w:val="00216BB9"/>
    <w:rsid w:val="002200BB"/>
    <w:rsid w:val="002227FE"/>
    <w:rsid w:val="002258EE"/>
    <w:rsid w:val="00227550"/>
    <w:rsid w:val="00230DE8"/>
    <w:rsid w:val="002318AF"/>
    <w:rsid w:val="00231FF0"/>
    <w:rsid w:val="00233597"/>
    <w:rsid w:val="00240CC7"/>
    <w:rsid w:val="00242E7E"/>
    <w:rsid w:val="00243606"/>
    <w:rsid w:val="00243A7F"/>
    <w:rsid w:val="0024559C"/>
    <w:rsid w:val="002466E4"/>
    <w:rsid w:val="00247256"/>
    <w:rsid w:val="00247AFA"/>
    <w:rsid w:val="00262FEA"/>
    <w:rsid w:val="00263198"/>
    <w:rsid w:val="00264083"/>
    <w:rsid w:val="00267E2D"/>
    <w:rsid w:val="00270DCE"/>
    <w:rsid w:val="002719C8"/>
    <w:rsid w:val="00272692"/>
    <w:rsid w:val="00275EB6"/>
    <w:rsid w:val="00281F16"/>
    <w:rsid w:val="00290A3E"/>
    <w:rsid w:val="00291F68"/>
    <w:rsid w:val="0029620F"/>
    <w:rsid w:val="002A7BD8"/>
    <w:rsid w:val="002B0081"/>
    <w:rsid w:val="002B551E"/>
    <w:rsid w:val="002B6168"/>
    <w:rsid w:val="002C0557"/>
    <w:rsid w:val="002C169B"/>
    <w:rsid w:val="002C21AF"/>
    <w:rsid w:val="002C6B3A"/>
    <w:rsid w:val="002C7060"/>
    <w:rsid w:val="002D0F73"/>
    <w:rsid w:val="002D2CA3"/>
    <w:rsid w:val="002D7BCD"/>
    <w:rsid w:val="002E1057"/>
    <w:rsid w:val="002F13C8"/>
    <w:rsid w:val="002F3AC8"/>
    <w:rsid w:val="003009ED"/>
    <w:rsid w:val="00301409"/>
    <w:rsid w:val="00304032"/>
    <w:rsid w:val="003062C8"/>
    <w:rsid w:val="00306FA0"/>
    <w:rsid w:val="0031560D"/>
    <w:rsid w:val="003157E6"/>
    <w:rsid w:val="00321C2D"/>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0315"/>
    <w:rsid w:val="00372C2B"/>
    <w:rsid w:val="003730A3"/>
    <w:rsid w:val="00376A00"/>
    <w:rsid w:val="00380745"/>
    <w:rsid w:val="00380760"/>
    <w:rsid w:val="003910D3"/>
    <w:rsid w:val="003911F5"/>
    <w:rsid w:val="00393C6E"/>
    <w:rsid w:val="0039451D"/>
    <w:rsid w:val="00394806"/>
    <w:rsid w:val="00396828"/>
    <w:rsid w:val="00396B8E"/>
    <w:rsid w:val="003974C2"/>
    <w:rsid w:val="003A0499"/>
    <w:rsid w:val="003A311F"/>
    <w:rsid w:val="003A7301"/>
    <w:rsid w:val="003B2052"/>
    <w:rsid w:val="003B59CB"/>
    <w:rsid w:val="003B6A70"/>
    <w:rsid w:val="003B7050"/>
    <w:rsid w:val="003C0653"/>
    <w:rsid w:val="003C503C"/>
    <w:rsid w:val="003D080D"/>
    <w:rsid w:val="003D0BDC"/>
    <w:rsid w:val="003D5954"/>
    <w:rsid w:val="003D741C"/>
    <w:rsid w:val="003E077C"/>
    <w:rsid w:val="003E5137"/>
    <w:rsid w:val="003F05C4"/>
    <w:rsid w:val="003F0DE5"/>
    <w:rsid w:val="003F6579"/>
    <w:rsid w:val="003F7DAC"/>
    <w:rsid w:val="00402117"/>
    <w:rsid w:val="00402600"/>
    <w:rsid w:val="00404797"/>
    <w:rsid w:val="004052F1"/>
    <w:rsid w:val="0040713F"/>
    <w:rsid w:val="00411BA5"/>
    <w:rsid w:val="0041240D"/>
    <w:rsid w:val="00412B37"/>
    <w:rsid w:val="00414611"/>
    <w:rsid w:val="00415125"/>
    <w:rsid w:val="004208F5"/>
    <w:rsid w:val="0042163C"/>
    <w:rsid w:val="004225A7"/>
    <w:rsid w:val="00423309"/>
    <w:rsid w:val="00423609"/>
    <w:rsid w:val="00424CEA"/>
    <w:rsid w:val="00425AA9"/>
    <w:rsid w:val="00431CE2"/>
    <w:rsid w:val="00432445"/>
    <w:rsid w:val="0043569B"/>
    <w:rsid w:val="00436230"/>
    <w:rsid w:val="00441E70"/>
    <w:rsid w:val="004422CC"/>
    <w:rsid w:val="00445839"/>
    <w:rsid w:val="00445D02"/>
    <w:rsid w:val="00454CD4"/>
    <w:rsid w:val="004556DE"/>
    <w:rsid w:val="00456A80"/>
    <w:rsid w:val="00463753"/>
    <w:rsid w:val="004643E0"/>
    <w:rsid w:val="004678D0"/>
    <w:rsid w:val="00470729"/>
    <w:rsid w:val="0047374E"/>
    <w:rsid w:val="00477B20"/>
    <w:rsid w:val="00480B4E"/>
    <w:rsid w:val="00481A6C"/>
    <w:rsid w:val="004827D0"/>
    <w:rsid w:val="00483D35"/>
    <w:rsid w:val="00483FDF"/>
    <w:rsid w:val="004854CC"/>
    <w:rsid w:val="00487974"/>
    <w:rsid w:val="00490158"/>
    <w:rsid w:val="0049072B"/>
    <w:rsid w:val="00490C27"/>
    <w:rsid w:val="00491CB8"/>
    <w:rsid w:val="00497B52"/>
    <w:rsid w:val="004A01FD"/>
    <w:rsid w:val="004A0F9D"/>
    <w:rsid w:val="004B3188"/>
    <w:rsid w:val="004B3646"/>
    <w:rsid w:val="004C1300"/>
    <w:rsid w:val="004C44F7"/>
    <w:rsid w:val="004C47B8"/>
    <w:rsid w:val="004C4E26"/>
    <w:rsid w:val="004C6023"/>
    <w:rsid w:val="004D0E0F"/>
    <w:rsid w:val="004D2D32"/>
    <w:rsid w:val="004D78C0"/>
    <w:rsid w:val="004E06AF"/>
    <w:rsid w:val="004E1393"/>
    <w:rsid w:val="004E3656"/>
    <w:rsid w:val="004E5E20"/>
    <w:rsid w:val="004F1F62"/>
    <w:rsid w:val="004F238E"/>
    <w:rsid w:val="004F4CEA"/>
    <w:rsid w:val="0050177E"/>
    <w:rsid w:val="00502042"/>
    <w:rsid w:val="00511121"/>
    <w:rsid w:val="00513844"/>
    <w:rsid w:val="00514DDF"/>
    <w:rsid w:val="0052140B"/>
    <w:rsid w:val="00521888"/>
    <w:rsid w:val="00523895"/>
    <w:rsid w:val="00532ECF"/>
    <w:rsid w:val="00540997"/>
    <w:rsid w:val="00541875"/>
    <w:rsid w:val="00544CCD"/>
    <w:rsid w:val="005473DB"/>
    <w:rsid w:val="00550064"/>
    <w:rsid w:val="005500CF"/>
    <w:rsid w:val="00551E52"/>
    <w:rsid w:val="00554C26"/>
    <w:rsid w:val="00555054"/>
    <w:rsid w:val="00555396"/>
    <w:rsid w:val="00557746"/>
    <w:rsid w:val="00560D61"/>
    <w:rsid w:val="00563C0E"/>
    <w:rsid w:val="00572AF3"/>
    <w:rsid w:val="00573B0C"/>
    <w:rsid w:val="005805E7"/>
    <w:rsid w:val="00581C96"/>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06CB"/>
    <w:rsid w:val="005C1114"/>
    <w:rsid w:val="005C324A"/>
    <w:rsid w:val="005D03D9"/>
    <w:rsid w:val="005D3C6C"/>
    <w:rsid w:val="005D3D65"/>
    <w:rsid w:val="005D59C1"/>
    <w:rsid w:val="005E0F33"/>
    <w:rsid w:val="005E105E"/>
    <w:rsid w:val="005E32B1"/>
    <w:rsid w:val="005E55B6"/>
    <w:rsid w:val="005F1862"/>
    <w:rsid w:val="005F3D62"/>
    <w:rsid w:val="005F3FE5"/>
    <w:rsid w:val="005F6C73"/>
    <w:rsid w:val="006024AE"/>
    <w:rsid w:val="00602DB1"/>
    <w:rsid w:val="0061192E"/>
    <w:rsid w:val="00611D02"/>
    <w:rsid w:val="0061289B"/>
    <w:rsid w:val="00613989"/>
    <w:rsid w:val="006234E9"/>
    <w:rsid w:val="00625392"/>
    <w:rsid w:val="0063059F"/>
    <w:rsid w:val="00634E84"/>
    <w:rsid w:val="00636521"/>
    <w:rsid w:val="00641315"/>
    <w:rsid w:val="00641E89"/>
    <w:rsid w:val="00642AC4"/>
    <w:rsid w:val="00643F3C"/>
    <w:rsid w:val="00653083"/>
    <w:rsid w:val="00653110"/>
    <w:rsid w:val="00653EDE"/>
    <w:rsid w:val="00657E2B"/>
    <w:rsid w:val="00660360"/>
    <w:rsid w:val="006619C3"/>
    <w:rsid w:val="006649D4"/>
    <w:rsid w:val="00664E35"/>
    <w:rsid w:val="006652B3"/>
    <w:rsid w:val="00665B66"/>
    <w:rsid w:val="00666F91"/>
    <w:rsid w:val="00667DCA"/>
    <w:rsid w:val="00667DD4"/>
    <w:rsid w:val="00672535"/>
    <w:rsid w:val="0067511B"/>
    <w:rsid w:val="0068183F"/>
    <w:rsid w:val="006920AC"/>
    <w:rsid w:val="006A182C"/>
    <w:rsid w:val="006A40E7"/>
    <w:rsid w:val="006A4143"/>
    <w:rsid w:val="006A4C9F"/>
    <w:rsid w:val="006A4D27"/>
    <w:rsid w:val="006A6289"/>
    <w:rsid w:val="006B095E"/>
    <w:rsid w:val="006B2E4E"/>
    <w:rsid w:val="006B3DA8"/>
    <w:rsid w:val="006B435B"/>
    <w:rsid w:val="006C1234"/>
    <w:rsid w:val="006D24D4"/>
    <w:rsid w:val="006D25B5"/>
    <w:rsid w:val="006D403F"/>
    <w:rsid w:val="006E1B2A"/>
    <w:rsid w:val="006E56FF"/>
    <w:rsid w:val="006E7FF8"/>
    <w:rsid w:val="006F0EFC"/>
    <w:rsid w:val="006F3AFB"/>
    <w:rsid w:val="006F5D30"/>
    <w:rsid w:val="00703406"/>
    <w:rsid w:val="00707A9C"/>
    <w:rsid w:val="00710040"/>
    <w:rsid w:val="00711BFD"/>
    <w:rsid w:val="00712829"/>
    <w:rsid w:val="00712AD1"/>
    <w:rsid w:val="00723F04"/>
    <w:rsid w:val="00725089"/>
    <w:rsid w:val="00725AFF"/>
    <w:rsid w:val="007264BF"/>
    <w:rsid w:val="00727138"/>
    <w:rsid w:val="00727543"/>
    <w:rsid w:val="007302DA"/>
    <w:rsid w:val="00730D17"/>
    <w:rsid w:val="007346E8"/>
    <w:rsid w:val="0073483D"/>
    <w:rsid w:val="0073685F"/>
    <w:rsid w:val="007448CF"/>
    <w:rsid w:val="0074524E"/>
    <w:rsid w:val="00746B5E"/>
    <w:rsid w:val="00750F51"/>
    <w:rsid w:val="007555E4"/>
    <w:rsid w:val="00755824"/>
    <w:rsid w:val="00772DDA"/>
    <w:rsid w:val="00782A4C"/>
    <w:rsid w:val="00782B62"/>
    <w:rsid w:val="00784A55"/>
    <w:rsid w:val="007851A1"/>
    <w:rsid w:val="00786CB0"/>
    <w:rsid w:val="00791502"/>
    <w:rsid w:val="00791836"/>
    <w:rsid w:val="00791D5D"/>
    <w:rsid w:val="00793985"/>
    <w:rsid w:val="00794F26"/>
    <w:rsid w:val="00795AA1"/>
    <w:rsid w:val="00796807"/>
    <w:rsid w:val="007A7B2C"/>
    <w:rsid w:val="007B23AA"/>
    <w:rsid w:val="007C1B63"/>
    <w:rsid w:val="007D042D"/>
    <w:rsid w:val="007D3642"/>
    <w:rsid w:val="007E355B"/>
    <w:rsid w:val="007E58B0"/>
    <w:rsid w:val="007E6002"/>
    <w:rsid w:val="007F1284"/>
    <w:rsid w:val="007F12D2"/>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5257"/>
    <w:rsid w:val="00830DA8"/>
    <w:rsid w:val="0083207E"/>
    <w:rsid w:val="00840691"/>
    <w:rsid w:val="008412DE"/>
    <w:rsid w:val="00842741"/>
    <w:rsid w:val="008445FB"/>
    <w:rsid w:val="0085369A"/>
    <w:rsid w:val="00856E10"/>
    <w:rsid w:val="0086077D"/>
    <w:rsid w:val="00860EFF"/>
    <w:rsid w:val="00864F10"/>
    <w:rsid w:val="00875AF2"/>
    <w:rsid w:val="00880BC7"/>
    <w:rsid w:val="0088520C"/>
    <w:rsid w:val="008911FF"/>
    <w:rsid w:val="00894913"/>
    <w:rsid w:val="00895354"/>
    <w:rsid w:val="00896308"/>
    <w:rsid w:val="008979F3"/>
    <w:rsid w:val="008A4790"/>
    <w:rsid w:val="008A4D30"/>
    <w:rsid w:val="008A5283"/>
    <w:rsid w:val="008A6582"/>
    <w:rsid w:val="008B0F10"/>
    <w:rsid w:val="008B189F"/>
    <w:rsid w:val="008B6C7E"/>
    <w:rsid w:val="008C0A87"/>
    <w:rsid w:val="008C3573"/>
    <w:rsid w:val="008C3C14"/>
    <w:rsid w:val="008C5BC5"/>
    <w:rsid w:val="008D0571"/>
    <w:rsid w:val="008D2BD9"/>
    <w:rsid w:val="008D42F2"/>
    <w:rsid w:val="008E2808"/>
    <w:rsid w:val="008E3CBE"/>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46FFB"/>
    <w:rsid w:val="00951AD1"/>
    <w:rsid w:val="00956A64"/>
    <w:rsid w:val="009605A5"/>
    <w:rsid w:val="0096693D"/>
    <w:rsid w:val="0097024D"/>
    <w:rsid w:val="009764B7"/>
    <w:rsid w:val="00981A43"/>
    <w:rsid w:val="0098490E"/>
    <w:rsid w:val="0098579F"/>
    <w:rsid w:val="0098623D"/>
    <w:rsid w:val="00987746"/>
    <w:rsid w:val="009930BE"/>
    <w:rsid w:val="009937F3"/>
    <w:rsid w:val="00993F9F"/>
    <w:rsid w:val="00997875"/>
    <w:rsid w:val="009A0533"/>
    <w:rsid w:val="009A0F2A"/>
    <w:rsid w:val="009A50AC"/>
    <w:rsid w:val="009A6124"/>
    <w:rsid w:val="009A70B4"/>
    <w:rsid w:val="009B4218"/>
    <w:rsid w:val="009B7355"/>
    <w:rsid w:val="009B775D"/>
    <w:rsid w:val="009C46A2"/>
    <w:rsid w:val="009C7BF5"/>
    <w:rsid w:val="009D1706"/>
    <w:rsid w:val="009D20B0"/>
    <w:rsid w:val="009D3AAD"/>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7B84"/>
    <w:rsid w:val="00A63408"/>
    <w:rsid w:val="00A6451B"/>
    <w:rsid w:val="00A65484"/>
    <w:rsid w:val="00A66FE6"/>
    <w:rsid w:val="00A7271F"/>
    <w:rsid w:val="00A749E1"/>
    <w:rsid w:val="00A821B0"/>
    <w:rsid w:val="00A85397"/>
    <w:rsid w:val="00A9102F"/>
    <w:rsid w:val="00A911AD"/>
    <w:rsid w:val="00A93A11"/>
    <w:rsid w:val="00A94BE2"/>
    <w:rsid w:val="00A963E5"/>
    <w:rsid w:val="00AA0FBF"/>
    <w:rsid w:val="00AA20F0"/>
    <w:rsid w:val="00AA2918"/>
    <w:rsid w:val="00AA3588"/>
    <w:rsid w:val="00AA471E"/>
    <w:rsid w:val="00AB1234"/>
    <w:rsid w:val="00AB17FC"/>
    <w:rsid w:val="00AB5138"/>
    <w:rsid w:val="00AB7D96"/>
    <w:rsid w:val="00AC6DAC"/>
    <w:rsid w:val="00AC7D71"/>
    <w:rsid w:val="00AD188B"/>
    <w:rsid w:val="00AD28D0"/>
    <w:rsid w:val="00AD3037"/>
    <w:rsid w:val="00AD45C7"/>
    <w:rsid w:val="00AD622F"/>
    <w:rsid w:val="00AE09F5"/>
    <w:rsid w:val="00AE6C2F"/>
    <w:rsid w:val="00AF6075"/>
    <w:rsid w:val="00B026D6"/>
    <w:rsid w:val="00B04921"/>
    <w:rsid w:val="00B11582"/>
    <w:rsid w:val="00B1184F"/>
    <w:rsid w:val="00B11B70"/>
    <w:rsid w:val="00B21CFB"/>
    <w:rsid w:val="00B22CB3"/>
    <w:rsid w:val="00B26A12"/>
    <w:rsid w:val="00B26C90"/>
    <w:rsid w:val="00B26D1C"/>
    <w:rsid w:val="00B32087"/>
    <w:rsid w:val="00B42788"/>
    <w:rsid w:val="00B5544E"/>
    <w:rsid w:val="00B562BC"/>
    <w:rsid w:val="00B61E08"/>
    <w:rsid w:val="00B632D4"/>
    <w:rsid w:val="00B649AC"/>
    <w:rsid w:val="00B6562C"/>
    <w:rsid w:val="00B71809"/>
    <w:rsid w:val="00B739D5"/>
    <w:rsid w:val="00B81A4A"/>
    <w:rsid w:val="00B83862"/>
    <w:rsid w:val="00B9179A"/>
    <w:rsid w:val="00BA1D1A"/>
    <w:rsid w:val="00BA574E"/>
    <w:rsid w:val="00BA772B"/>
    <w:rsid w:val="00BB60A6"/>
    <w:rsid w:val="00BB7BC7"/>
    <w:rsid w:val="00BC2F08"/>
    <w:rsid w:val="00BC40C9"/>
    <w:rsid w:val="00BC730C"/>
    <w:rsid w:val="00BD17B0"/>
    <w:rsid w:val="00BD23FD"/>
    <w:rsid w:val="00BD4A48"/>
    <w:rsid w:val="00BE32BB"/>
    <w:rsid w:val="00BE4F36"/>
    <w:rsid w:val="00BE6309"/>
    <w:rsid w:val="00BF0397"/>
    <w:rsid w:val="00BF3AE1"/>
    <w:rsid w:val="00BF61B7"/>
    <w:rsid w:val="00BF65E5"/>
    <w:rsid w:val="00C0052E"/>
    <w:rsid w:val="00C057B4"/>
    <w:rsid w:val="00C12B8D"/>
    <w:rsid w:val="00C12D7A"/>
    <w:rsid w:val="00C21951"/>
    <w:rsid w:val="00C2547E"/>
    <w:rsid w:val="00C2570A"/>
    <w:rsid w:val="00C26B1B"/>
    <w:rsid w:val="00C26FA5"/>
    <w:rsid w:val="00C270CD"/>
    <w:rsid w:val="00C305A2"/>
    <w:rsid w:val="00C34445"/>
    <w:rsid w:val="00C36C37"/>
    <w:rsid w:val="00C4343E"/>
    <w:rsid w:val="00C46C67"/>
    <w:rsid w:val="00C55221"/>
    <w:rsid w:val="00C57A1E"/>
    <w:rsid w:val="00C60649"/>
    <w:rsid w:val="00C617C1"/>
    <w:rsid w:val="00C64238"/>
    <w:rsid w:val="00C75966"/>
    <w:rsid w:val="00C8059F"/>
    <w:rsid w:val="00C82440"/>
    <w:rsid w:val="00C8395E"/>
    <w:rsid w:val="00C845D3"/>
    <w:rsid w:val="00C84D42"/>
    <w:rsid w:val="00C92D19"/>
    <w:rsid w:val="00C968E4"/>
    <w:rsid w:val="00CA271E"/>
    <w:rsid w:val="00CA47C8"/>
    <w:rsid w:val="00CB0601"/>
    <w:rsid w:val="00CB4856"/>
    <w:rsid w:val="00CB5567"/>
    <w:rsid w:val="00CC29F7"/>
    <w:rsid w:val="00CC42DF"/>
    <w:rsid w:val="00CC4934"/>
    <w:rsid w:val="00CC6CFB"/>
    <w:rsid w:val="00CD1DC4"/>
    <w:rsid w:val="00CD2A98"/>
    <w:rsid w:val="00CD4EDB"/>
    <w:rsid w:val="00CD5C30"/>
    <w:rsid w:val="00CD6BD3"/>
    <w:rsid w:val="00CE0A21"/>
    <w:rsid w:val="00CE5E34"/>
    <w:rsid w:val="00CE6EF4"/>
    <w:rsid w:val="00CF327D"/>
    <w:rsid w:val="00D108BF"/>
    <w:rsid w:val="00D120D4"/>
    <w:rsid w:val="00D127CF"/>
    <w:rsid w:val="00D12971"/>
    <w:rsid w:val="00D14AFB"/>
    <w:rsid w:val="00D15650"/>
    <w:rsid w:val="00D16BFA"/>
    <w:rsid w:val="00D2053F"/>
    <w:rsid w:val="00D23EE3"/>
    <w:rsid w:val="00D34284"/>
    <w:rsid w:val="00D3693F"/>
    <w:rsid w:val="00D41C8E"/>
    <w:rsid w:val="00D45104"/>
    <w:rsid w:val="00D45FDA"/>
    <w:rsid w:val="00D51002"/>
    <w:rsid w:val="00D57514"/>
    <w:rsid w:val="00D615E4"/>
    <w:rsid w:val="00D633B8"/>
    <w:rsid w:val="00D64E3E"/>
    <w:rsid w:val="00D64EAD"/>
    <w:rsid w:val="00D65953"/>
    <w:rsid w:val="00D67057"/>
    <w:rsid w:val="00D67BE6"/>
    <w:rsid w:val="00D751E0"/>
    <w:rsid w:val="00D8102A"/>
    <w:rsid w:val="00D86D77"/>
    <w:rsid w:val="00D953F5"/>
    <w:rsid w:val="00D973B4"/>
    <w:rsid w:val="00DB317B"/>
    <w:rsid w:val="00DB5B09"/>
    <w:rsid w:val="00DC2A2B"/>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407"/>
    <w:rsid w:val="00E10539"/>
    <w:rsid w:val="00E11393"/>
    <w:rsid w:val="00E22CED"/>
    <w:rsid w:val="00E24329"/>
    <w:rsid w:val="00E27449"/>
    <w:rsid w:val="00E30419"/>
    <w:rsid w:val="00E31527"/>
    <w:rsid w:val="00E32160"/>
    <w:rsid w:val="00E36DB5"/>
    <w:rsid w:val="00E414E4"/>
    <w:rsid w:val="00E42DB8"/>
    <w:rsid w:val="00E450BD"/>
    <w:rsid w:val="00E53276"/>
    <w:rsid w:val="00E541ED"/>
    <w:rsid w:val="00E57438"/>
    <w:rsid w:val="00E604DA"/>
    <w:rsid w:val="00E61442"/>
    <w:rsid w:val="00E61DD1"/>
    <w:rsid w:val="00E63640"/>
    <w:rsid w:val="00E71856"/>
    <w:rsid w:val="00E76F8B"/>
    <w:rsid w:val="00E805ED"/>
    <w:rsid w:val="00E8123E"/>
    <w:rsid w:val="00E819AD"/>
    <w:rsid w:val="00E826AA"/>
    <w:rsid w:val="00E8378C"/>
    <w:rsid w:val="00E8566F"/>
    <w:rsid w:val="00E91CC1"/>
    <w:rsid w:val="00E93730"/>
    <w:rsid w:val="00E94E6B"/>
    <w:rsid w:val="00EA2533"/>
    <w:rsid w:val="00EA6DF7"/>
    <w:rsid w:val="00EA7901"/>
    <w:rsid w:val="00EA7BA9"/>
    <w:rsid w:val="00EB3DFF"/>
    <w:rsid w:val="00EB6134"/>
    <w:rsid w:val="00EB68E2"/>
    <w:rsid w:val="00EC35E4"/>
    <w:rsid w:val="00EC5143"/>
    <w:rsid w:val="00ED0447"/>
    <w:rsid w:val="00ED3F15"/>
    <w:rsid w:val="00ED5A33"/>
    <w:rsid w:val="00ED70DD"/>
    <w:rsid w:val="00EE0523"/>
    <w:rsid w:val="00EE065E"/>
    <w:rsid w:val="00EE2B60"/>
    <w:rsid w:val="00EF35CA"/>
    <w:rsid w:val="00F11DE3"/>
    <w:rsid w:val="00F141A2"/>
    <w:rsid w:val="00F16C51"/>
    <w:rsid w:val="00F22638"/>
    <w:rsid w:val="00F26F2E"/>
    <w:rsid w:val="00F27BA8"/>
    <w:rsid w:val="00F30D17"/>
    <w:rsid w:val="00F50DCA"/>
    <w:rsid w:val="00F50E8A"/>
    <w:rsid w:val="00F64DA9"/>
    <w:rsid w:val="00F74226"/>
    <w:rsid w:val="00F7476E"/>
    <w:rsid w:val="00F77886"/>
    <w:rsid w:val="00F77A7C"/>
    <w:rsid w:val="00F806C5"/>
    <w:rsid w:val="00F87A03"/>
    <w:rsid w:val="00F87CF4"/>
    <w:rsid w:val="00F90C23"/>
    <w:rsid w:val="00F920B5"/>
    <w:rsid w:val="00F96431"/>
    <w:rsid w:val="00F972D3"/>
    <w:rsid w:val="00F97E9F"/>
    <w:rsid w:val="00FA1581"/>
    <w:rsid w:val="00FA40DA"/>
    <w:rsid w:val="00FA63F2"/>
    <w:rsid w:val="00FB1188"/>
    <w:rsid w:val="00FB20F6"/>
    <w:rsid w:val="00FB5612"/>
    <w:rsid w:val="00FB6879"/>
    <w:rsid w:val="00FD438E"/>
    <w:rsid w:val="00FE4D0D"/>
    <w:rsid w:val="00FE6E5E"/>
    <w:rsid w:val="00FF08D3"/>
    <w:rsid w:val="00FF2A17"/>
    <w:rsid w:val="00FF3AF3"/>
    <w:rsid w:val="00FF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pf1">
    <w:name w:val="pf1"/>
    <w:basedOn w:val="Normal"/>
    <w:rsid w:val="004422CC"/>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cf21">
    <w:name w:val="cf21"/>
    <w:basedOn w:val="DefaultParagraphFont"/>
    <w:rsid w:val="004422CC"/>
    <w:rPr>
      <w:rFonts w:ascii="Segoe UI" w:hAnsi="Segoe UI" w:cs="Segoe UI" w:hint="default"/>
      <w:color w:val="222222"/>
      <w:sz w:val="18"/>
      <w:szCs w:val="18"/>
    </w:rPr>
  </w:style>
  <w:style w:type="character" w:customStyle="1" w:styleId="cf31">
    <w:name w:val="cf31"/>
    <w:basedOn w:val="DefaultParagraphFont"/>
    <w:rsid w:val="004422CC"/>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5763064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18005734">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74065275">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295600814">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68204943">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1718003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61238490">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1996957797">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journal/10763" TargetMode="External"/><Relationship Id="rId2" Type="http://schemas.openxmlformats.org/officeDocument/2006/relationships/hyperlink" Target="https://link.springer.com/journal/13394" TargetMode="External"/><Relationship Id="rId1" Type="http://schemas.openxmlformats.org/officeDocument/2006/relationships/hyperlink" Target="https://www.tandfonline.com/journals/rrme20" TargetMode="External"/><Relationship Id="rId4" Type="http://schemas.openxmlformats.org/officeDocument/2006/relationships/hyperlink" Target="https://us.sagepub.com/en-us/nam/asian-journal-for-mathematics-education/journal2037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87FB-E031-47FB-84B0-8C97E05A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15</Pages>
  <Words>19473</Words>
  <Characters>110997</Characters>
  <Application>Microsoft Office Word</Application>
  <DocSecurity>0</DocSecurity>
  <Lines>924</Lines>
  <Paragraphs>260</Paragraphs>
  <ScaleCrop>false</ScaleCrop>
  <HeadingPairs>
    <vt:vector size="6" baseType="variant">
      <vt:variant>
        <vt:lpstr>Titolo</vt:lpstr>
      </vt:variant>
      <vt:variant>
        <vt:i4>1</vt:i4>
      </vt:variant>
      <vt:variant>
        <vt:lpstr>Title</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130210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68</cp:revision>
  <cp:lastPrinted>2023-09-30T17:21:00Z</cp:lastPrinted>
  <dcterms:created xsi:type="dcterms:W3CDTF">2024-07-12T16:58:00Z</dcterms:created>
  <dcterms:modified xsi:type="dcterms:W3CDTF">2024-07-18T10:02:00Z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id="BQPZCFLM"/&gt;&lt;style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