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278AAB" w14:textId="013BBC49" w:rsidR="00A13A1C" w:rsidRDefault="00235AE8" w:rsidP="00235AE8">
      <w:pPr>
        <w:pStyle w:val="Heading1"/>
      </w:pPr>
      <w:r w:rsidRPr="00235AE8">
        <w:rPr>
          <w:rStyle w:val="Heading1Char"/>
        </w:rPr>
        <w:t>Survival Analysis in Education: A Systematic Literature Review, Bibliometric Insights, and Methodological</w:t>
      </w:r>
      <w:r w:rsidRPr="00235AE8">
        <w:t xml:space="preserve"> Comparison</w:t>
      </w:r>
    </w:p>
    <w:p w14:paraId="3E0FE47B" w14:textId="77ED8155" w:rsidR="00D74837" w:rsidRDefault="00A13A1C" w:rsidP="00A13A1C">
      <w:r>
        <w:t xml:space="preserve">V WOS </w:t>
      </w:r>
      <w:proofErr w:type="spellStart"/>
      <w:r>
        <w:t>vse</w:t>
      </w:r>
      <w:proofErr w:type="spellEnd"/>
      <w:r>
        <w:t xml:space="preserve"> “Survival analysis” AND “Education” in glede n ate v abstract / keyword Koliko </w:t>
      </w:r>
      <w:proofErr w:type="spellStart"/>
      <w:r>
        <w:t>posamenih</w:t>
      </w:r>
      <w:proofErr w:type="spellEnd"/>
      <w:r>
        <w:t>.</w:t>
      </w:r>
    </w:p>
    <w:p w14:paraId="3F9C3CC5" w14:textId="6D878254" w:rsidR="000D2592" w:rsidRDefault="00D74837" w:rsidP="00A13A1C">
      <w:proofErr w:type="spellStart"/>
      <w:r>
        <w:t>Priloga</w:t>
      </w:r>
      <w:proofErr w:type="spellEnd"/>
      <w:r>
        <w:t xml:space="preserve"> 10 </w:t>
      </w:r>
      <w:proofErr w:type="spellStart"/>
      <w:r>
        <w:t>najbolj</w:t>
      </w:r>
      <w:proofErr w:type="spellEnd"/>
      <w:r>
        <w:t xml:space="preserve"> </w:t>
      </w:r>
      <w:proofErr w:type="spellStart"/>
      <w:r>
        <w:t>citiranih</w:t>
      </w:r>
      <w:proofErr w:type="spellEnd"/>
      <w:r>
        <w:t xml:space="preserve"> SLR</w:t>
      </w:r>
    </w:p>
    <w:p w14:paraId="69CA4211" w14:textId="029FB273" w:rsidR="000D2592" w:rsidRDefault="000D2592" w:rsidP="003B00A0">
      <w:pPr>
        <w:pStyle w:val="Heading2"/>
      </w:pPr>
      <w:r>
        <w:t>Abstract</w:t>
      </w:r>
    </w:p>
    <w:p w14:paraId="16BCD0F4" w14:textId="438DA8D7" w:rsidR="000D2592" w:rsidRDefault="000D2592" w:rsidP="000D2592">
      <w:pPr>
        <w:pStyle w:val="Heading2"/>
      </w:pPr>
      <w:r>
        <w:t>Keywords</w:t>
      </w:r>
    </w:p>
    <w:p w14:paraId="49520AF5" w14:textId="092E56F0" w:rsidR="00235AE8" w:rsidRPr="00235AE8" w:rsidRDefault="00235AE8" w:rsidP="00235AE8">
      <w:r>
        <w:t>Survival Analysis, Education Research, Dropout Prediction, Student Retention, Time-to-Event Analysis, Systematic Literature Review, Bibliometric Analysis, Methodological Comparison</w:t>
      </w:r>
    </w:p>
    <w:p w14:paraId="3FE64625" w14:textId="6AFBB0E1" w:rsidR="000D2592" w:rsidRDefault="000D2592" w:rsidP="000D2592">
      <w:pPr>
        <w:pStyle w:val="Heading2"/>
      </w:pPr>
      <w:r>
        <w:t>Introduction</w:t>
      </w:r>
    </w:p>
    <w:p w14:paraId="1EE23C08" w14:textId="77777777" w:rsidR="002E3A85" w:rsidRDefault="002E3A85" w:rsidP="002E3A85">
      <w:r w:rsidRPr="002E3A85">
        <w:t>Educational attainment plays a crucial role in personal development, economic mobility, and societal progress. However, dropout remains a significant issue across various educational levels, affecting both individual students and educational institutions. Understanding the factors influencing student retention and dropout rates is essential for developing effective policies and interventions. One powerful methodological approach to studying time-dependent educational outcomes is survival analysis, a statistical framework designed to model time-to-event data. This study aims to explore the application of survival analysis in education by conducting a systematic literature review, performing a bibliometric analysis, and comparing methodological approaches within the field.</w:t>
      </w:r>
    </w:p>
    <w:p w14:paraId="0A4B2107" w14:textId="7AA173BE" w:rsidR="000D2592" w:rsidRDefault="000D2592" w:rsidP="002E3A85">
      <w:pPr>
        <w:pStyle w:val="Heading3"/>
      </w:pPr>
      <w:r>
        <w:t>Dropout in education</w:t>
      </w:r>
    </w:p>
    <w:p w14:paraId="3EBFBC3C" w14:textId="2BDA10AE" w:rsidR="00D303A5" w:rsidRDefault="002E3A85" w:rsidP="002E3A85">
      <w:r w:rsidRPr="002E3A85">
        <w:t>Dropout rates in education vary across different regions, demographics, and educational levels, influenced by factors such as</w:t>
      </w:r>
      <w:r w:rsidR="00F9146B">
        <w:t xml:space="preserve"> </w:t>
      </w:r>
      <w:r w:rsidR="00F9146B" w:rsidRPr="00F9146B">
        <w:t>personal and economic issues, academic performance and satisfaction, social and institutional support, psychological determinants</w:t>
      </w:r>
      <w:r w:rsidR="00F9146B" w:rsidRPr="00F9146B">
        <w:t xml:space="preserve"> </w:t>
      </w:r>
      <w:r w:rsidR="00F9146B" w:rsidRPr="00F9146B">
        <w:t xml:space="preserve">and demographic </w:t>
      </w:r>
      <w:r w:rsidR="00F9146B" w:rsidRPr="00F9146B">
        <w:t>variables</w:t>
      </w:r>
      <w:r w:rsidR="00F9146B">
        <w:t xml:space="preserve"> </w:t>
      </w:r>
      <w:r w:rsidR="00F9146B">
        <w:fldChar w:fldCharType="begin"/>
      </w:r>
      <w:r w:rsidR="007A1EBE">
        <w:instrText xml:space="preserve"> ADDIN ZOTERO_ITEM CSL_CITATION {"citationID":"G9Dv2Mux","properties":{"formattedCitation":"(Addison &amp; Williams, 2023; Pusztai et al., 2022; Wild &amp; Schulze Heuling, 2020)","plainCitation":"(Addison &amp; Williams, 2023; Pusztai et al., 2022; Wild &amp; Schulze Heuling, 2020)","noteIndex":0},"citationItems":[{"id":1043,"uris":["http://zotero.org/users/local/ZlhuMgGE/items/A7GDHXAB"],"itemData":{"id":1043,"type":"article-journal","abstract":"Purpose\n              This paper aims to provide a parsimonious but rigorous model to assist decision-makers to determine critical factors which can lead to higher graduation rates amongst higher education institution (HEI) participants. It predicts the odds of dropout amongst university students, using HEI data from a developing country. This is used as a basis for a Student Retention Predictive (SRP) Model to inform HEI administrators about predicted risks of attrition amongst cohorts.\n            \n            \n              Design/methodology/approach\n              A classification tool, the Logistic Regression Model, is fitted to the data set for a particular HEI in a developing country. The model is used to predict significant factors for student dropout and to create a base model for predicted risks by various student demographic variables.\n            \n            \n              Findings\n              To reduce dropout and to ensure higher graduation rates, the model suggests that variables such as age group, faculty, academic standing and cumulative GPA are significant. These indicative results can drive intervention strategies to improve student retention in HEIs and lessen the gap between graduates and non-graduates, with the goal of reducing socio-economic inequalities in society.\n            \n            \n              Originality/value\n              This research employs risk bands (low, medium and high) to classify students at risk of attrition or drop out. This provides invaluable insights to HEI administrators in the development of intervention strategies to reduce dropout and increase graduation rates to impact the wider public policy issue of socio-economic inequities.","container-title":"Higher Education, Skills and Work-Based Learning","DOI":"10.1108/HESWBL-12-2022-0257","ISSN":"2042-3896","issue":"5","journalAbbreviation":"HESWBL","language":"en","license":"https://www.emerald.com/insight/site-policies","page":"865-885","source":"DOI.org (Crossref)","title":"Predicting student retention in higher education institutions (HEIs)","volume":"13","author":[{"family":"Addison","given":"Letetia"},{"family":"Williams","given":"Densil"}],"issued":{"date-parts":[["2023",10,20]]}}},{"id":1044,"uris":["http://zotero.org/users/local/ZlhuMgGE/items/PF44SGAK"],"itemData":{"id":1044,"type":"article-journal","abstract":"The purpose of this paper is to establish what sociodemographic and institutional factors cause students to drop out, become uncertain about their intentions to obtain a degree, or confidently advance towards the fulfilment of their ambitions. Our analysis is based on the combined databases of large-sample questionnaire surveys carried out among former students who dropped out from higher education institutions in an eastern region of Hungary as well as those carried out among current students. In addition to bivariate methods, we conduct multinomial logistic regression analysis to explore how students’ gender, social background, the funding of their training, willingness to do paid work alongside their studies, and relationships with academic staff and fellow students affect the chance of dropout, the risk of dropout, and persistence. In contrast to previous studies, which have mostly identified those at risk of dropping out of higher education and have primarily focused on the deficiencies of institutional integration, our novel results show that the actual dropout rate is at least as influenced by students’ unfavourable social background as it is by institutional factors.","container-title":"Education Sciences","DOI":"10.3390/educsci12110804","ISSN":"2227-7102","issue":"11","journalAbbreviation":"Education Sciences","language":"en","license":"https://creativecommons.org/licenses/by/4.0/","page":"804","source":"DOI.org (Crossref)","title":"Factors Influencing the Chance of Dropout or Being at Risk of Dropout in Higher Education","volume":"12","author":[{"family":"Pusztai","given":"Gabriella"},{"family":"Fényes","given":"Hajnalka"},{"family":"Kovács","given":"Klára"}],"issued":{"date-parts":[["2022",11,11]]}}},{"id":1042,"uris":["http://zotero.org/users/local/ZlhuMgGE/items/W6VH2HPT"],"itemData":{"id":1042,"type":"article-journal","container-title":"International Journal of Educational Research","DOI":"10.1016/j.ijer.2020.101687","ISSN":"08830355","journalAbbreviation":"International Journal of Educational Research","language":"en","page":"101687","source":"DOI.org (Crossref)","title":"Student dropout and retention: An event history analysis among students in cooperative higher education","title-short":"Student dropout and retention","volume":"104","author":[{"family":"Wild","given":"Steffen"},{"family":"Schulze Heuling","given":"Lydia"}],"issued":{"date-parts":[["2020"]]}}}],"schema":"https://github.com/citation-style-language/schema/raw/master/csl-citation.json"} </w:instrText>
      </w:r>
      <w:r w:rsidR="00F9146B">
        <w:fldChar w:fldCharType="separate"/>
      </w:r>
      <w:r w:rsidR="007A1EBE" w:rsidRPr="007A1EBE">
        <w:rPr>
          <w:rFonts w:ascii="Aptos" w:hAnsi="Aptos"/>
        </w:rPr>
        <w:t>(Addison &amp; Williams, 2023; Pusztai et al., 2022; Wild &amp; Schulze Heuling, 2020)</w:t>
      </w:r>
      <w:r w:rsidR="00F9146B">
        <w:fldChar w:fldCharType="end"/>
      </w:r>
      <w:r w:rsidR="00F9146B">
        <w:t>.</w:t>
      </w:r>
      <w:r w:rsidRPr="002E3A85">
        <w:t xml:space="preserve"> High dropout rates can lead to long-term negative consequences, including </w:t>
      </w:r>
      <w:r w:rsidR="007A1EBE">
        <w:t xml:space="preserve">individual </w:t>
      </w:r>
      <w:r w:rsidRPr="002E3A85">
        <w:t>reduced</w:t>
      </w:r>
      <w:r w:rsidR="007A1EBE">
        <w:t xml:space="preserve"> impact like</w:t>
      </w:r>
      <w:r w:rsidRPr="002E3A85">
        <w:t xml:space="preserve"> employment opportunities</w:t>
      </w:r>
      <w:r w:rsidR="007A1EBE">
        <w:t xml:space="preserve"> </w:t>
      </w:r>
      <w:r w:rsidR="007A1EBE">
        <w:fldChar w:fldCharType="begin"/>
      </w:r>
      <w:r w:rsidR="007A1EBE">
        <w:instrText xml:space="preserve"> ADDIN ZOTERO_ITEM CSL_CITATION {"citationID":"aTQjMwsg","properties":{"formattedCitation":"(Kiprianos &amp; Mpourgos, 2025)","plainCitation":"(Kiprianos &amp; Mpourgos, 2025)","noteIndex":0},"citationItems":[{"id":1046,"uris":["http://zotero.org/users/local/ZlhuMgGE/items/BMYQIV8H"],"itemData":{"id":1046,"type":"article-journal","abstract":"Student dropout is a universal social phenomenon, and several definitions are used to analyse it. In our paper, the term refers to those who have not completed Greece’s 11-year compulsory education. Our purpose is to investigate the consequences of student dropout in Ilia, Western Greece, a region which traditionally has very high dropout rates. We investigate how those who drop out perceive, live, and make sense of the consequences of not completing compulsory education. We conducted 64 semi-structured interviews in 2018 and 2019 with people aged 17–50 who had abandoned primary or low secondary school between 1980 and 2015. The sampling technique used was ‘theoretical sampling’. The inductive categorization system consists of 6 categories and 15 subcategories. We concluded that not completing compulsory education has consequences for most people that are not limited to the professional field, although some of them do state that they do not experience negative consequences. An integrated educational policy on student dropout must also consider this dimension.","container-title":"Journal of Adult and Continuing Education","DOI":"10.1177/14779714251314681","ISSN":"1477-9714, 1479-7194","journalAbbreviation":"Journal of Adult and Continuing Education","language":"en","page":"14779714251314681","source":"DOI.org (Crossref)","title":"School failure and life trajectories","author":[{"family":"Kiprianos","given":"Pandelis"},{"family":"Mpourgos","given":"Ioannis"}],"issued":{"date-parts":[["2025",1,18]]}}}],"schema":"https://github.com/citation-style-language/schema/raw/master/csl-citation.json"} </w:instrText>
      </w:r>
      <w:r w:rsidR="007A1EBE">
        <w:fldChar w:fldCharType="separate"/>
      </w:r>
      <w:r w:rsidR="007A1EBE" w:rsidRPr="007A1EBE">
        <w:rPr>
          <w:rFonts w:ascii="Aptos" w:hAnsi="Aptos"/>
        </w:rPr>
        <w:t>(</w:t>
      </w:r>
      <w:proofErr w:type="spellStart"/>
      <w:r w:rsidR="007A1EBE" w:rsidRPr="007A1EBE">
        <w:rPr>
          <w:rFonts w:ascii="Aptos" w:hAnsi="Aptos"/>
        </w:rPr>
        <w:t>Kiprianos</w:t>
      </w:r>
      <w:proofErr w:type="spellEnd"/>
      <w:r w:rsidR="007A1EBE" w:rsidRPr="007A1EBE">
        <w:rPr>
          <w:rFonts w:ascii="Aptos" w:hAnsi="Aptos"/>
        </w:rPr>
        <w:t xml:space="preserve"> &amp; </w:t>
      </w:r>
      <w:proofErr w:type="spellStart"/>
      <w:r w:rsidR="007A1EBE" w:rsidRPr="007A1EBE">
        <w:rPr>
          <w:rFonts w:ascii="Aptos" w:hAnsi="Aptos"/>
        </w:rPr>
        <w:t>Mpourgos</w:t>
      </w:r>
      <w:proofErr w:type="spellEnd"/>
      <w:r w:rsidR="007A1EBE" w:rsidRPr="007A1EBE">
        <w:rPr>
          <w:rFonts w:ascii="Aptos" w:hAnsi="Aptos"/>
        </w:rPr>
        <w:t>, 2025)</w:t>
      </w:r>
      <w:r w:rsidR="007A1EBE">
        <w:fldChar w:fldCharType="end"/>
      </w:r>
      <w:r w:rsidRPr="002E3A85">
        <w:t xml:space="preserve"> and </w:t>
      </w:r>
      <w:r w:rsidR="007A1EBE" w:rsidRPr="007A1EBE">
        <w:t>societal impacts</w:t>
      </w:r>
      <w:r w:rsidR="007A1EBE">
        <w:t xml:space="preserve"> </w:t>
      </w:r>
      <w:r w:rsidR="007A1EBE">
        <w:fldChar w:fldCharType="begin"/>
      </w:r>
      <w:r w:rsidR="007A1EBE">
        <w:instrText xml:space="preserve"> ADDIN ZOTERO_ITEM CSL_CITATION {"citationID":"4IcykOyz","properties":{"formattedCitation":"(Ressa &amp; Andrews, 2022)","plainCitation":"(Ressa &amp; Andrews, 2022)","noteIndex":0},"citationItems":[{"id":1047,"uris":["http://zotero.org/users/local/ZlhuMgGE/items/KIRGSIU6"],"itemData":{"id":1047,"type":"article-journal","abstract":"Out of school happens when a student withdraws themselves from school at any level of education without a certificate to account for their education. It is an educational problem in America because of its negative consequences on society. Three-quarters of the fastest-growing occupations require more than a high school diploma, and yet, just over half of American citizens acquire that extent of education. Out of the industrialized nations, America holds one of the largest high school dropout rates. Half of the students who begin college will never finish. School dropouts are intelligent individuals capable of offering a lot to the world. However, because they never complete their studies, their abilities may never transpire to their full effectiveness. Hence, solving school dropouts is key to national development. This paper discusses school dropouts in the United States to contribute to its solutions. It examines the causal factors and the effects of school dropouts on individuals and society. School dropout is prevalent among vulnerable groups, and the cost to disadvantaged individuals, families, communities, and nations is high. Since school dropout status has negative consequences, moderating this dilemma benefits the individual and broader society, locally and globally.","container-title":"International Journal of Modern Education Studies","DOI":"10.51383/ijonmes.2022.234","ISSN":"2618-6209","issue":"2","journalAbbreviation":"IJONMES","license":"http://creativecommons.org/licenses/by/4.0","source":"DOI.org (Crossref)","title":"HIGH SCHOOL DROPOUT DILEMMA IN AMERICA AND THE IMPORTANCE OF REFORMATION OF EDUCATION SYSTEMS TO EMPOWER ALL STUDENTS","URL":"https://www.ijonmes.net/index.php/ijonmes/article/view/234","volume":"6","author":[{"family":"Ressa","given":"Theodoto"},{"family":"Andrews","given":"Allyson"}],"accessed":{"date-parts":[["2025",4,18]]},"issued":{"date-parts":[["2022",10,20]]}}}],"schema":"https://github.com/citation-style-language/schema/raw/master/csl-citation.json"} </w:instrText>
      </w:r>
      <w:r w:rsidR="007A1EBE">
        <w:fldChar w:fldCharType="separate"/>
      </w:r>
      <w:r w:rsidR="007A1EBE" w:rsidRPr="007A1EBE">
        <w:rPr>
          <w:rFonts w:ascii="Aptos" w:hAnsi="Aptos"/>
        </w:rPr>
        <w:t>(Ressa &amp; Andrews, 2022)</w:t>
      </w:r>
      <w:r w:rsidR="007A1EBE">
        <w:fldChar w:fldCharType="end"/>
      </w:r>
      <w:r w:rsidRPr="002E3A85">
        <w:t xml:space="preserve">. Policymakers and educators have long sought ways to mitigate dropout rates through targeted interventions. However, accurately predicting and understanding dropout </w:t>
      </w:r>
      <w:r w:rsidR="00D303A5" w:rsidRPr="002E3A85">
        <w:t>behaviour</w:t>
      </w:r>
      <w:r w:rsidRPr="002E3A85">
        <w:t xml:space="preserve"> requires robust analytical methods that account for time-dependent risk </w:t>
      </w:r>
      <w:r w:rsidRPr="002E3A85">
        <w:lastRenderedPageBreak/>
        <w:t>factors and censoring, making survival analysis an ideal tool for such investigations</w:t>
      </w:r>
      <w:r w:rsidR="00F9146B">
        <w:t xml:space="preserve"> </w:t>
      </w:r>
      <w:r w:rsidR="00F9146B">
        <w:fldChar w:fldCharType="begin"/>
      </w:r>
      <w:r w:rsidR="00F9146B">
        <w:instrText xml:space="preserve"> ADDIN ZOTERO_ITEM CSL_CITATION {"citationID":"AO4I6dNq","properties":{"formattedCitation":"(Wild &amp; Schulze Heuling, 2020)","plainCitation":"(Wild &amp; Schulze Heuling, 2020)","noteIndex":0},"citationItems":[{"id":1042,"uris":["http://zotero.org/users/local/ZlhuMgGE/items/W6VH2HPT"],"itemData":{"id":1042,"type":"article-journal","container-title":"International Journal of Educational Research","DOI":"10.1016/j.ijer.2020.101687","ISSN":"08830355","journalAbbreviation":"International Journal of Educational Research","language":"en","page":"101687","source":"DOI.org (Crossref)","title":"Student dropout and retention: An event history analysis among students in cooperative higher education","title-short":"Student dropout and retention","volume":"104","author":[{"family":"Wild","given":"Steffen"},{"family":"Schulze Heuling","given":"Lydia"}],"issued":{"date-parts":[["2020"]]}}}],"schema":"https://github.com/citation-style-language/schema/raw/master/csl-citation.json"} </w:instrText>
      </w:r>
      <w:r w:rsidR="00F9146B">
        <w:fldChar w:fldCharType="separate"/>
      </w:r>
      <w:r w:rsidR="00F9146B" w:rsidRPr="00F9146B">
        <w:rPr>
          <w:rFonts w:ascii="Aptos" w:hAnsi="Aptos"/>
        </w:rPr>
        <w:t>(Wild &amp; Schulze Heuling, 2020)</w:t>
      </w:r>
      <w:r w:rsidR="00F9146B">
        <w:fldChar w:fldCharType="end"/>
      </w:r>
      <w:r w:rsidRPr="002E3A85">
        <w:t>.</w:t>
      </w:r>
    </w:p>
    <w:p w14:paraId="1D013781" w14:textId="78E9DC92" w:rsidR="000D2592" w:rsidRDefault="000D2592" w:rsidP="00D303A5">
      <w:pPr>
        <w:pStyle w:val="Heading3"/>
      </w:pPr>
      <w:r>
        <w:t>Survival analysis methods</w:t>
      </w:r>
    </w:p>
    <w:p w14:paraId="5A5CB315" w14:textId="29A98E0A" w:rsidR="00AE23A4" w:rsidRDefault="00AE23A4" w:rsidP="00AE23A4">
      <w:r>
        <w:t>Survival analysis encompasses a suite of statistical techniques designed to model the time until the occurrence of a specific event, such as student dropout or graduation. In the educational context, these methods are particularly valuable due to their ability to account for censoring—cases where the event of interest has not yet occurred—and to incorporate time-varying covariates that influence risk over time</w:t>
      </w:r>
      <w:r w:rsidR="007A1EBE">
        <w:t xml:space="preserve"> </w:t>
      </w:r>
      <w:r w:rsidR="007A1EBE">
        <w:fldChar w:fldCharType="begin"/>
      </w:r>
      <w:r w:rsidR="007A1EBE">
        <w:instrText xml:space="preserve"> ADDIN ZOTERO_ITEM CSL_CITATION {"citationID":"rDhlYJPo","properties":{"formattedCitation":"(Wild &amp; Schulze Heuling, 2020)","plainCitation":"(Wild &amp; Schulze Heuling, 2020)","noteIndex":0},"citationItems":[{"id":1042,"uris":["http://zotero.org/users/local/ZlhuMgGE/items/W6VH2HPT"],"itemData":{"id":1042,"type":"article-journal","container-title":"International Journal of Educational Research","DOI":"10.1016/j.ijer.2020.101687","ISSN":"08830355","journalAbbreviation":"International Journal of Educational Research","language":"en","page":"101687","source":"DOI.org (Crossref)","title":"Student dropout and retention: An event history analysis among students in cooperative higher education","title-short":"Student dropout and retention","volume":"104","author":[{"family":"Wild","given":"Steffen"},{"family":"Schulze Heuling","given":"Lydia"}],"issued":{"date-parts":[["2020"]]}}}],"schema":"https://github.com/citation-style-language/schema/raw/master/csl-citation.json"} </w:instrText>
      </w:r>
      <w:r w:rsidR="007A1EBE">
        <w:fldChar w:fldCharType="separate"/>
      </w:r>
      <w:r w:rsidR="007A1EBE" w:rsidRPr="007A1EBE">
        <w:rPr>
          <w:rFonts w:ascii="Aptos" w:hAnsi="Aptos"/>
        </w:rPr>
        <w:t>(Wild &amp; Schulze Heuling, 2020)</w:t>
      </w:r>
      <w:r w:rsidR="007A1EBE">
        <w:fldChar w:fldCharType="end"/>
      </w:r>
      <w:r>
        <w:t>.</w:t>
      </w:r>
    </w:p>
    <w:p w14:paraId="3F1CC240" w14:textId="6C94FBD5" w:rsidR="00AE23A4" w:rsidRDefault="00AE23A4" w:rsidP="00AE23A4">
      <w:r>
        <w:t>The most commonly used techniques include</w:t>
      </w:r>
      <w:r w:rsidR="00E813FE">
        <w:t>, but are not limited to</w:t>
      </w:r>
      <w:r>
        <w:t>:</w:t>
      </w:r>
    </w:p>
    <w:p w14:paraId="4C9530FE" w14:textId="7ABCBA2F" w:rsidR="00AE23A4" w:rsidRDefault="00AE23A4" w:rsidP="00AE23A4">
      <w:pPr>
        <w:pStyle w:val="ListParagraph"/>
        <w:numPr>
          <w:ilvl w:val="0"/>
          <w:numId w:val="2"/>
        </w:numPr>
      </w:pPr>
      <w:r>
        <w:t>Kaplan-Meier Estimator</w:t>
      </w:r>
      <w:r w:rsidR="00FA55F7">
        <w:t xml:space="preserve"> </w:t>
      </w:r>
      <w:r w:rsidR="00FA55F7">
        <w:fldChar w:fldCharType="begin"/>
      </w:r>
      <w:r w:rsidR="00FA55F7">
        <w:instrText xml:space="preserve"> ADDIN ZOTERO_ITEM CSL_CITATION {"citationID":"IKaYRu37","properties":{"formattedCitation":"(Lee, 2023)","plainCitation":"(Lee, 2023)","noteIndex":0},"citationItems":[{"id":1039,"uris":["http://zotero.org/users/local/ZlhuMgGE/items/UQRAUBJN"],"itemData":{"id":1039,"type":"article-journal","container-title":"Life Cycle","DOI":"10.54724/lc.2023.e8","ISSN":"2799-8894","journalAbbreviation":"Life Cycle","language":"en","page":"e8","source":"DOI.org (Crossref)","title":"Kaplan-Meier and Cox proportional hazards regression in survival analysis: statistical standard and guideline of Life Cycle Committee","title-short":"Kaplan-Meier and Cox proportional hazards regression in survival analysis","volume":"3","author":[{"family":"Lee","given":"Seung Won"}],"issued":{"date-parts":[["2023",5,17]]}}}],"schema":"https://github.com/citation-style-language/schema/raw/master/csl-citation.json"} </w:instrText>
      </w:r>
      <w:r w:rsidR="00FA55F7">
        <w:fldChar w:fldCharType="separate"/>
      </w:r>
      <w:r w:rsidR="00FA55F7" w:rsidRPr="00FA55F7">
        <w:rPr>
          <w:rFonts w:ascii="Aptos" w:hAnsi="Aptos"/>
        </w:rPr>
        <w:t>(Lee, 2023)</w:t>
      </w:r>
      <w:r w:rsidR="00FA55F7">
        <w:fldChar w:fldCharType="end"/>
      </w:r>
      <w:r>
        <w:t>: A non-parametric method used to estimate survival probabilities over time without assuming an underlying distribution.</w:t>
      </w:r>
    </w:p>
    <w:p w14:paraId="2442F527" w14:textId="749CB819" w:rsidR="00AE23A4" w:rsidRDefault="00AE23A4" w:rsidP="00AE23A4">
      <w:pPr>
        <w:pStyle w:val="ListParagraph"/>
        <w:numPr>
          <w:ilvl w:val="0"/>
          <w:numId w:val="2"/>
        </w:numPr>
      </w:pPr>
      <w:r>
        <w:t>Cox Proportional Hazards Model</w:t>
      </w:r>
      <w:r w:rsidR="00FA55F7">
        <w:t xml:space="preserve"> </w:t>
      </w:r>
      <w:r w:rsidR="00FA55F7">
        <w:fldChar w:fldCharType="begin"/>
      </w:r>
      <w:r w:rsidR="00FA55F7">
        <w:instrText xml:space="preserve"> ADDIN ZOTERO_ITEM CSL_CITATION {"citationID":"eQwkNYrt","properties":{"formattedCitation":"(Lee, 2023)","plainCitation":"(Lee, 2023)","noteIndex":0},"citationItems":[{"id":1039,"uris":["http://zotero.org/users/local/ZlhuMgGE/items/UQRAUBJN"],"itemData":{"id":1039,"type":"article-journal","container-title":"Life Cycle","DOI":"10.54724/lc.2023.e8","ISSN":"2799-8894","journalAbbreviation":"Life Cycle","language":"en","page":"e8","source":"DOI.org (Crossref)","title":"Kaplan-Meier and Cox proportional hazards regression in survival analysis: statistical standard and guideline of Life Cycle Committee","title-short":"Kaplan-Meier and Cox proportional hazards regression in survival analysis","volume":"3","author":[{"family":"Lee","given":"Seung Won"}],"issued":{"date-parts":[["2023",5,17]]}}}],"schema":"https://github.com/citation-style-language/schema/raw/master/csl-citation.json"} </w:instrText>
      </w:r>
      <w:r w:rsidR="00FA55F7">
        <w:fldChar w:fldCharType="separate"/>
      </w:r>
      <w:r w:rsidR="00FA55F7" w:rsidRPr="00FA55F7">
        <w:rPr>
          <w:rFonts w:ascii="Aptos" w:hAnsi="Aptos"/>
        </w:rPr>
        <w:t>(Lee, 2023)</w:t>
      </w:r>
      <w:r w:rsidR="00FA55F7">
        <w:fldChar w:fldCharType="end"/>
      </w:r>
      <w:r>
        <w:t>: A semi-parametric model that assesses the impact of covariates on the hazard function, widely used for its flexibility and interpretability.</w:t>
      </w:r>
    </w:p>
    <w:p w14:paraId="671C4366" w14:textId="21986CDF" w:rsidR="00AE23A4" w:rsidRDefault="00AE23A4" w:rsidP="00AE23A4">
      <w:pPr>
        <w:pStyle w:val="ListParagraph"/>
        <w:numPr>
          <w:ilvl w:val="0"/>
          <w:numId w:val="2"/>
        </w:numPr>
      </w:pPr>
      <w:r>
        <w:t>Discrete-Time Survival Models</w:t>
      </w:r>
      <w:r w:rsidR="00FA55F7">
        <w:t xml:space="preserve"> </w:t>
      </w:r>
      <w:r w:rsidR="00FA55F7">
        <w:fldChar w:fldCharType="begin"/>
      </w:r>
      <w:r w:rsidR="00FA55F7">
        <w:instrText xml:space="preserve"> ADDIN ZOTERO_ITEM CSL_CITATION {"citationID":"oBhEcoS7","properties":{"formattedCitation":"(Schmid &amp; Berger, 2021)","plainCitation":"(Schmid &amp; Berger, 2021)","noteIndex":0},"citationItems":[{"id":1041,"uris":["http://zotero.org/users/local/ZlhuMgGE/items/JYJ6Z22B"],"itemData":{"id":1041,"type":"article-journal","abstract":"Abstract\n            This article presents an overview of statistical methods for the analysis of discrete failure times with competing events. We describe the most commonly used modeling approaches for this type of data, including discrete versions of the cause</w:instrText>
      </w:r>
      <w:r w:rsidR="00FA55F7">
        <w:rPr>
          <w:rFonts w:ascii="Cambria Math" w:hAnsi="Cambria Math" w:cs="Cambria Math"/>
        </w:rPr>
        <w:instrText>‐</w:instrText>
      </w:r>
      <w:r w:rsidR="00FA55F7">
        <w:instrText>specific hazards model and the subdistribution hazard model. In addition to discussing the characteristics of these methods, we present approaches to nonparametric estimation and model validation. Our literature review suggests that discrete competing</w:instrText>
      </w:r>
      <w:r w:rsidR="00FA55F7">
        <w:rPr>
          <w:rFonts w:ascii="Cambria Math" w:hAnsi="Cambria Math" w:cs="Cambria Math"/>
        </w:rPr>
        <w:instrText>‐</w:instrText>
      </w:r>
      <w:r w:rsidR="00FA55F7">
        <w:instrText>risks analysis has gained substantial interest in the research community and is used regularly in econometrics, biostatistics, and educational research.\n            \n              This article is categorized under:\n              \n                \n                  Statistical Models &gt; Survival Models\n                \n                \n                  Statistical Models &gt; Semiparametric Models\n                \n                \n                  Statistical Models &gt; Generalized Linear Models","container-title":"WIREs Computational Statistics","DOI":"10.1002/wics.1529","ISSN":"1939-5108, 1939-0068","issue":"5","journalAbbreviation":"WIREs Computational Stats","language":"en","page":"e1529","source":"DOI.org (Crossref)","title":"Competing risks analysis for discrete time</w:instrText>
      </w:r>
      <w:r w:rsidR="00FA55F7">
        <w:rPr>
          <w:rFonts w:ascii="Cambria Math" w:hAnsi="Cambria Math" w:cs="Cambria Math"/>
        </w:rPr>
        <w:instrText>‐</w:instrText>
      </w:r>
      <w:r w:rsidR="00FA55F7">
        <w:instrText>to</w:instrText>
      </w:r>
      <w:r w:rsidR="00FA55F7">
        <w:rPr>
          <w:rFonts w:ascii="Cambria Math" w:hAnsi="Cambria Math" w:cs="Cambria Math"/>
        </w:rPr>
        <w:instrText>‐</w:instrText>
      </w:r>
      <w:r w:rsidR="00FA55F7">
        <w:instrText xml:space="preserve">event data","volume":"13","author":[{"family":"Schmid","given":"Matthias"},{"family":"Berger","given":"Moritz"}],"issued":{"date-parts":[["2021",9]]}}}],"schema":"https://github.com/citation-style-language/schema/raw/master/csl-citation.json"} </w:instrText>
      </w:r>
      <w:r w:rsidR="00FA55F7">
        <w:fldChar w:fldCharType="separate"/>
      </w:r>
      <w:r w:rsidR="00FA55F7" w:rsidRPr="00FA55F7">
        <w:rPr>
          <w:rFonts w:ascii="Aptos" w:hAnsi="Aptos"/>
        </w:rPr>
        <w:t>(Schmid &amp; Berger, 2021)</w:t>
      </w:r>
      <w:r w:rsidR="00FA55F7">
        <w:fldChar w:fldCharType="end"/>
      </w:r>
      <w:r>
        <w:t>: Suitable for data collected in regular intervals (e.g., academic years), allowing for logistic regression frameworks.</w:t>
      </w:r>
    </w:p>
    <w:p w14:paraId="746951BE" w14:textId="021CB314" w:rsidR="00FA55F7" w:rsidRDefault="00AE23A4" w:rsidP="00D303A5">
      <w:pPr>
        <w:pStyle w:val="ListParagraph"/>
        <w:numPr>
          <w:ilvl w:val="0"/>
          <w:numId w:val="2"/>
        </w:numPr>
      </w:pPr>
      <w:r>
        <w:t>Competing Risks Models</w:t>
      </w:r>
      <w:r w:rsidR="00FA55F7">
        <w:t xml:space="preserve"> </w:t>
      </w:r>
      <w:r w:rsidR="00FA55F7">
        <w:fldChar w:fldCharType="begin"/>
      </w:r>
      <w:r w:rsidR="00FA55F7">
        <w:instrText xml:space="preserve"> ADDIN ZOTERO_ITEM CSL_CITATION {"citationID":"UGG7dSgG","properties":{"formattedCitation":"(Schmid &amp; Berger, 2021)","plainCitation":"(Schmid &amp; Berger, 2021)","noteIndex":0},"citationItems":[{"id":1041,"uris":["http://zotero.org/users/local/ZlhuMgGE/items/JYJ6Z22B"],"itemData":{"id":1041,"type":"article-journal","abstract":"Abstract\n            This article presents an overview of statistical methods for the analysis of discrete failure times with competing events. We describe the most commonly used modeling approaches for this type of data, including discrete versions of the cause</w:instrText>
      </w:r>
      <w:r w:rsidR="00FA55F7">
        <w:rPr>
          <w:rFonts w:ascii="Cambria Math" w:hAnsi="Cambria Math" w:cs="Cambria Math"/>
        </w:rPr>
        <w:instrText>‐</w:instrText>
      </w:r>
      <w:r w:rsidR="00FA55F7">
        <w:instrText>specific hazards model and the subdistribution hazard model. In addition to discussing the characteristics of these methods, we present approaches to nonparametric estimation and model validation. Our literature review suggests that discrete competing</w:instrText>
      </w:r>
      <w:r w:rsidR="00FA55F7">
        <w:rPr>
          <w:rFonts w:ascii="Cambria Math" w:hAnsi="Cambria Math" w:cs="Cambria Math"/>
        </w:rPr>
        <w:instrText>‐</w:instrText>
      </w:r>
      <w:r w:rsidR="00FA55F7">
        <w:instrText>risks analysis has gained substantial interest in the research community and is used regularly in econometrics, biostatistics, and educational research.\n            \n              This article is categorized under:\n              \n                \n                  Statistical Models &gt; Survival Models\n                \n                \n                  Statistical Models &gt; Semiparametric Models\n                \n                \n                  Statistical Models &gt; Generalized Linear Models","container-title":"WIREs Computational Statistics","DOI":"10.1002/wics.1529","ISSN":"1939-5108, 1939-0068","issue":"5","journalAbbreviation":"WIREs Computational Stats","language":"en","page":"e1529","source":"DOI.org (Crossref)","title":"Competing risks analysis for discrete time</w:instrText>
      </w:r>
      <w:r w:rsidR="00FA55F7">
        <w:rPr>
          <w:rFonts w:ascii="Cambria Math" w:hAnsi="Cambria Math" w:cs="Cambria Math"/>
        </w:rPr>
        <w:instrText>‐</w:instrText>
      </w:r>
      <w:r w:rsidR="00FA55F7">
        <w:instrText>to</w:instrText>
      </w:r>
      <w:r w:rsidR="00FA55F7">
        <w:rPr>
          <w:rFonts w:ascii="Cambria Math" w:hAnsi="Cambria Math" w:cs="Cambria Math"/>
        </w:rPr>
        <w:instrText>‐</w:instrText>
      </w:r>
      <w:r w:rsidR="00FA55F7">
        <w:instrText xml:space="preserve">event data","volume":"13","author":[{"family":"Schmid","given":"Matthias"},{"family":"Berger","given":"Moritz"}],"issued":{"date-parts":[["2021",9]]}}}],"schema":"https://github.com/citation-style-language/schema/raw/master/csl-citation.json"} </w:instrText>
      </w:r>
      <w:r w:rsidR="00FA55F7">
        <w:fldChar w:fldCharType="separate"/>
      </w:r>
      <w:r w:rsidR="00FA55F7" w:rsidRPr="00FA55F7">
        <w:rPr>
          <w:rFonts w:ascii="Aptos" w:hAnsi="Aptos"/>
        </w:rPr>
        <w:t>(Schmid &amp; Berger, 2021)</w:t>
      </w:r>
      <w:r w:rsidR="00FA55F7">
        <w:fldChar w:fldCharType="end"/>
      </w:r>
      <w:r>
        <w:t>: Applied when individuals are exposed to multiple potential events, enabling the analysis of cause-specific outcomes.</w:t>
      </w:r>
    </w:p>
    <w:p w14:paraId="7BCD0248" w14:textId="2CC9C722" w:rsidR="00D303A5" w:rsidRPr="00D303A5" w:rsidRDefault="00AE23A4" w:rsidP="00FA55F7">
      <w:r>
        <w:t>These methods enable researchers to capture the dynamic and multifactorial nature of educational trajectories, offering nuanced insights into factors that influence student persistence and attrition over time.</w:t>
      </w:r>
    </w:p>
    <w:p w14:paraId="3A10A26D" w14:textId="5A904282" w:rsidR="000D2592" w:rsidRDefault="000D2592" w:rsidP="003B00A0">
      <w:pPr>
        <w:pStyle w:val="Heading3"/>
      </w:pPr>
      <w:r>
        <w:t>Existing literature</w:t>
      </w:r>
    </w:p>
    <w:p w14:paraId="776591CC" w14:textId="68BAEEDF" w:rsidR="0003677C" w:rsidRDefault="0003677C" w:rsidP="0003677C">
      <w:r>
        <w:t>Despite the long-standing application of survival analysis in fields like medicine and engineering, its systematic use in educational research remains relatively limited</w:t>
      </w:r>
      <w:r w:rsidR="00E813FE">
        <w:t xml:space="preserve">. </w:t>
      </w:r>
      <w:r>
        <w:t xml:space="preserve">One of the most influential and methodologically rigorous contributions is the systematic literature review by </w:t>
      </w:r>
      <w:r w:rsidR="00E813FE">
        <w:fldChar w:fldCharType="begin"/>
      </w:r>
      <w:r w:rsidR="00E813FE">
        <w:instrText xml:space="preserve"> ADDIN ZOTERO_ITEM CSL_CITATION {"citationID":"IxtwGN9M","properties":{"formattedCitation":"(Willett &amp; Singer, 1991)","plainCitation":"(Willett &amp; Singer, 1991)","noteIndex":0},"citationItems":[{"id":1038,"uris":["http://zotero.org/users/local/ZlhuMgGE/items/GYB7GGMN"],"itemData":{"id":1038,"type":"article-journal","abstract":"Educational researchers studying student dropout and teacher attrition typically ask whether specific events occur by particular points in time. In this article, we argue that a more powerful and informative way of framing such questions is to ask when the transitions occur. We believe that researchers avoid asking questions about time-to-event (“When?”) because of methodological difficulties introduced when members of the sample do not experience the target events during the data collection period. These people—the students who do not graduate or drop out, the teachers who do not quit—possess censored event times. Until recently, statistical techniques available for analyzing censored data were in their infancy. In this article, we show how the methods of survival analysis (also known as event history analysis) lend themselves naturally to the study of the timing of educational events. Drawing examples from the literature on teacher attrition and student dropout and graduation, we introduce a panoply of survival methods useful for describing the timing of educational transitions and for building statistical models of the risk of event occurrence over time. We hope that this nontechnical introduction to survival methods will help educational researchers articulate and explore important substantive questions that they have raised but have yet to answer.","container-title":"Review of Educational Research","DOI":"10.3102/00346543061004407","ISSN":"0034-6543, 1935-1046","issue":"4","journalAbbreviation":"Review of Educational Research","language":"en","license":"https://journals.sagepub.com/page/policies/text-and-data-mining-license","page":"407-450","source":"DOI.org (Crossref)","title":"From Whether to When: New Methods for Studying Student Dropout and Teacher Attrition","title-short":"From Whether to When","volume":"61","author":[{"family":"Willett","given":"John B."},{"family":"Singer","given":"Judith D."}],"issued":{"date-parts":[["1991",12]]}}}],"schema":"https://github.com/citation-style-language/schema/raw/master/csl-citation.json"} </w:instrText>
      </w:r>
      <w:r w:rsidR="00E813FE">
        <w:fldChar w:fldCharType="separate"/>
      </w:r>
      <w:r w:rsidR="00E813FE" w:rsidRPr="00E813FE">
        <w:rPr>
          <w:rFonts w:ascii="Aptos" w:hAnsi="Aptos"/>
        </w:rPr>
        <w:t>(Willett &amp; Singer, 1991)</w:t>
      </w:r>
      <w:r w:rsidR="00E813FE">
        <w:fldChar w:fldCharType="end"/>
      </w:r>
      <w:r w:rsidR="00E813FE">
        <w:t xml:space="preserve"> </w:t>
      </w:r>
      <w:r>
        <w:t xml:space="preserve">titled "From Whether to When: New Methods for Studying Student Dropout and Teacher Attrition." This foundational work introduced educational researchers to the core principles of survival analysis, emphasizing its relevance for </w:t>
      </w:r>
      <w:r w:rsidR="00E813FE">
        <w:t>modelling</w:t>
      </w:r>
      <w:r>
        <w:t xml:space="preserve"> time-to-event educational outcomes. The authors showcased a range of survival methods—such as Kaplan-Meier estimators and discrete-time hazard models—and applied them to teacher attrition and student dropout, arguing for the necessity of </w:t>
      </w:r>
      <w:r w:rsidR="00E813FE">
        <w:t>analysing</w:t>
      </w:r>
      <w:r>
        <w:t xml:space="preserve"> when events occur, not just if they occur. Their review highlighted the challenges of censoring in educational datasets and offered a conceptual and </w:t>
      </w:r>
      <w:r>
        <w:lastRenderedPageBreak/>
        <w:t>methodological framework that continues to inform survival-based educational studies today</w:t>
      </w:r>
      <w:r>
        <w:rPr>
          <w:rFonts w:ascii="Arial" w:hAnsi="Arial" w:cs="Arial"/>
        </w:rPr>
        <w:t>​</w:t>
      </w:r>
      <w:r>
        <w:t>.</w:t>
      </w:r>
    </w:p>
    <w:p w14:paraId="7FA3BD81" w14:textId="2B6B4F04" w:rsidR="0003677C" w:rsidRPr="0003677C" w:rsidRDefault="0003677C" w:rsidP="0003677C">
      <w:r>
        <w:t xml:space="preserve">However, as survival analysis techniques have advanced—particularly through the integration of machine learning, expanded covariate </w:t>
      </w:r>
      <w:r w:rsidR="00E813FE">
        <w:t>modelling</w:t>
      </w:r>
      <w:r>
        <w:t>, and broader educational contexts—there is a need to revisit this body of literature through the lens of newer empirical contributions</w:t>
      </w:r>
      <w:r w:rsidR="00E813FE">
        <w:t xml:space="preserve">, even if they do not meet the standard of being review </w:t>
      </w:r>
      <w:proofErr w:type="spellStart"/>
      <w:r w:rsidR="00E813FE">
        <w:t>type</w:t>
      </w:r>
      <w:r>
        <w:t>.</w:t>
      </w:r>
      <w:r w:rsidR="00E813FE" w:rsidRPr="00E813FE">
        <w:rPr>
          <w:highlight w:val="yellow"/>
        </w:rPr>
        <w:t>Tu</w:t>
      </w:r>
      <w:proofErr w:type="spellEnd"/>
      <w:r w:rsidR="00E813FE" w:rsidRPr="00E813FE">
        <w:rPr>
          <w:highlight w:val="yellow"/>
        </w:rPr>
        <w:t xml:space="preserve"> bi </w:t>
      </w:r>
      <w:proofErr w:type="spellStart"/>
      <w:r w:rsidR="00E813FE" w:rsidRPr="00E813FE">
        <w:rPr>
          <w:highlight w:val="yellow"/>
        </w:rPr>
        <w:t>dodal</w:t>
      </w:r>
      <w:proofErr w:type="spellEnd"/>
      <w:r w:rsidR="00E813FE" w:rsidRPr="00E813FE">
        <w:rPr>
          <w:highlight w:val="yellow"/>
        </w:rPr>
        <w:t xml:space="preserve"> </w:t>
      </w:r>
      <w:proofErr w:type="spellStart"/>
      <w:r w:rsidR="00E813FE" w:rsidRPr="00E813FE">
        <w:rPr>
          <w:highlight w:val="yellow"/>
        </w:rPr>
        <w:t>še</w:t>
      </w:r>
      <w:proofErr w:type="spellEnd"/>
      <w:r w:rsidR="00E813FE" w:rsidRPr="00E813FE">
        <w:rPr>
          <w:highlight w:val="yellow"/>
        </w:rPr>
        <w:t xml:space="preserve"> </w:t>
      </w:r>
      <w:proofErr w:type="spellStart"/>
      <w:r w:rsidR="00E813FE" w:rsidRPr="00E813FE">
        <w:rPr>
          <w:highlight w:val="yellow"/>
        </w:rPr>
        <w:t>kaj</w:t>
      </w:r>
      <w:proofErr w:type="spellEnd"/>
      <w:r w:rsidR="00E813FE" w:rsidRPr="00E813FE">
        <w:rPr>
          <w:highlight w:val="yellow"/>
        </w:rPr>
        <w:t xml:space="preserve">, </w:t>
      </w:r>
      <w:proofErr w:type="spellStart"/>
      <w:r w:rsidR="00E813FE" w:rsidRPr="00E813FE">
        <w:rPr>
          <w:highlight w:val="yellow"/>
        </w:rPr>
        <w:t>ampak</w:t>
      </w:r>
      <w:proofErr w:type="spellEnd"/>
      <w:r w:rsidR="00E813FE" w:rsidRPr="00E813FE">
        <w:rPr>
          <w:highlight w:val="yellow"/>
        </w:rPr>
        <w:t xml:space="preserve"> SLR/Meta je </w:t>
      </w:r>
      <w:proofErr w:type="spellStart"/>
      <w:r w:rsidR="00E813FE" w:rsidRPr="00E813FE">
        <w:rPr>
          <w:highlight w:val="yellow"/>
        </w:rPr>
        <w:t>edini</w:t>
      </w:r>
      <w:proofErr w:type="spellEnd"/>
      <w:r w:rsidR="00E813FE" w:rsidRPr="00E813FE">
        <w:rPr>
          <w:highlight w:val="yellow"/>
        </w:rPr>
        <w:t xml:space="preserve"> </w:t>
      </w:r>
      <w:proofErr w:type="spellStart"/>
      <w:r w:rsidR="00E813FE" w:rsidRPr="00E813FE">
        <w:rPr>
          <w:highlight w:val="yellow"/>
        </w:rPr>
        <w:t>na</w:t>
      </w:r>
      <w:proofErr w:type="spellEnd"/>
      <w:r w:rsidR="00E813FE" w:rsidRPr="00E813FE">
        <w:rPr>
          <w:highlight w:val="yellow"/>
        </w:rPr>
        <w:t xml:space="preserve"> </w:t>
      </w:r>
      <w:proofErr w:type="spellStart"/>
      <w:r w:rsidR="00E813FE" w:rsidRPr="00E813FE">
        <w:rPr>
          <w:highlight w:val="yellow"/>
        </w:rPr>
        <w:t>naših</w:t>
      </w:r>
      <w:proofErr w:type="spellEnd"/>
      <w:r w:rsidR="00E813FE" w:rsidRPr="00E813FE">
        <w:rPr>
          <w:highlight w:val="yellow"/>
        </w:rPr>
        <w:t xml:space="preserve"> </w:t>
      </w:r>
      <w:proofErr w:type="spellStart"/>
      <w:r w:rsidR="00E813FE" w:rsidRPr="00E813FE">
        <w:rPr>
          <w:highlight w:val="yellow"/>
        </w:rPr>
        <w:t>rezultatih</w:t>
      </w:r>
      <w:proofErr w:type="spellEnd"/>
      <w:r w:rsidR="00E813FE">
        <w:rPr>
          <w:highlight w:val="yellow"/>
        </w:rPr>
        <w:t xml:space="preserve">, bi </w:t>
      </w:r>
      <w:proofErr w:type="spellStart"/>
      <w:r w:rsidR="00E813FE">
        <w:rPr>
          <w:highlight w:val="yellow"/>
        </w:rPr>
        <w:t>vseeno</w:t>
      </w:r>
      <w:proofErr w:type="spellEnd"/>
      <w:r w:rsidR="00E813FE">
        <w:rPr>
          <w:highlight w:val="yellow"/>
        </w:rPr>
        <w:t xml:space="preserve"> </w:t>
      </w:r>
      <w:proofErr w:type="spellStart"/>
      <w:r w:rsidR="00E813FE">
        <w:rPr>
          <w:highlight w:val="yellow"/>
        </w:rPr>
        <w:t>dodali</w:t>
      </w:r>
      <w:proofErr w:type="spellEnd"/>
      <w:r w:rsidR="00E813FE">
        <w:rPr>
          <w:highlight w:val="yellow"/>
        </w:rPr>
        <w:t xml:space="preserve"> </w:t>
      </w:r>
      <w:proofErr w:type="spellStart"/>
      <w:r w:rsidR="00E813FE">
        <w:rPr>
          <w:highlight w:val="yellow"/>
        </w:rPr>
        <w:t>kaj</w:t>
      </w:r>
      <w:proofErr w:type="spellEnd"/>
      <w:r w:rsidR="00E813FE">
        <w:rPr>
          <w:highlight w:val="yellow"/>
        </w:rPr>
        <w:t xml:space="preserve"> </w:t>
      </w:r>
      <w:proofErr w:type="spellStart"/>
      <w:r w:rsidR="00E813FE">
        <w:rPr>
          <w:highlight w:val="yellow"/>
        </w:rPr>
        <w:t>pravi</w:t>
      </w:r>
      <w:proofErr w:type="spellEnd"/>
      <w:r w:rsidR="00E813FE">
        <w:rPr>
          <w:highlight w:val="yellow"/>
        </w:rPr>
        <w:t xml:space="preserve"> </w:t>
      </w:r>
      <w:proofErr w:type="spellStart"/>
      <w:r w:rsidR="00E813FE">
        <w:rPr>
          <w:highlight w:val="yellow"/>
        </w:rPr>
        <w:t>npr</w:t>
      </w:r>
      <w:proofErr w:type="spellEnd"/>
      <w:r w:rsidR="00E813FE">
        <w:rPr>
          <w:highlight w:val="yellow"/>
        </w:rPr>
        <w:t xml:space="preserve">. 5 </w:t>
      </w:r>
      <w:proofErr w:type="spellStart"/>
      <w:r w:rsidR="00E813FE">
        <w:rPr>
          <w:highlight w:val="yellow"/>
        </w:rPr>
        <w:t>najbolj</w:t>
      </w:r>
      <w:proofErr w:type="spellEnd"/>
      <w:r w:rsidR="00E813FE">
        <w:rPr>
          <w:highlight w:val="yellow"/>
        </w:rPr>
        <w:t xml:space="preserve"> </w:t>
      </w:r>
      <w:proofErr w:type="spellStart"/>
      <w:r w:rsidR="00E813FE">
        <w:rPr>
          <w:highlight w:val="yellow"/>
        </w:rPr>
        <w:t>citiranih</w:t>
      </w:r>
      <w:proofErr w:type="spellEnd"/>
      <w:r w:rsidR="00E813FE">
        <w:rPr>
          <w:highlight w:val="yellow"/>
        </w:rPr>
        <w:t>?</w:t>
      </w:r>
      <w:r w:rsidR="00E813FE" w:rsidRPr="00E813FE">
        <w:rPr>
          <w:highlight w:val="yellow"/>
        </w:rPr>
        <w:t>.</w:t>
      </w:r>
    </w:p>
    <w:p w14:paraId="09521154" w14:textId="77777777" w:rsidR="002E3A85" w:rsidRDefault="002E3A85" w:rsidP="002E3A85">
      <w:pPr>
        <w:pStyle w:val="Heading3"/>
      </w:pPr>
      <w:r>
        <w:t>Research Questions</w:t>
      </w:r>
    </w:p>
    <w:p w14:paraId="4B90BBCE" w14:textId="77777777" w:rsidR="002E3A85" w:rsidRDefault="002E3A85" w:rsidP="002E3A85">
      <w:r>
        <w:t>This study seeks to address the following research questions:</w:t>
      </w:r>
    </w:p>
    <w:p w14:paraId="2E35050D" w14:textId="5E422410" w:rsidR="002E3A85" w:rsidRDefault="002E3A85" w:rsidP="002E3A85">
      <w:pPr>
        <w:pStyle w:val="ListParagraph"/>
        <w:numPr>
          <w:ilvl w:val="0"/>
          <w:numId w:val="1"/>
        </w:numPr>
      </w:pPr>
      <w:r>
        <w:t>What are the predominant survival analysis methods used in education research?</w:t>
      </w:r>
    </w:p>
    <w:p w14:paraId="475C0329" w14:textId="1114B791" w:rsidR="002E3A85" w:rsidRDefault="002E3A85" w:rsidP="002E3A85">
      <w:pPr>
        <w:pStyle w:val="ListParagraph"/>
        <w:numPr>
          <w:ilvl w:val="0"/>
          <w:numId w:val="1"/>
        </w:numPr>
      </w:pPr>
      <w:r>
        <w:t>How has survival analysis been applied to model student retention and dropout rates?</w:t>
      </w:r>
    </w:p>
    <w:p w14:paraId="73C2EFC7" w14:textId="7AC5A475" w:rsidR="002E3A85" w:rsidRDefault="002E3A85" w:rsidP="002E3A85">
      <w:pPr>
        <w:pStyle w:val="ListParagraph"/>
        <w:numPr>
          <w:ilvl w:val="0"/>
          <w:numId w:val="1"/>
        </w:numPr>
      </w:pPr>
      <w:r>
        <w:t>What are the key trends and contributions in the literature, as identified through bibliometric analysis?</w:t>
      </w:r>
    </w:p>
    <w:p w14:paraId="1C0960E9" w14:textId="6D32DF10" w:rsidR="002E3A85" w:rsidRPr="002E3A85" w:rsidRDefault="002E3A85" w:rsidP="002E3A85">
      <w:pPr>
        <w:pStyle w:val="ListParagraph"/>
        <w:numPr>
          <w:ilvl w:val="0"/>
          <w:numId w:val="1"/>
        </w:numPr>
      </w:pPr>
      <w:r>
        <w:t>How do different survival analysis methods compare in terms of predictive accuracy and applicability to educational data?</w:t>
      </w:r>
    </w:p>
    <w:p w14:paraId="237EEAA8" w14:textId="4B7167FF" w:rsidR="000D2592" w:rsidRDefault="000D2592" w:rsidP="003B00A0">
      <w:pPr>
        <w:pStyle w:val="Heading2"/>
      </w:pPr>
      <w:r>
        <w:t>Methods</w:t>
      </w:r>
    </w:p>
    <w:p w14:paraId="5D0D00EA" w14:textId="1BDD256A" w:rsidR="000D2592" w:rsidRDefault="000D2592" w:rsidP="003B00A0">
      <w:pPr>
        <w:pStyle w:val="Heading3"/>
      </w:pPr>
      <w:r>
        <w:t>Literature search</w:t>
      </w:r>
    </w:p>
    <w:p w14:paraId="69EEC2E2" w14:textId="3829A75B" w:rsidR="00BD1634" w:rsidRPr="00BD1634" w:rsidRDefault="00BD1634" w:rsidP="00BD1634">
      <w:r>
        <w:t>T</w:t>
      </w:r>
      <w:r w:rsidRPr="00BD1634">
        <w:t>o assess the state of research on survival analysis in education, a systematic search was conducted using the Web of Science (WoS) database. The last search was performed in April 2025 using the following query:</w:t>
      </w:r>
    </w:p>
    <w:p w14:paraId="1B70CBCD" w14:textId="79266560" w:rsidR="00BD1634" w:rsidRPr="00492C39" w:rsidRDefault="00BD1634" w:rsidP="00BD1634">
      <w:pPr>
        <w:rPr>
          <w:color w:val="FF0000"/>
        </w:rPr>
      </w:pPr>
      <w:r w:rsidRPr="00492C39">
        <w:rPr>
          <w:color w:val="FF0000"/>
        </w:rPr>
        <w:t>("survival analysis" OR "event history analysis" OR "hazard model" OR "time-to-event analysis" OR "Kaplan-Meier" OR "Cox regression" OR "discrete-time survival" OR "competing risks")</w:t>
      </w:r>
      <w:r w:rsidR="009C6CEB" w:rsidRPr="00492C39">
        <w:rPr>
          <w:color w:val="FF0000"/>
        </w:rPr>
        <w:t xml:space="preserve"> </w:t>
      </w:r>
      <w:r w:rsidRPr="00492C39">
        <w:rPr>
          <w:color w:val="FF0000"/>
        </w:rPr>
        <w:t>AND</w:t>
      </w:r>
      <w:r w:rsidR="009C6CEB" w:rsidRPr="00492C39">
        <w:rPr>
          <w:color w:val="FF0000"/>
        </w:rPr>
        <w:t xml:space="preserve"> </w:t>
      </w:r>
      <w:r w:rsidRPr="00492C39">
        <w:rPr>
          <w:color w:val="FF0000"/>
        </w:rPr>
        <w:t>("education" OR "educational attainment" OR "student retention" OR "dropout" OR "graduation" OR "academic success"</w:t>
      </w:r>
      <w:r w:rsidR="009C6CEB" w:rsidRPr="00492C39">
        <w:rPr>
          <w:color w:val="FF0000"/>
        </w:rPr>
        <w:t xml:space="preserve"> OR </w:t>
      </w:r>
      <w:r w:rsidRPr="00492C39">
        <w:rPr>
          <w:color w:val="FF0000"/>
        </w:rPr>
        <w:t>"school completion" OR "college completion" OR "student success").</w:t>
      </w:r>
    </w:p>
    <w:p w14:paraId="3444470F" w14:textId="1AD974A7" w:rsidR="00BD1634" w:rsidRDefault="00BD1634" w:rsidP="00BD1634">
      <w:r w:rsidRPr="00BD1634">
        <w:t xml:space="preserve">This search yielded </w:t>
      </w:r>
      <w:r>
        <w:t>NNN</w:t>
      </w:r>
      <w:r w:rsidRPr="00BD1634">
        <w:t xml:space="preserve"> results, which were subsequently screened based on predefined inclusion and exclusion criteria</w:t>
      </w:r>
      <w:r>
        <w:t xml:space="preserve"> as summarized in Table X</w:t>
      </w:r>
      <w:r w:rsidRPr="00BD1634">
        <w:t>.</w:t>
      </w:r>
    </w:p>
    <w:tbl>
      <w:tblPr>
        <w:tblStyle w:val="TableGrid"/>
        <w:tblW w:w="0" w:type="auto"/>
        <w:tblLook w:val="04A0" w:firstRow="1" w:lastRow="0" w:firstColumn="1" w:lastColumn="0" w:noHBand="0" w:noVBand="1"/>
      </w:tblPr>
      <w:tblGrid>
        <w:gridCol w:w="4508"/>
        <w:gridCol w:w="4508"/>
      </w:tblGrid>
      <w:tr w:rsidR="006C79D6" w14:paraId="3E3E7A7F" w14:textId="77777777" w:rsidTr="006C79D6">
        <w:tc>
          <w:tcPr>
            <w:tcW w:w="4508" w:type="dxa"/>
          </w:tcPr>
          <w:p w14:paraId="059B273D" w14:textId="59A4E7DB" w:rsidR="006C79D6" w:rsidRDefault="006C79D6" w:rsidP="00BD1634">
            <w:r>
              <w:t>Inclusion Criteria</w:t>
            </w:r>
          </w:p>
        </w:tc>
        <w:tc>
          <w:tcPr>
            <w:tcW w:w="4508" w:type="dxa"/>
          </w:tcPr>
          <w:p w14:paraId="2C3D143F" w14:textId="3E880235" w:rsidR="006C79D6" w:rsidRDefault="006C79D6" w:rsidP="00BD1634">
            <w:r>
              <w:t>Exclusion Criteria</w:t>
            </w:r>
          </w:p>
        </w:tc>
      </w:tr>
      <w:tr w:rsidR="006C79D6" w14:paraId="4DB8BE8F" w14:textId="77777777" w:rsidTr="006C79D6">
        <w:tc>
          <w:tcPr>
            <w:tcW w:w="4508" w:type="dxa"/>
          </w:tcPr>
          <w:p w14:paraId="7DEE2A28" w14:textId="2F32A90F" w:rsidR="006C79D6" w:rsidRDefault="006C79D6" w:rsidP="00BD1634">
            <w:r>
              <w:t>Written in English</w:t>
            </w:r>
          </w:p>
        </w:tc>
        <w:tc>
          <w:tcPr>
            <w:tcW w:w="4508" w:type="dxa"/>
          </w:tcPr>
          <w:p w14:paraId="34D4406F" w14:textId="40361C6A" w:rsidR="006C79D6" w:rsidRDefault="006C79D6" w:rsidP="00BD1634">
            <w:r w:rsidRPr="006C79D6">
              <w:t>Book chapters, conference papers, or non-peer-reviewed works</w:t>
            </w:r>
          </w:p>
        </w:tc>
      </w:tr>
      <w:tr w:rsidR="006C79D6" w14:paraId="25F1BEE9" w14:textId="77777777" w:rsidTr="006C79D6">
        <w:tc>
          <w:tcPr>
            <w:tcW w:w="4508" w:type="dxa"/>
          </w:tcPr>
          <w:p w14:paraId="437364CB" w14:textId="42C2D360" w:rsidR="006C79D6" w:rsidRDefault="006C79D6" w:rsidP="00BD1634">
            <w:r w:rsidRPr="006C79D6">
              <w:t>Published between 2019 and 2024</w:t>
            </w:r>
          </w:p>
        </w:tc>
        <w:tc>
          <w:tcPr>
            <w:tcW w:w="4508" w:type="dxa"/>
          </w:tcPr>
          <w:p w14:paraId="3CEE885A" w14:textId="6947D3F6" w:rsidR="006C79D6" w:rsidRDefault="006C79D6" w:rsidP="00BD1634">
            <w:r w:rsidRPr="006C79D6">
              <w:t>Expressions of concern or retracted publications</w:t>
            </w:r>
          </w:p>
        </w:tc>
      </w:tr>
      <w:tr w:rsidR="006C79D6" w14:paraId="78298D49" w14:textId="77777777" w:rsidTr="006C79D6">
        <w:tc>
          <w:tcPr>
            <w:tcW w:w="4508" w:type="dxa"/>
          </w:tcPr>
          <w:p w14:paraId="4635BECB" w14:textId="011EF1FF" w:rsidR="006C79D6" w:rsidRDefault="006C79D6" w:rsidP="00BD1634">
            <w:r w:rsidRPr="006C79D6">
              <w:t>Classified as peer-reviewed journal articles</w:t>
            </w:r>
          </w:p>
        </w:tc>
        <w:tc>
          <w:tcPr>
            <w:tcW w:w="4508" w:type="dxa"/>
          </w:tcPr>
          <w:p w14:paraId="16E55CE5" w14:textId="77777777" w:rsidR="006C79D6" w:rsidRDefault="006C79D6" w:rsidP="00BD1634"/>
        </w:tc>
      </w:tr>
      <w:tr w:rsidR="006C79D6" w14:paraId="5BD2B478" w14:textId="77777777" w:rsidTr="006C79D6">
        <w:tc>
          <w:tcPr>
            <w:tcW w:w="4508" w:type="dxa"/>
          </w:tcPr>
          <w:p w14:paraId="6D1E3063" w14:textId="76F8C738" w:rsidR="006C79D6" w:rsidRDefault="006C79D6" w:rsidP="00BD1634">
            <w:r w:rsidRPr="006C79D6">
              <w:lastRenderedPageBreak/>
              <w:t>Utilizing qualitative or quantitative methodologies relevant to survival analysis in education</w:t>
            </w:r>
          </w:p>
        </w:tc>
        <w:tc>
          <w:tcPr>
            <w:tcW w:w="4508" w:type="dxa"/>
          </w:tcPr>
          <w:p w14:paraId="3A33445F" w14:textId="77777777" w:rsidR="006C79D6" w:rsidRDefault="006C79D6" w:rsidP="00BD1634"/>
        </w:tc>
      </w:tr>
      <w:tr w:rsidR="006C79D6" w14:paraId="1951675D" w14:textId="77777777" w:rsidTr="006C79D6">
        <w:tc>
          <w:tcPr>
            <w:tcW w:w="4508" w:type="dxa"/>
          </w:tcPr>
          <w:p w14:paraId="45A1B507" w14:textId="2FE91C73" w:rsidR="006C79D6" w:rsidRPr="006C79D6" w:rsidRDefault="006C79D6" w:rsidP="00BD1634">
            <w:r>
              <w:t>In subject area</w:t>
            </w:r>
          </w:p>
        </w:tc>
        <w:tc>
          <w:tcPr>
            <w:tcW w:w="4508" w:type="dxa"/>
          </w:tcPr>
          <w:p w14:paraId="67AAAA3A" w14:textId="77777777" w:rsidR="006C79D6" w:rsidRDefault="006C79D6" w:rsidP="00BD1634"/>
        </w:tc>
      </w:tr>
    </w:tbl>
    <w:p w14:paraId="5DF96DA0" w14:textId="77777777" w:rsidR="006C79D6" w:rsidRDefault="006C79D6" w:rsidP="00BD1634"/>
    <w:p w14:paraId="7ED256E0" w14:textId="54E05D35" w:rsidR="006C79D6" w:rsidRPr="00BD1634" w:rsidRDefault="006C79D6" w:rsidP="00BD1634">
      <w:r>
        <w:t>Search resulted</w:t>
      </w:r>
    </w:p>
    <w:p w14:paraId="417A3CE5" w14:textId="735AE9AC" w:rsidR="00BD1634" w:rsidRDefault="00BD1634" w:rsidP="00BD1634">
      <w:r w:rsidRPr="00BD1634">
        <w:t>The years prior to XXX were omitted because survival analysis in education was still an emerging topic during those years, making older studies less relevant to current trends. Additionally, 2025 was excluded because the available data for that year was still limited and emerging, with only XXX articles meeting the criteria.</w:t>
      </w:r>
    </w:p>
    <w:p w14:paraId="0DFFF48E" w14:textId="585C897F" w:rsidR="00492C39" w:rsidRDefault="00492C39" w:rsidP="00492C39">
      <w:r>
        <w:t>To ensure the comprehensiveness and robustness of our bibliometric analysis, we extended our search beyond WoS and conducted an additional query in the Taylor &amp; Francis database. The search string was structured as follows:</w:t>
      </w:r>
    </w:p>
    <w:p w14:paraId="012D8885" w14:textId="490AF59B" w:rsidR="00492C39" w:rsidRPr="00492C39" w:rsidRDefault="00492C39" w:rsidP="00492C39">
      <w:pPr>
        <w:rPr>
          <w:color w:val="FF0000"/>
        </w:rPr>
      </w:pPr>
      <w:r w:rsidRPr="00492C39">
        <w:rPr>
          <w:color w:val="FF0000"/>
        </w:rPr>
        <w:t>[[All: "survival analysis"] OR [All: "event history analysis"] OR [All: "hazard model"] OR [All: "time-to-event analysis"] OR [All: "</w:t>
      </w:r>
      <w:proofErr w:type="spellStart"/>
      <w:r w:rsidRPr="00492C39">
        <w:rPr>
          <w:color w:val="FF0000"/>
        </w:rPr>
        <w:t>kaplan-meier</w:t>
      </w:r>
      <w:proofErr w:type="spellEnd"/>
      <w:r w:rsidRPr="00492C39">
        <w:rPr>
          <w:color w:val="FF0000"/>
        </w:rPr>
        <w:t>"] OR [All: "cox regression"] OR [All: "discrete-time survival"] OR [All: "competing risks"]] AND [[All: "education"] OR [All: "educational attainment"] OR [All: "student retention"] OR [All: "dropout"] OR [All: "graduation"] OR [All: "academic success"] OR [All: "school completion"] OR [All: "college completion"] OR [All: "student success"]] AND [All Subjects: Education]</w:t>
      </w:r>
    </w:p>
    <w:p w14:paraId="46E9447C" w14:textId="0E257AF8" w:rsidR="00492C39" w:rsidRPr="00BD1634" w:rsidRDefault="00492C39" w:rsidP="00492C39">
      <w:r>
        <w:t xml:space="preserve">This query yielded 367 results, reflecting a slightly broader pool of publications compared to WoS. To assess the overlap and uniqueness of these results, we employed a fuzzy matching algorithm to compare the retrieved articles against the WoS dataset. This technique allows for minor variations (e.g., one-character differences, formatting inconsistencies, or slight modifications in metadata) while still identifying potentially identical studies across databases. The results of the fuzzy matching analysis revealed that: 44 articles (12%) were a 100% match between the two databases. 48 additional articles (13%) exhibited a 90% or higher similarity score, indicating potential duplication with slight variations in metadata. The remaining 275 articles (75%) did not meet the matching threshold, suggesting a relatively low overlap between Taylor &amp; Francis and WoS datasets. These findings highlight that while Taylor &amp; Francis includes </w:t>
      </w:r>
      <w:proofErr w:type="gramStart"/>
      <w:r>
        <w:t>a number of</w:t>
      </w:r>
      <w:proofErr w:type="gramEnd"/>
      <w:r>
        <w:t xml:space="preserve"> relevant articles, its overlap with WoS is limited, emphasizing the importance of multi-database searches in conducting a comprehensive systematic review. The relatively low alignment percentage also suggests a degree of publication exclusivity between these databases, which may be influenced by indexing policies and journal coverage differences.</w:t>
      </w:r>
    </w:p>
    <w:p w14:paraId="4029FBEE" w14:textId="77777777" w:rsidR="00BD1634" w:rsidRDefault="00BD1634" w:rsidP="00BD1634">
      <w:r w:rsidRPr="00BD1634">
        <w:t>The selected studies were further filtered based on their methodological approach, as detailed in the Data Analysis section.</w:t>
      </w:r>
    </w:p>
    <w:p w14:paraId="1D27C851" w14:textId="235CF4D9" w:rsidR="000D2592" w:rsidRDefault="000D2592" w:rsidP="00BD1634">
      <w:pPr>
        <w:pStyle w:val="Heading3"/>
      </w:pPr>
      <w:r>
        <w:lastRenderedPageBreak/>
        <w:t>Data analysis</w:t>
      </w:r>
    </w:p>
    <w:p w14:paraId="014823A9" w14:textId="5CAC741C" w:rsidR="00D94355" w:rsidRPr="00D94355" w:rsidRDefault="00D94355" w:rsidP="00D94355">
      <w:r w:rsidRPr="00D94355">
        <w:t xml:space="preserve">The final selection of NNN articles was </w:t>
      </w:r>
      <w:r w:rsidR="00A937DC" w:rsidRPr="00D94355">
        <w:t>analysed</w:t>
      </w:r>
      <w:r w:rsidRPr="00D94355">
        <w:t xml:space="preserve"> using the Python programming language to construct and visualize the bibliometric network. While Python offers existing libraries such as pyBibX for bibliometric and scientometric analysis, we opted to develop a customized solution tailored to our specific research needs.</w:t>
      </w:r>
    </w:p>
    <w:p w14:paraId="3CEE00A6" w14:textId="60D32F9E" w:rsidR="000D2592" w:rsidRDefault="000D2592" w:rsidP="003B00A0">
      <w:pPr>
        <w:pStyle w:val="Heading2"/>
      </w:pPr>
      <w:r>
        <w:t>Results</w:t>
      </w:r>
    </w:p>
    <w:p w14:paraId="33DCA4F2" w14:textId="3FD8E4EE" w:rsidR="006C79D6" w:rsidRDefault="006C79D6" w:rsidP="006C79D6">
      <w:r>
        <w:t>The final dataset consisted of 297 documents, with no duplicates, covering a timespan from 1991 to 2025. The majority of the records were peer-reviewed journal articles (256), followed by articles in press (15), conference proceedings (22), book chapters (2), and review papers (2). The dataset spanned 50 countries and 302 institutions, with research published in 110 different sources. The dominant language was English (290 documents), with a few studies published in German (2), Spanish (3), Portuguese (1), and Dutch (1).</w:t>
      </w:r>
    </w:p>
    <w:p w14:paraId="3F1610FE" w14:textId="36791F97" w:rsidR="006C79D6" w:rsidRDefault="006C79D6" w:rsidP="006C79D6">
      <w:r>
        <w:t xml:space="preserve">In terms of bibliometric completeness, most entries contained abstracts (98.99%), author affiliations (99.66%), and DOIs (93.60%), while 78.45% included author keywords and 88.55% had Keywords Plus. Collaboration was notable, with 768 authors contributing to 297 documents, leading to an average collaboration index of 2.94. Of these, 62 were </w:t>
      </w:r>
      <w:r w:rsidR="007D18E6">
        <w:t>single authored</w:t>
      </w:r>
      <w:r>
        <w:t xml:space="preserve"> while 235 were multi-authored.</w:t>
      </w:r>
    </w:p>
    <w:p w14:paraId="46BBB5F8" w14:textId="0F0CB650" w:rsidR="006C79D6" w:rsidRDefault="006C79D6" w:rsidP="006C79D6">
      <w:r>
        <w:t>Regarding impact, the dataset accumulated 7,015 total citations, translating to an average of 23.62 citations per document. The highest recorded h-index was 7, indicating a moderate level of influence within the field. Additionally, citation distribution revealed an average of 9.13 citations per author, 23.23 per institution, and 57.3 per source.</w:t>
      </w:r>
    </w:p>
    <w:p w14:paraId="191BB603" w14:textId="195D21C5" w:rsidR="000D3303" w:rsidRDefault="000D3303" w:rsidP="000D3303">
      <w:r>
        <w:t>To assess whether our search strategy effectively captured the key themes of survival analysis in education, we conducted a word cloud analysis of the extracted dataset. The word cloud (Figure X) visualizes the most frequently occurring terms in the titles, abstracts, and keywords of the selected studies. Larger words indicate higher frequency, reflecting dominant topics within the dataset. The results confirm that our search query successfully encompassed the core concepts of survival analysis and education. The most prominent terms include "student," "study," "school," "time," "survival," "analysis," "teacher," "dropout," "retention," and "academic"—all of which align with our research focus. The presence of terms related to statistical methods (e.g., "model," "risk," "data," "event," "rate") further validates that the dataset is methodologically relevant. Additionally, words like "higher education," "university," and "college" indicate that the dataset captures various levels of the education system, ensuring broad applicability.</w:t>
      </w:r>
    </w:p>
    <w:p w14:paraId="0F53FDF7" w14:textId="77777777" w:rsidR="007D18E6" w:rsidRDefault="002B0C53" w:rsidP="007D18E6">
      <w:pPr>
        <w:keepNext/>
      </w:pPr>
      <w:r w:rsidRPr="002B0C53">
        <w:rPr>
          <w:noProof/>
        </w:rPr>
        <w:lastRenderedPageBreak/>
        <w:drawing>
          <wp:inline distT="0" distB="0" distL="0" distR="0" wp14:anchorId="42C72F52" wp14:editId="6680A375">
            <wp:extent cx="2575790" cy="1303020"/>
            <wp:effectExtent l="0" t="0" r="0" b="0"/>
            <wp:docPr id="1661937522"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37522" name="Picture 1" descr="A close-up of words&#10;&#10;AI-generated content may be incorrect."/>
                    <pic:cNvPicPr/>
                  </pic:nvPicPr>
                  <pic:blipFill>
                    <a:blip r:embed="rId5"/>
                    <a:stretch>
                      <a:fillRect/>
                    </a:stretch>
                  </pic:blipFill>
                  <pic:spPr>
                    <a:xfrm>
                      <a:off x="0" y="0"/>
                      <a:ext cx="2578148" cy="1304213"/>
                    </a:xfrm>
                    <a:prstGeom prst="rect">
                      <a:avLst/>
                    </a:prstGeom>
                  </pic:spPr>
                </pic:pic>
              </a:graphicData>
            </a:graphic>
          </wp:inline>
        </w:drawing>
      </w:r>
    </w:p>
    <w:p w14:paraId="7ACF1043" w14:textId="4DA8109E" w:rsidR="002B0C53" w:rsidRDefault="007D18E6" w:rsidP="007D18E6">
      <w:pPr>
        <w:pStyle w:val="Caption"/>
      </w:pPr>
      <w:r>
        <w:t xml:space="preserve">Figure </w:t>
      </w:r>
      <w:fldSimple w:instr=" SEQ Figure \* ARABIC ">
        <w:r>
          <w:rPr>
            <w:noProof/>
          </w:rPr>
          <w:t>1</w:t>
        </w:r>
      </w:fldSimple>
      <w:r>
        <w:t>: Word cloud analysis.</w:t>
      </w:r>
    </w:p>
    <w:p w14:paraId="1FB0F43B" w14:textId="3521B8AD" w:rsidR="00860ECC" w:rsidRDefault="00860ECC" w:rsidP="000D3303">
      <w:r w:rsidRPr="00860ECC">
        <w:t xml:space="preserve">To analyze the geographical distribution of research on survival analysis in education, we mapped the number of documents produced by each country, considering the affiliations of all contributing authors (Figure X). Countries shaded in darker </w:t>
      </w:r>
      <w:r w:rsidR="007D18E6" w:rsidRPr="00860ECC">
        <w:t>colours</w:t>
      </w:r>
      <w:r w:rsidRPr="00860ECC">
        <w:t xml:space="preserve"> indicate higher research output, while lighter </w:t>
      </w:r>
      <w:r w:rsidR="007D18E6" w:rsidRPr="00860ECC">
        <w:t>colours</w:t>
      </w:r>
      <w:r w:rsidRPr="00860ECC">
        <w:t xml:space="preserve"> represent lower contributions. This analysis highlights the uneven distribution of research output, suggesting that survival analysis methods in education are predominantly explored in North America and select European countries, while developing regions remain underrepresented.</w:t>
      </w:r>
    </w:p>
    <w:p w14:paraId="700E68AE" w14:textId="77777777" w:rsidR="00860ECC" w:rsidRDefault="002B0C53" w:rsidP="00860ECC">
      <w:pPr>
        <w:keepNext/>
      </w:pPr>
      <w:r w:rsidRPr="002B0C53">
        <w:rPr>
          <w:noProof/>
        </w:rPr>
        <w:drawing>
          <wp:inline distT="0" distB="0" distL="0" distR="0" wp14:anchorId="427150F8" wp14:editId="70AE5307">
            <wp:extent cx="3223260" cy="1508069"/>
            <wp:effectExtent l="0" t="0" r="0" b="0"/>
            <wp:docPr id="1990811553"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1553" name="Picture 1" descr="A map of the world&#10;&#10;AI-generated content may be incorrect."/>
                    <pic:cNvPicPr/>
                  </pic:nvPicPr>
                  <pic:blipFill>
                    <a:blip r:embed="rId6"/>
                    <a:stretch>
                      <a:fillRect/>
                    </a:stretch>
                  </pic:blipFill>
                  <pic:spPr>
                    <a:xfrm>
                      <a:off x="0" y="0"/>
                      <a:ext cx="3226384" cy="1509531"/>
                    </a:xfrm>
                    <a:prstGeom prst="rect">
                      <a:avLst/>
                    </a:prstGeom>
                  </pic:spPr>
                </pic:pic>
              </a:graphicData>
            </a:graphic>
          </wp:inline>
        </w:drawing>
      </w:r>
    </w:p>
    <w:p w14:paraId="51A61410" w14:textId="16A8D745" w:rsidR="002B0C53" w:rsidRDefault="00860ECC" w:rsidP="00860ECC">
      <w:pPr>
        <w:pStyle w:val="Caption"/>
      </w:pPr>
      <w:r>
        <w:t xml:space="preserve">Figure </w:t>
      </w:r>
      <w:fldSimple w:instr=" SEQ Figure \* ARABIC ">
        <w:r w:rsidR="007D18E6">
          <w:rPr>
            <w:noProof/>
          </w:rPr>
          <w:t>2</w:t>
        </w:r>
      </w:fldSimple>
      <w:r>
        <w:t>: P</w:t>
      </w:r>
      <w:r w:rsidRPr="00860ECC">
        <w:t>roduction for each Country (count is made considering each doc author)</w:t>
      </w:r>
      <w:r>
        <w:t>.</w:t>
      </w:r>
    </w:p>
    <w:p w14:paraId="0EFE1D06" w14:textId="273C96E5" w:rsidR="00860ECC" w:rsidRDefault="00860ECC" w:rsidP="00860ECC">
      <w:r>
        <w:t>The collaboration network presented in Figure X illustrates the global research partnerships in survival analysis applied to education. Each node represents a country, while the lines (edges) between them indicate international co-authorships. The thickness of the edges reflects the strength of collaboration, with thicker lines representing more frequent research partnerships.</w:t>
      </w:r>
    </w:p>
    <w:p w14:paraId="75B4EFFB" w14:textId="0262E6CA" w:rsidR="00860ECC" w:rsidRDefault="00860ECC" w:rsidP="00860ECC">
      <w:r>
        <w:t>From the visualization, we observe that:</w:t>
      </w:r>
    </w:p>
    <w:p w14:paraId="6B268652" w14:textId="108608D5" w:rsidR="00860ECC" w:rsidRDefault="00860ECC" w:rsidP="00860ECC">
      <w:r>
        <w:t>European countries exhibit dense collaboration networks, particularly among the United Kingdom, Germany, France, Portugal, and the Netherlands.</w:t>
      </w:r>
      <w:r w:rsidR="00492C39">
        <w:t xml:space="preserve"> </w:t>
      </w:r>
      <w:r>
        <w:t>North America (United States and Canada) plays a central role, collaborating extensively with European and Australian researchers.</w:t>
      </w:r>
      <w:r w:rsidR="00492C39">
        <w:t xml:space="preserve"> </w:t>
      </w:r>
      <w:r>
        <w:t>Australia emerges as another key player, engaging in significant partnerships with both Asian and European countries.</w:t>
      </w:r>
      <w:r w:rsidR="00492C39">
        <w:t xml:space="preserve"> </w:t>
      </w:r>
      <w:r>
        <w:t>South America and Africa show some engagement, but their collaboration networks are relatively sparse, suggesting limited international research connections.</w:t>
      </w:r>
      <w:r w:rsidR="00492C39">
        <w:t xml:space="preserve"> </w:t>
      </w:r>
      <w:r>
        <w:t>India and Pakistan stand out as key contributors from Asia, actively collaborating with other regions.</w:t>
      </w:r>
    </w:p>
    <w:p w14:paraId="57742DE3" w14:textId="3FFBDCCB" w:rsidR="00860ECC" w:rsidRPr="00860ECC" w:rsidRDefault="00860ECC" w:rsidP="00860ECC">
      <w:r>
        <w:lastRenderedPageBreak/>
        <w:t>The strong interconnectedness of researchers from Western countries suggests a well-established academic exchange, while developing regions show fewer international collaborations. These findings highlight the potential for expanding global partnerships, particularly by fostering research collaborations with underrepresented regions to diversify methodological approaches and broaden the scope of survival analysis in education.</w:t>
      </w:r>
    </w:p>
    <w:p w14:paraId="25929A52" w14:textId="77777777" w:rsidR="00860ECC" w:rsidRDefault="002B0C53" w:rsidP="00860ECC">
      <w:pPr>
        <w:keepNext/>
      </w:pPr>
      <w:r w:rsidRPr="002B0C53">
        <w:rPr>
          <w:noProof/>
        </w:rPr>
        <w:drawing>
          <wp:inline distT="0" distB="0" distL="0" distR="0" wp14:anchorId="1F40C0C7" wp14:editId="42FE2E67">
            <wp:extent cx="3092998" cy="1577340"/>
            <wp:effectExtent l="0" t="0" r="0" b="3810"/>
            <wp:docPr id="1437822651"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2651" name="Picture 1" descr="A map of the world&#10;&#10;AI-generated content may be incorrect."/>
                    <pic:cNvPicPr/>
                  </pic:nvPicPr>
                  <pic:blipFill>
                    <a:blip r:embed="rId7"/>
                    <a:stretch>
                      <a:fillRect/>
                    </a:stretch>
                  </pic:blipFill>
                  <pic:spPr>
                    <a:xfrm>
                      <a:off x="0" y="0"/>
                      <a:ext cx="3093948" cy="1577825"/>
                    </a:xfrm>
                    <a:prstGeom prst="rect">
                      <a:avLst/>
                    </a:prstGeom>
                  </pic:spPr>
                </pic:pic>
              </a:graphicData>
            </a:graphic>
          </wp:inline>
        </w:drawing>
      </w:r>
    </w:p>
    <w:p w14:paraId="38867CB5" w14:textId="515E3574" w:rsidR="002B0C53" w:rsidRPr="002B0C53" w:rsidRDefault="00860ECC" w:rsidP="001B7E8D">
      <w:pPr>
        <w:pStyle w:val="Caption"/>
      </w:pPr>
      <w:r>
        <w:t xml:space="preserve">Figure </w:t>
      </w:r>
      <w:fldSimple w:instr=" SEQ Figure \* ARABIC ">
        <w:r w:rsidR="007D18E6">
          <w:rPr>
            <w:noProof/>
          </w:rPr>
          <w:t>3</w:t>
        </w:r>
      </w:fldSimple>
      <w:r>
        <w:t xml:space="preserve">: </w:t>
      </w:r>
      <w:r w:rsidRPr="00860ECC">
        <w:t>Collaboration Analysis Between Countries</w:t>
      </w:r>
      <w:r>
        <w:t>.</w:t>
      </w:r>
    </w:p>
    <w:p w14:paraId="63A5CACE" w14:textId="099065D8" w:rsidR="000D2592" w:rsidRDefault="000D2592" w:rsidP="002B0C53">
      <w:pPr>
        <w:pStyle w:val="Heading2"/>
      </w:pPr>
      <w:r w:rsidRPr="000D2592">
        <w:t>Discussion</w:t>
      </w:r>
    </w:p>
    <w:p w14:paraId="7D3F98D0" w14:textId="1277D7A9" w:rsidR="000D2592" w:rsidRDefault="000D2592" w:rsidP="003B00A0">
      <w:pPr>
        <w:pStyle w:val="Heading2"/>
      </w:pPr>
      <w:r w:rsidRPr="000D2592">
        <w:t>Limitations and future directions</w:t>
      </w:r>
    </w:p>
    <w:p w14:paraId="7E118C90" w14:textId="7ACEA8DF" w:rsidR="000D2592" w:rsidRDefault="000F030C" w:rsidP="003B00A0">
      <w:pPr>
        <w:pStyle w:val="Heading2"/>
      </w:pPr>
      <w:r>
        <w:t>Data</w:t>
      </w:r>
      <w:r w:rsidR="000D2592" w:rsidRPr="000D2592">
        <w:t xml:space="preserve"> availability</w:t>
      </w:r>
    </w:p>
    <w:p w14:paraId="7D8B19C9" w14:textId="481D0194" w:rsidR="000D2592" w:rsidRDefault="000D2592" w:rsidP="003B00A0">
      <w:pPr>
        <w:pStyle w:val="Heading2"/>
      </w:pPr>
      <w:r>
        <w:t>References</w:t>
      </w:r>
    </w:p>
    <w:p w14:paraId="49F99137" w14:textId="77777777" w:rsidR="00FD76BB" w:rsidRPr="00FD76BB" w:rsidRDefault="00FD76BB" w:rsidP="00FD76BB">
      <w:pPr>
        <w:pStyle w:val="Bibliography"/>
        <w:rPr>
          <w:rFonts w:ascii="Aptos" w:hAnsi="Aptos"/>
        </w:rPr>
      </w:pPr>
      <w:r>
        <w:fldChar w:fldCharType="begin"/>
      </w:r>
      <w:r>
        <w:instrText xml:space="preserve"> ADDIN ZOTERO_BIBL {"uncited":[],"omitted":[],"custom":[]} CSL_BIBLIOGRAPHY </w:instrText>
      </w:r>
      <w:r>
        <w:fldChar w:fldCharType="separate"/>
      </w:r>
      <w:r w:rsidRPr="00FD76BB">
        <w:rPr>
          <w:rFonts w:ascii="Aptos" w:hAnsi="Aptos"/>
        </w:rPr>
        <w:t xml:space="preserve">Addison, L., &amp; Williams, D. (2023). Predicting student retention in higher education institutions (HEIs). </w:t>
      </w:r>
      <w:r w:rsidRPr="00FD76BB">
        <w:rPr>
          <w:rFonts w:ascii="Aptos" w:hAnsi="Aptos"/>
          <w:i/>
          <w:iCs/>
        </w:rPr>
        <w:t>Higher Education, Skills and Work-Based Learning</w:t>
      </w:r>
      <w:r w:rsidRPr="00FD76BB">
        <w:rPr>
          <w:rFonts w:ascii="Aptos" w:hAnsi="Aptos"/>
        </w:rPr>
        <w:t xml:space="preserve">, </w:t>
      </w:r>
      <w:r w:rsidRPr="00FD76BB">
        <w:rPr>
          <w:rFonts w:ascii="Aptos" w:hAnsi="Aptos"/>
          <w:i/>
          <w:iCs/>
        </w:rPr>
        <w:t>13</w:t>
      </w:r>
      <w:r w:rsidRPr="00FD76BB">
        <w:rPr>
          <w:rFonts w:ascii="Aptos" w:hAnsi="Aptos"/>
        </w:rPr>
        <w:t>(5), 865–885. https://doi.org/10.1108/HESWBL-12-2022-0257</w:t>
      </w:r>
    </w:p>
    <w:p w14:paraId="0644CF03" w14:textId="77777777" w:rsidR="00FD76BB" w:rsidRPr="00FD76BB" w:rsidRDefault="00FD76BB" w:rsidP="00FD76BB">
      <w:pPr>
        <w:pStyle w:val="Bibliography"/>
        <w:rPr>
          <w:rFonts w:ascii="Aptos" w:hAnsi="Aptos"/>
        </w:rPr>
      </w:pPr>
      <w:proofErr w:type="spellStart"/>
      <w:r w:rsidRPr="00FD76BB">
        <w:rPr>
          <w:rFonts w:ascii="Aptos" w:hAnsi="Aptos"/>
        </w:rPr>
        <w:t>Kiprianos</w:t>
      </w:r>
      <w:proofErr w:type="spellEnd"/>
      <w:r w:rsidRPr="00FD76BB">
        <w:rPr>
          <w:rFonts w:ascii="Aptos" w:hAnsi="Aptos"/>
        </w:rPr>
        <w:t xml:space="preserve">, P., &amp; </w:t>
      </w:r>
      <w:proofErr w:type="spellStart"/>
      <w:r w:rsidRPr="00FD76BB">
        <w:rPr>
          <w:rFonts w:ascii="Aptos" w:hAnsi="Aptos"/>
        </w:rPr>
        <w:t>Mpourgos</w:t>
      </w:r>
      <w:proofErr w:type="spellEnd"/>
      <w:r w:rsidRPr="00FD76BB">
        <w:rPr>
          <w:rFonts w:ascii="Aptos" w:hAnsi="Aptos"/>
        </w:rPr>
        <w:t xml:space="preserve">, I. (2025). School failure and life trajectories. </w:t>
      </w:r>
      <w:r w:rsidRPr="00FD76BB">
        <w:rPr>
          <w:rFonts w:ascii="Aptos" w:hAnsi="Aptos"/>
          <w:i/>
          <w:iCs/>
        </w:rPr>
        <w:t>Journal of Adult and Continuing Education</w:t>
      </w:r>
      <w:r w:rsidRPr="00FD76BB">
        <w:rPr>
          <w:rFonts w:ascii="Aptos" w:hAnsi="Aptos"/>
        </w:rPr>
        <w:t>, 14779714251314681. https://doi.org/10.1177/14779714251314681</w:t>
      </w:r>
    </w:p>
    <w:p w14:paraId="18C66C60" w14:textId="77777777" w:rsidR="00FD76BB" w:rsidRPr="00FD76BB" w:rsidRDefault="00FD76BB" w:rsidP="00FD76BB">
      <w:pPr>
        <w:pStyle w:val="Bibliography"/>
        <w:rPr>
          <w:rFonts w:ascii="Aptos" w:hAnsi="Aptos"/>
        </w:rPr>
      </w:pPr>
      <w:r w:rsidRPr="00FD76BB">
        <w:rPr>
          <w:rFonts w:ascii="Aptos" w:hAnsi="Aptos"/>
        </w:rPr>
        <w:t xml:space="preserve">Lee, S. W. (2023). Kaplan-Meier and Cox proportional hazards regression in survival analysis: Statistical standard and guideline of Life Cycle Committee. </w:t>
      </w:r>
      <w:r w:rsidRPr="00FD76BB">
        <w:rPr>
          <w:rFonts w:ascii="Aptos" w:hAnsi="Aptos"/>
          <w:i/>
          <w:iCs/>
        </w:rPr>
        <w:t>Life Cycle</w:t>
      </w:r>
      <w:r w:rsidRPr="00FD76BB">
        <w:rPr>
          <w:rFonts w:ascii="Aptos" w:hAnsi="Aptos"/>
        </w:rPr>
        <w:t xml:space="preserve">, </w:t>
      </w:r>
      <w:r w:rsidRPr="00FD76BB">
        <w:rPr>
          <w:rFonts w:ascii="Aptos" w:hAnsi="Aptos"/>
          <w:i/>
          <w:iCs/>
        </w:rPr>
        <w:t>3</w:t>
      </w:r>
      <w:r w:rsidRPr="00FD76BB">
        <w:rPr>
          <w:rFonts w:ascii="Aptos" w:hAnsi="Aptos"/>
        </w:rPr>
        <w:t>, e8. https://doi.org/10.54724/lc.2023.e8</w:t>
      </w:r>
    </w:p>
    <w:p w14:paraId="0F3860E4" w14:textId="77777777" w:rsidR="00FD76BB" w:rsidRPr="00FD76BB" w:rsidRDefault="00FD76BB" w:rsidP="00FD76BB">
      <w:pPr>
        <w:pStyle w:val="Bibliography"/>
        <w:rPr>
          <w:rFonts w:ascii="Aptos" w:hAnsi="Aptos"/>
        </w:rPr>
      </w:pPr>
      <w:r w:rsidRPr="00FD76BB">
        <w:rPr>
          <w:rFonts w:ascii="Aptos" w:hAnsi="Aptos"/>
        </w:rPr>
        <w:lastRenderedPageBreak/>
        <w:t xml:space="preserve">Pusztai, G., Fényes, H., &amp; Kovács, K. (2022). Factors Influencing the Chance of Dropout or Being at Risk of Dropout in Higher Education. </w:t>
      </w:r>
      <w:r w:rsidRPr="00FD76BB">
        <w:rPr>
          <w:rFonts w:ascii="Aptos" w:hAnsi="Aptos"/>
          <w:i/>
          <w:iCs/>
        </w:rPr>
        <w:t>Education Sciences</w:t>
      </w:r>
      <w:r w:rsidRPr="00FD76BB">
        <w:rPr>
          <w:rFonts w:ascii="Aptos" w:hAnsi="Aptos"/>
        </w:rPr>
        <w:t xml:space="preserve">, </w:t>
      </w:r>
      <w:r w:rsidRPr="00FD76BB">
        <w:rPr>
          <w:rFonts w:ascii="Aptos" w:hAnsi="Aptos"/>
          <w:i/>
          <w:iCs/>
        </w:rPr>
        <w:t>12</w:t>
      </w:r>
      <w:r w:rsidRPr="00FD76BB">
        <w:rPr>
          <w:rFonts w:ascii="Aptos" w:hAnsi="Aptos"/>
        </w:rPr>
        <w:t>(11), 804. https://doi.org/10.3390/educsci12110804</w:t>
      </w:r>
    </w:p>
    <w:p w14:paraId="00E9BF48" w14:textId="77777777" w:rsidR="00FD76BB" w:rsidRPr="00FD76BB" w:rsidRDefault="00FD76BB" w:rsidP="00FD76BB">
      <w:pPr>
        <w:pStyle w:val="Bibliography"/>
        <w:rPr>
          <w:rFonts w:ascii="Aptos" w:hAnsi="Aptos"/>
        </w:rPr>
      </w:pPr>
      <w:r w:rsidRPr="00FD76BB">
        <w:rPr>
          <w:rFonts w:ascii="Aptos" w:hAnsi="Aptos"/>
        </w:rPr>
        <w:t xml:space="preserve">Ressa, T., &amp; Andrews, A. (2022). HIGH SCHOOL DROPOUT DILEMMA IN AMERICA AND THE IMPORTANCE OF REFORMATION OF EDUCATION SYSTEMS TO EMPOWER ALL STUDENTS. </w:t>
      </w:r>
      <w:r w:rsidRPr="00FD76BB">
        <w:rPr>
          <w:rFonts w:ascii="Aptos" w:hAnsi="Aptos"/>
          <w:i/>
          <w:iCs/>
        </w:rPr>
        <w:t>International Journal of Modern Education Studies</w:t>
      </w:r>
      <w:r w:rsidRPr="00FD76BB">
        <w:rPr>
          <w:rFonts w:ascii="Aptos" w:hAnsi="Aptos"/>
        </w:rPr>
        <w:t xml:space="preserve">, </w:t>
      </w:r>
      <w:r w:rsidRPr="00FD76BB">
        <w:rPr>
          <w:rFonts w:ascii="Aptos" w:hAnsi="Aptos"/>
          <w:i/>
          <w:iCs/>
        </w:rPr>
        <w:t>6</w:t>
      </w:r>
      <w:r w:rsidRPr="00FD76BB">
        <w:rPr>
          <w:rFonts w:ascii="Aptos" w:hAnsi="Aptos"/>
        </w:rPr>
        <w:t>(2). https://doi.org/10.51383/ijonmes.2022.234</w:t>
      </w:r>
    </w:p>
    <w:p w14:paraId="225BE654" w14:textId="77777777" w:rsidR="00FD76BB" w:rsidRPr="00FD76BB" w:rsidRDefault="00FD76BB" w:rsidP="00FD76BB">
      <w:pPr>
        <w:pStyle w:val="Bibliography"/>
        <w:rPr>
          <w:rFonts w:ascii="Aptos" w:hAnsi="Aptos"/>
        </w:rPr>
      </w:pPr>
      <w:r w:rsidRPr="00FD76BB">
        <w:rPr>
          <w:rFonts w:ascii="Aptos" w:hAnsi="Aptos"/>
        </w:rPr>
        <w:t>Schmid, M., &amp; Berger, M. (2021). Competing risks analysis for discrete time</w:t>
      </w:r>
      <w:r w:rsidRPr="00FD76BB">
        <w:rPr>
          <w:rFonts w:ascii="Cambria Math" w:hAnsi="Cambria Math" w:cs="Cambria Math"/>
        </w:rPr>
        <w:t>‐</w:t>
      </w:r>
      <w:r w:rsidRPr="00FD76BB">
        <w:rPr>
          <w:rFonts w:ascii="Aptos" w:hAnsi="Aptos"/>
        </w:rPr>
        <w:t>to</w:t>
      </w:r>
      <w:r w:rsidRPr="00FD76BB">
        <w:rPr>
          <w:rFonts w:ascii="Cambria Math" w:hAnsi="Cambria Math" w:cs="Cambria Math"/>
        </w:rPr>
        <w:t>‐</w:t>
      </w:r>
      <w:r w:rsidRPr="00FD76BB">
        <w:rPr>
          <w:rFonts w:ascii="Aptos" w:hAnsi="Aptos"/>
        </w:rPr>
        <w:t xml:space="preserve">event data. </w:t>
      </w:r>
      <w:proofErr w:type="spellStart"/>
      <w:r w:rsidRPr="00FD76BB">
        <w:rPr>
          <w:rFonts w:ascii="Aptos" w:hAnsi="Aptos"/>
          <w:i/>
          <w:iCs/>
        </w:rPr>
        <w:t>WIREs</w:t>
      </w:r>
      <w:proofErr w:type="spellEnd"/>
      <w:r w:rsidRPr="00FD76BB">
        <w:rPr>
          <w:rFonts w:ascii="Aptos" w:hAnsi="Aptos"/>
          <w:i/>
          <w:iCs/>
        </w:rPr>
        <w:t xml:space="preserve"> Computational Statistics</w:t>
      </w:r>
      <w:r w:rsidRPr="00FD76BB">
        <w:rPr>
          <w:rFonts w:ascii="Aptos" w:hAnsi="Aptos"/>
        </w:rPr>
        <w:t xml:space="preserve">, </w:t>
      </w:r>
      <w:r w:rsidRPr="00FD76BB">
        <w:rPr>
          <w:rFonts w:ascii="Aptos" w:hAnsi="Aptos"/>
          <w:i/>
          <w:iCs/>
        </w:rPr>
        <w:t>13</w:t>
      </w:r>
      <w:r w:rsidRPr="00FD76BB">
        <w:rPr>
          <w:rFonts w:ascii="Aptos" w:hAnsi="Aptos"/>
        </w:rPr>
        <w:t>(5), e1529. https://doi.org/10.1002/wics.1529</w:t>
      </w:r>
    </w:p>
    <w:p w14:paraId="3A9FEEB2" w14:textId="77777777" w:rsidR="00FD76BB" w:rsidRPr="00FD76BB" w:rsidRDefault="00FD76BB" w:rsidP="00FD76BB">
      <w:pPr>
        <w:pStyle w:val="Bibliography"/>
        <w:rPr>
          <w:rFonts w:ascii="Aptos" w:hAnsi="Aptos"/>
        </w:rPr>
      </w:pPr>
      <w:r w:rsidRPr="00FD76BB">
        <w:rPr>
          <w:rFonts w:ascii="Aptos" w:hAnsi="Aptos"/>
        </w:rPr>
        <w:t xml:space="preserve">Wild, S., &amp; Schulze Heuling, L. (2020). Student dropout and retention: An event history analysis among students in cooperative higher education. </w:t>
      </w:r>
      <w:r w:rsidRPr="00FD76BB">
        <w:rPr>
          <w:rFonts w:ascii="Aptos" w:hAnsi="Aptos"/>
          <w:i/>
          <w:iCs/>
        </w:rPr>
        <w:t>International Journal of Educational Research</w:t>
      </w:r>
      <w:r w:rsidRPr="00FD76BB">
        <w:rPr>
          <w:rFonts w:ascii="Aptos" w:hAnsi="Aptos"/>
        </w:rPr>
        <w:t xml:space="preserve">, </w:t>
      </w:r>
      <w:r w:rsidRPr="00FD76BB">
        <w:rPr>
          <w:rFonts w:ascii="Aptos" w:hAnsi="Aptos"/>
          <w:i/>
          <w:iCs/>
        </w:rPr>
        <w:t>104</w:t>
      </w:r>
      <w:r w:rsidRPr="00FD76BB">
        <w:rPr>
          <w:rFonts w:ascii="Aptos" w:hAnsi="Aptos"/>
        </w:rPr>
        <w:t>, 101687. https://doi.org/10.1016/j.ijer.2020.101687</w:t>
      </w:r>
    </w:p>
    <w:p w14:paraId="24950143" w14:textId="77777777" w:rsidR="00FD76BB" w:rsidRPr="00FD76BB" w:rsidRDefault="00FD76BB" w:rsidP="00FD76BB">
      <w:pPr>
        <w:pStyle w:val="Bibliography"/>
        <w:rPr>
          <w:rFonts w:ascii="Aptos" w:hAnsi="Aptos"/>
        </w:rPr>
      </w:pPr>
      <w:r w:rsidRPr="00FD76BB">
        <w:rPr>
          <w:rFonts w:ascii="Aptos" w:hAnsi="Aptos"/>
        </w:rPr>
        <w:t xml:space="preserve">Willett, J. B., &amp; Singer, J. D. (1991). From Whether to When: New Methods for Studying Student Dropout and Teacher Attrition. </w:t>
      </w:r>
      <w:r w:rsidRPr="00FD76BB">
        <w:rPr>
          <w:rFonts w:ascii="Aptos" w:hAnsi="Aptos"/>
          <w:i/>
          <w:iCs/>
        </w:rPr>
        <w:t>Review of Educational Research</w:t>
      </w:r>
      <w:r w:rsidRPr="00FD76BB">
        <w:rPr>
          <w:rFonts w:ascii="Aptos" w:hAnsi="Aptos"/>
        </w:rPr>
        <w:t xml:space="preserve">, </w:t>
      </w:r>
      <w:r w:rsidRPr="00FD76BB">
        <w:rPr>
          <w:rFonts w:ascii="Aptos" w:hAnsi="Aptos"/>
          <w:i/>
          <w:iCs/>
        </w:rPr>
        <w:t>61</w:t>
      </w:r>
      <w:r w:rsidRPr="00FD76BB">
        <w:rPr>
          <w:rFonts w:ascii="Aptos" w:hAnsi="Aptos"/>
        </w:rPr>
        <w:t>(4), 407–450. https://doi.org/10.3102/00346543061004407</w:t>
      </w:r>
    </w:p>
    <w:p w14:paraId="4A7A1D33" w14:textId="653F0BF0" w:rsidR="00FD76BB" w:rsidRPr="00FD76BB" w:rsidRDefault="00FD76BB" w:rsidP="00FD76BB">
      <w:r>
        <w:fldChar w:fldCharType="end"/>
      </w:r>
    </w:p>
    <w:p w14:paraId="7358C9BC" w14:textId="25242D60" w:rsidR="000D2592" w:rsidRDefault="000D2592" w:rsidP="003B00A0">
      <w:pPr>
        <w:pStyle w:val="Heading2"/>
      </w:pPr>
      <w:r>
        <w:t>Supplementary files</w:t>
      </w:r>
    </w:p>
    <w:p w14:paraId="74D649FF" w14:textId="77777777" w:rsidR="000D2592" w:rsidRPr="00A13A1C" w:rsidRDefault="000D2592" w:rsidP="00A13A1C"/>
    <w:sectPr w:rsidR="000D2592" w:rsidRPr="00A13A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E67C7"/>
    <w:multiLevelType w:val="hybridMultilevel"/>
    <w:tmpl w:val="33769F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7F90EE3"/>
    <w:multiLevelType w:val="hybridMultilevel"/>
    <w:tmpl w:val="1952B4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64645872">
    <w:abstractNumId w:val="0"/>
  </w:num>
  <w:num w:numId="2" w16cid:durableId="13708376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A1C"/>
    <w:rsid w:val="00000648"/>
    <w:rsid w:val="00016591"/>
    <w:rsid w:val="0002559D"/>
    <w:rsid w:val="0003677C"/>
    <w:rsid w:val="000853B4"/>
    <w:rsid w:val="000D2592"/>
    <w:rsid w:val="000D3303"/>
    <w:rsid w:val="000F030C"/>
    <w:rsid w:val="00133E20"/>
    <w:rsid w:val="001A5A1A"/>
    <w:rsid w:val="001B7E8D"/>
    <w:rsid w:val="00213DEA"/>
    <w:rsid w:val="00220B55"/>
    <w:rsid w:val="00223E2A"/>
    <w:rsid w:val="00235AE8"/>
    <w:rsid w:val="002B0C53"/>
    <w:rsid w:val="002E3A85"/>
    <w:rsid w:val="002E6519"/>
    <w:rsid w:val="003575B6"/>
    <w:rsid w:val="003B00A0"/>
    <w:rsid w:val="004435B3"/>
    <w:rsid w:val="00492C39"/>
    <w:rsid w:val="006C79D6"/>
    <w:rsid w:val="006D0BC6"/>
    <w:rsid w:val="00720F2E"/>
    <w:rsid w:val="00762C54"/>
    <w:rsid w:val="007A1EBE"/>
    <w:rsid w:val="007D18E6"/>
    <w:rsid w:val="00860ECC"/>
    <w:rsid w:val="00947416"/>
    <w:rsid w:val="00986907"/>
    <w:rsid w:val="009C6CEB"/>
    <w:rsid w:val="00A13A1C"/>
    <w:rsid w:val="00A374D0"/>
    <w:rsid w:val="00A937DC"/>
    <w:rsid w:val="00AE23A4"/>
    <w:rsid w:val="00B950D0"/>
    <w:rsid w:val="00BD1634"/>
    <w:rsid w:val="00C967A2"/>
    <w:rsid w:val="00CA4072"/>
    <w:rsid w:val="00CC091C"/>
    <w:rsid w:val="00CE32D9"/>
    <w:rsid w:val="00D303A5"/>
    <w:rsid w:val="00D74837"/>
    <w:rsid w:val="00D94355"/>
    <w:rsid w:val="00E813FE"/>
    <w:rsid w:val="00E951FC"/>
    <w:rsid w:val="00EF1739"/>
    <w:rsid w:val="00F9146B"/>
    <w:rsid w:val="00FA55F7"/>
    <w:rsid w:val="00FD76BB"/>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65C9B"/>
  <w15:chartTrackingRefBased/>
  <w15:docId w15:val="{5339C3DA-5B31-4853-AE87-193A86D64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3A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3A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3A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3A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3A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3A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3A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3A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3A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A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3A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3A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3A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3A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3A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3A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3A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3A1C"/>
    <w:rPr>
      <w:rFonts w:eastAsiaTheme="majorEastAsia" w:cstheme="majorBidi"/>
      <w:color w:val="272727" w:themeColor="text1" w:themeTint="D8"/>
    </w:rPr>
  </w:style>
  <w:style w:type="paragraph" w:styleId="Title">
    <w:name w:val="Title"/>
    <w:basedOn w:val="Normal"/>
    <w:next w:val="Normal"/>
    <w:link w:val="TitleChar"/>
    <w:uiPriority w:val="10"/>
    <w:qFormat/>
    <w:rsid w:val="00A13A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3A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3A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3A1C"/>
    <w:pPr>
      <w:spacing w:before="160"/>
      <w:jc w:val="center"/>
    </w:pPr>
    <w:rPr>
      <w:i/>
      <w:iCs/>
      <w:color w:val="404040" w:themeColor="text1" w:themeTint="BF"/>
    </w:rPr>
  </w:style>
  <w:style w:type="character" w:customStyle="1" w:styleId="QuoteChar">
    <w:name w:val="Quote Char"/>
    <w:basedOn w:val="DefaultParagraphFont"/>
    <w:link w:val="Quote"/>
    <w:uiPriority w:val="29"/>
    <w:rsid w:val="00A13A1C"/>
    <w:rPr>
      <w:i/>
      <w:iCs/>
      <w:color w:val="404040" w:themeColor="text1" w:themeTint="BF"/>
    </w:rPr>
  </w:style>
  <w:style w:type="paragraph" w:styleId="ListParagraph">
    <w:name w:val="List Paragraph"/>
    <w:basedOn w:val="Normal"/>
    <w:uiPriority w:val="34"/>
    <w:qFormat/>
    <w:rsid w:val="00A13A1C"/>
    <w:pPr>
      <w:ind w:left="720"/>
      <w:contextualSpacing/>
    </w:pPr>
  </w:style>
  <w:style w:type="character" w:styleId="IntenseEmphasis">
    <w:name w:val="Intense Emphasis"/>
    <w:basedOn w:val="DefaultParagraphFont"/>
    <w:uiPriority w:val="21"/>
    <w:qFormat/>
    <w:rsid w:val="00A13A1C"/>
    <w:rPr>
      <w:i/>
      <w:iCs/>
      <w:color w:val="0F4761" w:themeColor="accent1" w:themeShade="BF"/>
    </w:rPr>
  </w:style>
  <w:style w:type="paragraph" w:styleId="IntenseQuote">
    <w:name w:val="Intense Quote"/>
    <w:basedOn w:val="Normal"/>
    <w:next w:val="Normal"/>
    <w:link w:val="IntenseQuoteChar"/>
    <w:uiPriority w:val="30"/>
    <w:qFormat/>
    <w:rsid w:val="00A13A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3A1C"/>
    <w:rPr>
      <w:i/>
      <w:iCs/>
      <w:color w:val="0F4761" w:themeColor="accent1" w:themeShade="BF"/>
    </w:rPr>
  </w:style>
  <w:style w:type="character" w:styleId="IntenseReference">
    <w:name w:val="Intense Reference"/>
    <w:basedOn w:val="DefaultParagraphFont"/>
    <w:uiPriority w:val="32"/>
    <w:qFormat/>
    <w:rsid w:val="00A13A1C"/>
    <w:rPr>
      <w:b/>
      <w:bCs/>
      <w:smallCaps/>
      <w:color w:val="0F4761" w:themeColor="accent1" w:themeShade="BF"/>
      <w:spacing w:val="5"/>
    </w:rPr>
  </w:style>
  <w:style w:type="table" w:styleId="TableGrid">
    <w:name w:val="Table Grid"/>
    <w:basedOn w:val="TableNormal"/>
    <w:uiPriority w:val="39"/>
    <w:rsid w:val="006C7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0ECC"/>
    <w:pPr>
      <w:spacing w:after="200" w:line="240" w:lineRule="auto"/>
    </w:pPr>
    <w:rPr>
      <w:i/>
      <w:iCs/>
      <w:color w:val="0E2841" w:themeColor="text2"/>
      <w:sz w:val="18"/>
      <w:szCs w:val="18"/>
    </w:rPr>
  </w:style>
  <w:style w:type="character" w:styleId="Hyperlink">
    <w:name w:val="Hyperlink"/>
    <w:basedOn w:val="DefaultParagraphFont"/>
    <w:uiPriority w:val="99"/>
    <w:unhideWhenUsed/>
    <w:rsid w:val="001A5A1A"/>
    <w:rPr>
      <w:color w:val="467886" w:themeColor="hyperlink"/>
      <w:u w:val="single"/>
    </w:rPr>
  </w:style>
  <w:style w:type="character" w:styleId="UnresolvedMention">
    <w:name w:val="Unresolved Mention"/>
    <w:basedOn w:val="DefaultParagraphFont"/>
    <w:uiPriority w:val="99"/>
    <w:semiHidden/>
    <w:unhideWhenUsed/>
    <w:rsid w:val="001A5A1A"/>
    <w:rPr>
      <w:color w:val="605E5C"/>
      <w:shd w:val="clear" w:color="auto" w:fill="E1DFDD"/>
    </w:rPr>
  </w:style>
  <w:style w:type="character" w:styleId="FollowedHyperlink">
    <w:name w:val="FollowedHyperlink"/>
    <w:basedOn w:val="DefaultParagraphFont"/>
    <w:uiPriority w:val="99"/>
    <w:semiHidden/>
    <w:unhideWhenUsed/>
    <w:rsid w:val="00E813FE"/>
    <w:rPr>
      <w:color w:val="96607D" w:themeColor="followedHyperlink"/>
      <w:u w:val="single"/>
    </w:rPr>
  </w:style>
  <w:style w:type="paragraph" w:styleId="Bibliography">
    <w:name w:val="Bibliography"/>
    <w:basedOn w:val="Normal"/>
    <w:next w:val="Normal"/>
    <w:uiPriority w:val="37"/>
    <w:unhideWhenUsed/>
    <w:rsid w:val="00FD76BB"/>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925464">
      <w:bodyDiv w:val="1"/>
      <w:marLeft w:val="0"/>
      <w:marRight w:val="0"/>
      <w:marTop w:val="0"/>
      <w:marBottom w:val="0"/>
      <w:divBdr>
        <w:top w:val="none" w:sz="0" w:space="0" w:color="auto"/>
        <w:left w:val="none" w:sz="0" w:space="0" w:color="auto"/>
        <w:bottom w:val="none" w:sz="0" w:space="0" w:color="auto"/>
        <w:right w:val="none" w:sz="0" w:space="0" w:color="auto"/>
      </w:divBdr>
    </w:div>
    <w:div w:id="368385914">
      <w:bodyDiv w:val="1"/>
      <w:marLeft w:val="0"/>
      <w:marRight w:val="0"/>
      <w:marTop w:val="0"/>
      <w:marBottom w:val="0"/>
      <w:divBdr>
        <w:top w:val="none" w:sz="0" w:space="0" w:color="auto"/>
        <w:left w:val="none" w:sz="0" w:space="0" w:color="auto"/>
        <w:bottom w:val="none" w:sz="0" w:space="0" w:color="auto"/>
        <w:right w:val="none" w:sz="0" w:space="0" w:color="auto"/>
      </w:divBdr>
    </w:div>
    <w:div w:id="406346564">
      <w:bodyDiv w:val="1"/>
      <w:marLeft w:val="0"/>
      <w:marRight w:val="0"/>
      <w:marTop w:val="0"/>
      <w:marBottom w:val="0"/>
      <w:divBdr>
        <w:top w:val="none" w:sz="0" w:space="0" w:color="auto"/>
        <w:left w:val="none" w:sz="0" w:space="0" w:color="auto"/>
        <w:bottom w:val="none" w:sz="0" w:space="0" w:color="auto"/>
        <w:right w:val="none" w:sz="0" w:space="0" w:color="auto"/>
      </w:divBdr>
    </w:div>
    <w:div w:id="430977984">
      <w:bodyDiv w:val="1"/>
      <w:marLeft w:val="0"/>
      <w:marRight w:val="0"/>
      <w:marTop w:val="0"/>
      <w:marBottom w:val="0"/>
      <w:divBdr>
        <w:top w:val="none" w:sz="0" w:space="0" w:color="auto"/>
        <w:left w:val="none" w:sz="0" w:space="0" w:color="auto"/>
        <w:bottom w:val="none" w:sz="0" w:space="0" w:color="auto"/>
        <w:right w:val="none" w:sz="0" w:space="0" w:color="auto"/>
      </w:divBdr>
    </w:div>
    <w:div w:id="524094738">
      <w:bodyDiv w:val="1"/>
      <w:marLeft w:val="0"/>
      <w:marRight w:val="0"/>
      <w:marTop w:val="0"/>
      <w:marBottom w:val="0"/>
      <w:divBdr>
        <w:top w:val="none" w:sz="0" w:space="0" w:color="auto"/>
        <w:left w:val="none" w:sz="0" w:space="0" w:color="auto"/>
        <w:bottom w:val="none" w:sz="0" w:space="0" w:color="auto"/>
        <w:right w:val="none" w:sz="0" w:space="0" w:color="auto"/>
      </w:divBdr>
    </w:div>
    <w:div w:id="555971760">
      <w:bodyDiv w:val="1"/>
      <w:marLeft w:val="0"/>
      <w:marRight w:val="0"/>
      <w:marTop w:val="0"/>
      <w:marBottom w:val="0"/>
      <w:divBdr>
        <w:top w:val="none" w:sz="0" w:space="0" w:color="auto"/>
        <w:left w:val="none" w:sz="0" w:space="0" w:color="auto"/>
        <w:bottom w:val="none" w:sz="0" w:space="0" w:color="auto"/>
        <w:right w:val="none" w:sz="0" w:space="0" w:color="auto"/>
      </w:divBdr>
    </w:div>
    <w:div w:id="858004254">
      <w:bodyDiv w:val="1"/>
      <w:marLeft w:val="0"/>
      <w:marRight w:val="0"/>
      <w:marTop w:val="0"/>
      <w:marBottom w:val="0"/>
      <w:divBdr>
        <w:top w:val="none" w:sz="0" w:space="0" w:color="auto"/>
        <w:left w:val="none" w:sz="0" w:space="0" w:color="auto"/>
        <w:bottom w:val="none" w:sz="0" w:space="0" w:color="auto"/>
        <w:right w:val="none" w:sz="0" w:space="0" w:color="auto"/>
      </w:divBdr>
    </w:div>
    <w:div w:id="864369098">
      <w:bodyDiv w:val="1"/>
      <w:marLeft w:val="0"/>
      <w:marRight w:val="0"/>
      <w:marTop w:val="0"/>
      <w:marBottom w:val="0"/>
      <w:divBdr>
        <w:top w:val="none" w:sz="0" w:space="0" w:color="auto"/>
        <w:left w:val="none" w:sz="0" w:space="0" w:color="auto"/>
        <w:bottom w:val="none" w:sz="0" w:space="0" w:color="auto"/>
        <w:right w:val="none" w:sz="0" w:space="0" w:color="auto"/>
      </w:divBdr>
    </w:div>
    <w:div w:id="988242471">
      <w:bodyDiv w:val="1"/>
      <w:marLeft w:val="0"/>
      <w:marRight w:val="0"/>
      <w:marTop w:val="0"/>
      <w:marBottom w:val="0"/>
      <w:divBdr>
        <w:top w:val="none" w:sz="0" w:space="0" w:color="auto"/>
        <w:left w:val="none" w:sz="0" w:space="0" w:color="auto"/>
        <w:bottom w:val="none" w:sz="0" w:space="0" w:color="auto"/>
        <w:right w:val="none" w:sz="0" w:space="0" w:color="auto"/>
      </w:divBdr>
    </w:div>
    <w:div w:id="1161383125">
      <w:bodyDiv w:val="1"/>
      <w:marLeft w:val="0"/>
      <w:marRight w:val="0"/>
      <w:marTop w:val="0"/>
      <w:marBottom w:val="0"/>
      <w:divBdr>
        <w:top w:val="none" w:sz="0" w:space="0" w:color="auto"/>
        <w:left w:val="none" w:sz="0" w:space="0" w:color="auto"/>
        <w:bottom w:val="none" w:sz="0" w:space="0" w:color="auto"/>
        <w:right w:val="none" w:sz="0" w:space="0" w:color="auto"/>
      </w:divBdr>
    </w:div>
    <w:div w:id="1410612800">
      <w:bodyDiv w:val="1"/>
      <w:marLeft w:val="0"/>
      <w:marRight w:val="0"/>
      <w:marTop w:val="0"/>
      <w:marBottom w:val="0"/>
      <w:divBdr>
        <w:top w:val="none" w:sz="0" w:space="0" w:color="auto"/>
        <w:left w:val="none" w:sz="0" w:space="0" w:color="auto"/>
        <w:bottom w:val="none" w:sz="0" w:space="0" w:color="auto"/>
        <w:right w:val="none" w:sz="0" w:space="0" w:color="auto"/>
      </w:divBdr>
    </w:div>
    <w:div w:id="1457675077">
      <w:bodyDiv w:val="1"/>
      <w:marLeft w:val="0"/>
      <w:marRight w:val="0"/>
      <w:marTop w:val="0"/>
      <w:marBottom w:val="0"/>
      <w:divBdr>
        <w:top w:val="none" w:sz="0" w:space="0" w:color="auto"/>
        <w:left w:val="none" w:sz="0" w:space="0" w:color="auto"/>
        <w:bottom w:val="none" w:sz="0" w:space="0" w:color="auto"/>
        <w:right w:val="none" w:sz="0" w:space="0" w:color="auto"/>
      </w:divBdr>
    </w:div>
    <w:div w:id="1721709964">
      <w:bodyDiv w:val="1"/>
      <w:marLeft w:val="0"/>
      <w:marRight w:val="0"/>
      <w:marTop w:val="0"/>
      <w:marBottom w:val="0"/>
      <w:divBdr>
        <w:top w:val="none" w:sz="0" w:space="0" w:color="auto"/>
        <w:left w:val="none" w:sz="0" w:space="0" w:color="auto"/>
        <w:bottom w:val="none" w:sz="0" w:space="0" w:color="auto"/>
        <w:right w:val="none" w:sz="0" w:space="0" w:color="auto"/>
      </w:divBdr>
    </w:div>
    <w:div w:id="1879928827">
      <w:bodyDiv w:val="1"/>
      <w:marLeft w:val="0"/>
      <w:marRight w:val="0"/>
      <w:marTop w:val="0"/>
      <w:marBottom w:val="0"/>
      <w:divBdr>
        <w:top w:val="none" w:sz="0" w:space="0" w:color="auto"/>
        <w:left w:val="none" w:sz="0" w:space="0" w:color="auto"/>
        <w:bottom w:val="none" w:sz="0" w:space="0" w:color="auto"/>
        <w:right w:val="none" w:sz="0" w:space="0" w:color="auto"/>
      </w:divBdr>
      <w:divsChild>
        <w:div w:id="294220160">
          <w:marLeft w:val="0"/>
          <w:marRight w:val="0"/>
          <w:marTop w:val="0"/>
          <w:marBottom w:val="0"/>
          <w:divBdr>
            <w:top w:val="none" w:sz="0" w:space="0" w:color="auto"/>
            <w:left w:val="none" w:sz="0" w:space="0" w:color="auto"/>
            <w:bottom w:val="none" w:sz="0" w:space="0" w:color="auto"/>
            <w:right w:val="none" w:sz="0" w:space="0" w:color="auto"/>
          </w:divBdr>
          <w:divsChild>
            <w:div w:id="94831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599">
      <w:bodyDiv w:val="1"/>
      <w:marLeft w:val="0"/>
      <w:marRight w:val="0"/>
      <w:marTop w:val="0"/>
      <w:marBottom w:val="0"/>
      <w:divBdr>
        <w:top w:val="none" w:sz="0" w:space="0" w:color="auto"/>
        <w:left w:val="none" w:sz="0" w:space="0" w:color="auto"/>
        <w:bottom w:val="none" w:sz="0" w:space="0" w:color="auto"/>
        <w:right w:val="none" w:sz="0" w:space="0" w:color="auto"/>
      </w:divBdr>
    </w:div>
    <w:div w:id="1974560198">
      <w:bodyDiv w:val="1"/>
      <w:marLeft w:val="0"/>
      <w:marRight w:val="0"/>
      <w:marTop w:val="0"/>
      <w:marBottom w:val="0"/>
      <w:divBdr>
        <w:top w:val="none" w:sz="0" w:space="0" w:color="auto"/>
        <w:left w:val="none" w:sz="0" w:space="0" w:color="auto"/>
        <w:bottom w:val="none" w:sz="0" w:space="0" w:color="auto"/>
        <w:right w:val="none" w:sz="0" w:space="0" w:color="auto"/>
      </w:divBdr>
      <w:divsChild>
        <w:div w:id="1348212924">
          <w:marLeft w:val="0"/>
          <w:marRight w:val="0"/>
          <w:marTop w:val="0"/>
          <w:marBottom w:val="0"/>
          <w:divBdr>
            <w:top w:val="none" w:sz="0" w:space="0" w:color="auto"/>
            <w:left w:val="none" w:sz="0" w:space="0" w:color="auto"/>
            <w:bottom w:val="none" w:sz="0" w:space="0" w:color="auto"/>
            <w:right w:val="none" w:sz="0" w:space="0" w:color="auto"/>
          </w:divBdr>
          <w:divsChild>
            <w:div w:id="18172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5489">
      <w:bodyDiv w:val="1"/>
      <w:marLeft w:val="0"/>
      <w:marRight w:val="0"/>
      <w:marTop w:val="0"/>
      <w:marBottom w:val="0"/>
      <w:divBdr>
        <w:top w:val="none" w:sz="0" w:space="0" w:color="auto"/>
        <w:left w:val="none" w:sz="0" w:space="0" w:color="auto"/>
        <w:bottom w:val="none" w:sz="0" w:space="0" w:color="auto"/>
        <w:right w:val="none" w:sz="0" w:space="0" w:color="auto"/>
      </w:divBdr>
    </w:div>
    <w:div w:id="2104493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196</TotalTime>
  <Pages>8</Pages>
  <Words>5322</Words>
  <Characters>30339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36</cp:revision>
  <dcterms:created xsi:type="dcterms:W3CDTF">2025-03-23T17:55:00Z</dcterms:created>
  <dcterms:modified xsi:type="dcterms:W3CDTF">2025-04-18T16:52:00Z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id="vvO9uEKd"/&gt;&lt;style id="http://www.zotero.org/styles/apa" locale="en-US" hasBibliography="1" bibliographyStyleHasBeenSet="1"/&gt;&lt;prefs&gt;&lt;pref name="fieldType" value="Field"/&gt;&lt;/prefs&gt;&lt;/data&gt;</vt:lpwstr>
  </property>
</Properties>
</file>