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78AAB" w14:textId="013BBC49" w:rsidR="00A13A1C" w:rsidRDefault="00235AE8" w:rsidP="00235AE8">
      <w:pPr>
        <w:pStyle w:val="Heading1"/>
      </w:pPr>
      <w:r w:rsidRPr="00235AE8">
        <w:rPr>
          <w:rStyle w:val="Heading1Char"/>
        </w:rPr>
        <w:t>Survival Analysis in Education: A Systematic Literature Review, Bibliometric Insights, and Methodological</w:t>
      </w:r>
      <w:r w:rsidRPr="00235AE8">
        <w:t xml:space="preserve"> Comparison</w:t>
      </w:r>
    </w:p>
    <w:p w14:paraId="69CA4211" w14:textId="029FB273" w:rsidR="000D2592" w:rsidRDefault="000D2592" w:rsidP="003B00A0">
      <w:pPr>
        <w:pStyle w:val="Heading2"/>
      </w:pPr>
      <w:r>
        <w:t>Abstract</w:t>
      </w:r>
    </w:p>
    <w:p w14:paraId="58E86831" w14:textId="77777777" w:rsidR="005D6CB9" w:rsidRDefault="005D6CB9" w:rsidP="005D6CB9">
      <w:r>
        <w:t>Background:</w:t>
      </w:r>
    </w:p>
    <w:p w14:paraId="6F1F166D" w14:textId="55B4C4EC" w:rsidR="005D6CB9" w:rsidRDefault="005D6CB9" w:rsidP="005D6CB9">
      <w:r>
        <w:t>Dropout and student retention are critical issues in education, with significant individual and societal implications. Survival analysis provides a powerful statistical framework for examining time-to-event phenomena such as student attrition, yet its application in educational research has not been systematically reviewed.</w:t>
      </w:r>
    </w:p>
    <w:p w14:paraId="19E0E28B" w14:textId="44B3CC20" w:rsidR="005D6CB9" w:rsidRDefault="005D6CB9" w:rsidP="005D6CB9">
      <w:r>
        <w:t>This study conducts a bibliometric and methodological review of the use of survival analysis in educational contexts, with a focus on identifying prevailing methods, their implementation success</w:t>
      </w:r>
      <w:r w:rsidR="00517970">
        <w:t xml:space="preserve"> rates</w:t>
      </w:r>
      <w:r>
        <w:t>, and research trends across countries and institutions.</w:t>
      </w:r>
    </w:p>
    <w:p w14:paraId="635FBAB2" w14:textId="77777777" w:rsidR="005D6CB9" w:rsidRDefault="005D6CB9" w:rsidP="005D6CB9">
      <w:r>
        <w:t>Methods:</w:t>
      </w:r>
    </w:p>
    <w:p w14:paraId="530B0E4C" w14:textId="5491C472" w:rsidR="005D6CB9" w:rsidRDefault="00747078" w:rsidP="005D6CB9">
      <w:r w:rsidRPr="00747078">
        <w:t>We conducted a systematic literature search in the Web of Science database using keywords related to survival analysis and education. In total, 297 peer-reviewed journal articles published between 1991 and 2025 were analyzed. Abstracts were processed using Python to identify mentions of survival methods (e.g., Cox regression, Kaplan-Meier, competing risks) and indicators of model performance (e.g., fit, significance, validation). A bibliometric analysis was also performed to examine publication trends, collaboration networks, and geographical distribution.</w:t>
      </w:r>
    </w:p>
    <w:p w14:paraId="6A305060" w14:textId="77777777" w:rsidR="005D6CB9" w:rsidRDefault="005D6CB9" w:rsidP="005D6CB9">
      <w:r>
        <w:t>Results:</w:t>
      </w:r>
    </w:p>
    <w:p w14:paraId="3BE803A6" w14:textId="32A13D7C" w:rsidR="005D6CB9" w:rsidRDefault="005D6CB9" w:rsidP="005D6CB9">
      <w:r>
        <w:t>The most frequently used methods were event history analysis (n=51), Cox proportional hazards models (n=36), and Kaplan-Meier estimators (n=27). Success in application, as indicated by mentions of model performance or validation, varied by method</w:t>
      </w:r>
      <w:r w:rsidR="00517970">
        <w:t>.</w:t>
      </w:r>
      <w:r>
        <w:t xml:space="preserve"> </w:t>
      </w:r>
      <w:r w:rsidR="00537C77" w:rsidRPr="00537C77">
        <w:t>Kaplan-Meier methods exhibited the highest success ratio</w:t>
      </w:r>
      <w:r>
        <w:t xml:space="preserve"> (59%), while newer techniques like multilevel and dyadic survival models were underutilized. The majority of studies originated from North America and Western Europe, </w:t>
      </w:r>
      <w:r w:rsidR="0077259C" w:rsidRPr="0077259C">
        <w:t>while representation from developing regions remains limited.</w:t>
      </w:r>
      <w:r>
        <w:t xml:space="preserve"> Collaboration networks revealed strong ties among researchers in the United States, United Kingdom, and Australia.</w:t>
      </w:r>
    </w:p>
    <w:p w14:paraId="4EE0DC88" w14:textId="77777777" w:rsidR="005D6CB9" w:rsidRDefault="005D6CB9" w:rsidP="005D6CB9">
      <w:r>
        <w:t>Conclusion:</w:t>
      </w:r>
    </w:p>
    <w:p w14:paraId="4F413FB1" w14:textId="1C102612" w:rsidR="005D6CB9" w:rsidRPr="005D6CB9" w:rsidRDefault="005D6CB9" w:rsidP="005D6CB9">
      <w:r>
        <w:t xml:space="preserve">Survival analysis is increasingly used in educational research, particularly for modeling dropout and retention. However, the field relies heavily on conventional methods, with </w:t>
      </w:r>
      <w:r>
        <w:lastRenderedPageBreak/>
        <w:t xml:space="preserve">limited adoption of advanced techniques. </w:t>
      </w:r>
      <w:r w:rsidR="00517970" w:rsidRPr="00517970">
        <w:t>Future research should prioritize innovation in methodology and broader global inclusion.</w:t>
      </w:r>
    </w:p>
    <w:p w14:paraId="16BCD0F4" w14:textId="438DA8D7" w:rsidR="000D2592" w:rsidRDefault="000D2592" w:rsidP="000D2592">
      <w:pPr>
        <w:pStyle w:val="Heading2"/>
      </w:pPr>
      <w:r>
        <w:t>Keywords</w:t>
      </w:r>
    </w:p>
    <w:p w14:paraId="49520AF5" w14:textId="092E56F0" w:rsidR="00235AE8" w:rsidRPr="00235AE8" w:rsidRDefault="00235AE8" w:rsidP="00235AE8">
      <w:r>
        <w:t>Survival Analysis, Education Research, Dropout Prediction, Student Retention, Time-to-Event Analysis, Systematic Literature Review, Bibliometric Analysis, Methodological Comparison</w:t>
      </w:r>
    </w:p>
    <w:p w14:paraId="3FE64625" w14:textId="6AFBB0E1" w:rsidR="000D2592" w:rsidRDefault="000D2592" w:rsidP="000D2592">
      <w:pPr>
        <w:pStyle w:val="Heading2"/>
      </w:pPr>
      <w:r>
        <w:t>Introduction</w:t>
      </w:r>
    </w:p>
    <w:p w14:paraId="1EE23C08" w14:textId="6F697AE6" w:rsidR="002E3A85" w:rsidRDefault="002E3A85" w:rsidP="002E3A85">
      <w:r w:rsidRPr="002E3A85">
        <w:t>Educational attainment plays a crucial role in personal development, economic mobility, and societal progress</w:t>
      </w:r>
      <w:r w:rsidR="00415990">
        <w:t xml:space="preserve"> </w:t>
      </w:r>
      <w:r w:rsidR="00415990">
        <w:fldChar w:fldCharType="begin"/>
      </w:r>
      <w:r w:rsidR="00415990">
        <w:instrText xml:space="preserve"> ADDIN ZOTERO_ITEM CSL_CITATION {"citationID":"AJVo12eV","properties":{"formattedCitation":"(Padgett et al., 2025)","plainCitation":"(Padgett et al., 2025)","noteIndex":0},"citationItems":[{"id":1087,"uris":["http://zotero.org/users/local/ZlhuMgGE/items/3ZG9YTS7"],"itemData":{"id":1087,"type":"article-journal","container-title":"Scientific Reports","DOI":"10.1038/s41598-025-87406-9","ISSN":"2045-2322","issue":"1","journalAbbreviation":"Sci Rep","language":"en","license":"https://creativecommons.org/licenses/by-nc-nd/4.0","note":"publisher: Springer Science and Business Media LLC","source":"Crossref","title":"A cross-national analysis of sociodemographic variation in educational attainment","URL":"https://www.nature.com/articles/s41598-025-87406-9","volume":"15","author":[{"family":"Padgett","given":"R. Noah"},{"family":"Le Pertel","given":"Noémie"},{"family":"Hinton","given":"Christina"},{"family":"Kettler","given":"Todd"},{"family":"Ho","given":"Andrew D."},{"family":"Chen","given":"Ying"},{"family":"Bradshaw","given":"Matt"},{"family":"Johnson","given":"Byron R."},{"family":"VanderWeele","given":"Tyler J."}],"accessed":{"date-parts":[["2025",7,8]]},"issued":{"date-parts":[["2025",4,30]]}}}],"schema":"https://github.com/citation-style-language/schema/raw/master/csl-citation.json"} </w:instrText>
      </w:r>
      <w:r w:rsidR="00415990">
        <w:fldChar w:fldCharType="separate"/>
      </w:r>
      <w:r w:rsidR="00415990" w:rsidRPr="00415990">
        <w:rPr>
          <w:rFonts w:ascii="Aptos" w:hAnsi="Aptos"/>
        </w:rPr>
        <w:t>(Padgett et al., 2025)</w:t>
      </w:r>
      <w:r w:rsidR="00415990">
        <w:fldChar w:fldCharType="end"/>
      </w:r>
      <w:r w:rsidRPr="002E3A85">
        <w:t xml:space="preserve">. However, dropout remains a significant issue across various educational levels, </w:t>
      </w:r>
      <w:r w:rsidR="001345CF">
        <w:t>impacting</w:t>
      </w:r>
      <w:r w:rsidRPr="002E3A85">
        <w:t xml:space="preserve"> both individual students and educational institutions. Understanding the dropout rates is essential for developing effective policies and interventions</w:t>
      </w:r>
      <w:r w:rsidR="00415990">
        <w:t xml:space="preserve"> </w:t>
      </w:r>
      <w:r w:rsidR="00415990">
        <w:fldChar w:fldCharType="begin"/>
      </w:r>
      <w:r w:rsidR="00415990">
        <w:instrText xml:space="preserve"> ADDIN ZOTERO_ITEM CSL_CITATION {"citationID":"mRBkfQah","properties":{"formattedCitation":"(Freeman &amp; Simonsen, 2015)","plainCitation":"(Freeman &amp; Simonsen, 2015)","noteIndex":0},"citationItems":[{"id":1088,"uris":["http://zotero.org/users/local/ZlhuMgGE/items/T3ICR657"],"itemData":{"id":1088,"type":"article-journal","abstract":"The purpose of this literature review is to systematically examine policy and practice intervention research and assess the impact of those interventions on high school dropout and school completion rates. This systematic review extends the literature by (a) describing both policy and practice interventions, (b) synthesizing findings from experimental or quasi-experimental research, and (c) examining the common elements of effective interventions. Specifically, this review addresses two main questions. First, what are the characteristics of the empirical literature examining high school dropout or school completion interventions? Second, what are the common elements of effective policy or practice interventions for reducing high school dropout rates or increasing school completion rates? Findings indicate that despite research highlighting the need to address multiple risk factors and the need for early intervention, the bulk of current empirical research is focused on single-component, individual, or small group interventions delivered at the high school level. Further research is needed to provide guidance to schools regarding the integration of dropout efforts with other school initiatives. Multitiered frameworks of support are suggested as a structure for accomplishing this effectively and efficiently.","container-title":"Review of Educational Research","DOI":"10.3102/0034654314554431","ISSN":"0034-6543, 1935-1046","issue":"2","language":"en","license":"https://journals.sagepub.com/page/policies/text-and-data-mining-license","note":"publisher: American Educational Research Association (AERA)","page":"205-248","source":"Crossref","title":"Examining the Impact of Policy and Practice Interventions on High School Dropout and School Completion Rates: A Systematic Review of the Literature","title-short":"Examining the Impact of Policy and Practice Interventions on High School Dropout and School Completion Rates","volume":"85","author":[{"family":"Freeman","given":"Jennifer"},{"family":"Simonsen","given":"Brandi"}],"issued":{"date-parts":[["2015",6]]}}}],"schema":"https://github.com/citation-style-language/schema/raw/master/csl-citation.json"} </w:instrText>
      </w:r>
      <w:r w:rsidR="00415990">
        <w:fldChar w:fldCharType="separate"/>
      </w:r>
      <w:r w:rsidR="00415990" w:rsidRPr="00415990">
        <w:rPr>
          <w:rFonts w:ascii="Aptos" w:hAnsi="Aptos"/>
        </w:rPr>
        <w:t>(Freeman &amp; Simonsen, 2015)</w:t>
      </w:r>
      <w:r w:rsidR="00415990">
        <w:fldChar w:fldCharType="end"/>
      </w:r>
      <w:r w:rsidRPr="002E3A85">
        <w:t xml:space="preserve">. </w:t>
      </w:r>
      <w:r w:rsidR="001345CF">
        <w:t>A robust</w:t>
      </w:r>
      <w:r w:rsidRPr="002E3A85">
        <w:t xml:space="preserve"> methodological approach to studying time-dependent educational outcomes is survival analysis, a statistical framework designed to model time-to-event data. This study aims to explore the application of survival analysis in education by conducting a systematic literature review, performing a bibliometric analysis, and comparing methodological approaches within the field.</w:t>
      </w:r>
    </w:p>
    <w:p w14:paraId="0A4B2107" w14:textId="7AA173BE" w:rsidR="000D2592" w:rsidRDefault="000D2592" w:rsidP="002E3A85">
      <w:pPr>
        <w:pStyle w:val="Heading3"/>
      </w:pPr>
      <w:r>
        <w:t>Dropout in education</w:t>
      </w:r>
    </w:p>
    <w:p w14:paraId="3EBFBC3C" w14:textId="2BDA10AE" w:rsidR="00D303A5" w:rsidRDefault="002E3A85" w:rsidP="002E3A85">
      <w:r w:rsidRPr="002E3A85">
        <w:t>Dropout rates in education vary across different regions, demographics, and educational levels, influenced by factors such as</w:t>
      </w:r>
      <w:r w:rsidR="00F9146B">
        <w:t xml:space="preserve"> </w:t>
      </w:r>
      <w:r w:rsidR="00F9146B" w:rsidRPr="00F9146B">
        <w:t>personal and economic issues, academic performance and satisfaction, social and institutional support, psychological determinants and demographic variables</w:t>
      </w:r>
      <w:r w:rsidR="00F9146B">
        <w:t xml:space="preserve"> </w:t>
      </w:r>
      <w:r w:rsidR="00F9146B">
        <w:fldChar w:fldCharType="begin"/>
      </w:r>
      <w:r w:rsidR="007A1EBE">
        <w:instrText xml:space="preserve"> ADDIN ZOTERO_ITEM CSL_CITATION {"citationID":"G9Dv2Mux","properties":{"formattedCitation":"(Addison &amp; Williams, 2023; Pusztai et al., 2022; Wild &amp; Schulze Heuling, 2020)","plainCitation":"(Addison &amp; Williams, 2023; Pusztai et al., 2022; Wild &amp; Schulze Heuling, 2020)","noteIndex":0},"citationItems":[{"id":1043,"uris":["http://zotero.org/users/local/ZlhuMgGE/items/A7GDHXAB"],"itemData":{"id":1043,"type":"article-journal","abstract":"Purpose\n              This paper aims to provide a parsimonious but rigorous model to assist decision-makers to determine critical factors which can lead to higher graduation rates amongst higher education institution (HEI) participants. It predicts the odds of dropout amongst university students, using HEI data from a developing country. This is used as a basis for a Student Retention Predictive (SRP) Model to inform HEI administrators about predicted risks of attrition amongst cohorts.\n            \n            \n              Design/methodology/approach\n              A classification tool, the Logistic Regression Model, is fitted to the data set for a particular HEI in a developing country. The model is used to predict significant factors for student dropout and to create a base model for predicted risks by various student demographic variables.\n            \n            \n              Findings\n              To reduce dropout and to ensure higher graduation rates, the model suggests that variables such as age group, faculty, academic standing and cumulative GPA are significant. These indicative results can drive intervention strategies to improve student retention in HEIs and lessen the gap between graduates and non-graduates, with the goal of reducing socio-economic inequalities in society.\n            \n            \n              Originality/value\n              This research employs risk bands (low, medium and high) to classify students at risk of attrition or drop out. This provides invaluable insights to HEI administrators in the development of intervention strategies to reduce dropout and increase graduation rates to impact the wider public policy issue of socio-economic inequities.","container-title":"Higher Education, Skills and Work-Based Learning","DOI":"10.1108/HESWBL-12-2022-0257","ISSN":"2042-3896","issue":"5","journalAbbreviation":"HESWBL","language":"en","license":"https://www.emerald.com/insight/site-policies","page":"865-885","source":"DOI.org (Crossref)","title":"Predicting student retention in higher education institutions (HEIs)","volume":"13","author":[{"family":"Addison","given":"Letetia"},{"family":"Williams","given":"Densil"}],"issued":{"date-parts":[["2023",10,20]]}}},{"id":1044,"uris":["http://zotero.org/users/local/ZlhuMgGE/items/PF44SGAK"],"itemData":{"id":1044,"type":"article-journal","abstract":"The purpose of this paper is to establish what sociodemographic and institutional factors cause students to drop out, become uncertain about their intentions to obtain a degree, or confidently advance towards the fulfilment of their ambitions. Our analysis is based on the combined databases of large-sample questionnaire surveys carried out among former students who dropped out from higher education institutions in an eastern region of Hungary as well as those carried out among current students. In addition to bivariate methods, we conduct multinomial logistic regression analysis to explore how students’ gender, social background, the funding of their training, willingness to do paid work alongside their studies, and relationships with academic staff and fellow students affect the chance of dropout, the risk of dropout, and persistence. In contrast to previous studies, which have mostly identified those at risk of dropping out of higher education and have primarily focused on the deficiencies of institutional integration, our novel results show that the actual dropout rate is at least as influenced by students’ unfavourable social background as it is by institutional factors.","container-title":"Education Sciences","DOI":"10.3390/educsci12110804","ISSN":"2227-7102","issue":"11","journalAbbreviation":"Education Sciences","language":"en","license":"https://creativecommons.org/licenses/by/4.0/","page":"804","source":"DOI.org (Crossref)","title":"Factors Influencing the Chance of Dropout or Being at Risk of Dropout in Higher Education","volume":"12","author":[{"family":"Pusztai","given":"Gabriella"},{"family":"Fényes","given":"Hajnalka"},{"family":"Kovács","given":"Klára"}],"issued":{"date-parts":[["2022",11,11]]}}},{"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F9146B">
        <w:fldChar w:fldCharType="separate"/>
      </w:r>
      <w:r w:rsidR="007A1EBE" w:rsidRPr="007A1EBE">
        <w:rPr>
          <w:rFonts w:ascii="Aptos" w:hAnsi="Aptos"/>
        </w:rPr>
        <w:t>(Addison &amp; Williams, 2023; Pusztai et al., 2022; Wild &amp; Schulze Heuling, 2020)</w:t>
      </w:r>
      <w:r w:rsidR="00F9146B">
        <w:fldChar w:fldCharType="end"/>
      </w:r>
      <w:r w:rsidR="00F9146B">
        <w:t>.</w:t>
      </w:r>
      <w:r w:rsidRPr="002E3A85">
        <w:t xml:space="preserve"> High dropout rates can lead to long-term negative consequences, including </w:t>
      </w:r>
      <w:r w:rsidR="007A1EBE">
        <w:t xml:space="preserve">individual </w:t>
      </w:r>
      <w:r w:rsidRPr="002E3A85">
        <w:t>reduced</w:t>
      </w:r>
      <w:r w:rsidR="007A1EBE">
        <w:t xml:space="preserve"> impact like</w:t>
      </w:r>
      <w:r w:rsidRPr="002E3A85">
        <w:t xml:space="preserve"> employment opportunities</w:t>
      </w:r>
      <w:r w:rsidR="007A1EBE">
        <w:t xml:space="preserve"> </w:t>
      </w:r>
      <w:r w:rsidR="007A1EBE">
        <w:fldChar w:fldCharType="begin"/>
      </w:r>
      <w:r w:rsidR="007A1EBE">
        <w:instrText xml:space="preserve"> ADDIN ZOTERO_ITEM CSL_CITATION {"citationID":"aTQjMwsg","properties":{"formattedCitation":"(Kiprianos &amp; Mpourgos, 2025)","plainCitation":"(Kiprianos &amp; Mpourgos, 2025)","noteIndex":0},"citationItems":[{"id":1046,"uris":["http://zotero.org/users/local/ZlhuMgGE/items/BMYQIV8H"],"itemData":{"id":1046,"type":"article-journal","abstract":"Student dropout is a universal social phenomenon, and several definitions are used to analyse it. In our paper, the term refers to those who have not completed Greece’s 11-year compulsory education. Our purpose is to investigate the consequences of student dropout in Ilia, Western Greece, a region which traditionally has very high dropout rates. We investigate how those who drop out perceive, live, and make sense of the consequences of not completing compulsory education. We conducted 64 semi-structured interviews in 2018 and 2019 with people aged 17–50 who had abandoned primary or low secondary school between 1980 and 2015. The sampling technique used was ‘theoretical sampling’. The inductive categorization system consists of 6 categories and 15 subcategories. We concluded that not completing compulsory education has consequences for most people that are not limited to the professional field, although some of them do state that they do not experience negative consequences. An integrated educational policy on student dropout must also consider this dimension.","container-title":"Journal of Adult and Continuing Education","DOI":"10.1177/14779714251314681","ISSN":"1477-9714, 1479-7194","journalAbbreviation":"Journal of Adult and Continuing Education","language":"en","page":"14779714251314681","source":"DOI.org (Crossref)","title":"School failure and life trajectories","author":[{"family":"Kiprianos","given":"Pandelis"},{"family":"Mpourgos","given":"Ioannis"}],"issued":{"date-parts":[["2025",1,18]]}}}],"schema":"https://github.com/citation-style-language/schema/raw/master/csl-citation.json"} </w:instrText>
      </w:r>
      <w:r w:rsidR="007A1EBE">
        <w:fldChar w:fldCharType="separate"/>
      </w:r>
      <w:r w:rsidR="007A1EBE" w:rsidRPr="007A1EBE">
        <w:rPr>
          <w:rFonts w:ascii="Aptos" w:hAnsi="Aptos"/>
        </w:rPr>
        <w:t>(Kiprianos &amp; Mpourgos, 2025)</w:t>
      </w:r>
      <w:r w:rsidR="007A1EBE">
        <w:fldChar w:fldCharType="end"/>
      </w:r>
      <w:r w:rsidRPr="002E3A85">
        <w:t xml:space="preserve"> and </w:t>
      </w:r>
      <w:r w:rsidR="007A1EBE" w:rsidRPr="007A1EBE">
        <w:t>societal impacts</w:t>
      </w:r>
      <w:r w:rsidR="007A1EBE">
        <w:t xml:space="preserve"> </w:t>
      </w:r>
      <w:r w:rsidR="007A1EBE">
        <w:fldChar w:fldCharType="begin"/>
      </w:r>
      <w:r w:rsidR="007A1EBE">
        <w:instrText xml:space="preserve"> ADDIN ZOTERO_ITEM CSL_CITATION {"citationID":"4IcykOyz","properties":{"formattedCitation":"(Ressa &amp; Andrews, 2022)","plainCitation":"(Ressa &amp; Andrews, 2022)","noteIndex":0},"citationItems":[{"id":1047,"uris":["http://zotero.org/users/local/ZlhuMgGE/items/KIRGSIU6"],"itemData":{"id":1047,"type":"article-journal","abstract":"Out of school happens when a student withdraws themselves from school at any level of education without a certificate to account for their education. It is an educational problem in America because of its negative consequences on society. Three-quarters of the fastest-growing occupations require more than a high school diploma, and yet, just over half of American citizens acquire that extent of education. Out of the industrialized nations, America holds one of the largest high school dropout rates. Half of the students who begin college will never finish. School dropouts are intelligent individuals capable of offering a lot to the world. However, because they never complete their studies, their abilities may never transpire to their full effectiveness. Hence, solving school dropouts is key to national development. This paper discusses school dropouts in the United States to contribute to its solutions. It examines the causal factors and the effects of school dropouts on individuals and society. School dropout is prevalent among vulnerable groups, and the cost to disadvantaged individuals, families, communities, and nations is high. Since school dropout status has negative consequences, moderating this dilemma benefits the individual and broader society, locally and globally.","container-title":"International Journal of Modern Education Studies","DOI":"10.51383/ijonmes.2022.234","ISSN":"2618-6209","issue":"2","journalAbbreviation":"IJONMES","license":"http://creativecommons.org/licenses/by/4.0","source":"DOI.org (Crossref)","title":"HIGH SCHOOL DROPOUT DILEMMA IN AMERICA AND THE IMPORTANCE OF REFORMATION OF EDUCATION SYSTEMS TO EMPOWER ALL STUDENTS","URL":"https://www.ijonmes.net/index.php/ijonmes/article/view/234","volume":"6","author":[{"family":"Ressa","given":"Theodoto"},{"family":"Andrews","given":"Allyson"}],"accessed":{"date-parts":[["2025",4,18]]},"issued":{"date-parts":[["2022",10,20]]}}}],"schema":"https://github.com/citation-style-language/schema/raw/master/csl-citation.json"} </w:instrText>
      </w:r>
      <w:r w:rsidR="007A1EBE">
        <w:fldChar w:fldCharType="separate"/>
      </w:r>
      <w:r w:rsidR="007A1EBE" w:rsidRPr="007A1EBE">
        <w:rPr>
          <w:rFonts w:ascii="Aptos" w:hAnsi="Aptos"/>
        </w:rPr>
        <w:t>(Ressa &amp; Andrews, 2022)</w:t>
      </w:r>
      <w:r w:rsidR="007A1EBE">
        <w:fldChar w:fldCharType="end"/>
      </w:r>
      <w:r w:rsidRPr="002E3A85">
        <w:t xml:space="preserve">. Policymakers and educators have long sought ways to mitigate dropout rates through targeted interventions. However, accurately predicting and understanding dropout </w:t>
      </w:r>
      <w:r w:rsidR="00D303A5" w:rsidRPr="002E3A85">
        <w:t>behaviour</w:t>
      </w:r>
      <w:r w:rsidRPr="002E3A85">
        <w:t xml:space="preserve"> requires robust analytical methods that account for time-dependent risk factors and censoring, making survival analysis an ideal tool for such investigations</w:t>
      </w:r>
      <w:r w:rsidR="00F9146B">
        <w:t xml:space="preserve"> </w:t>
      </w:r>
      <w:r w:rsidR="00F9146B">
        <w:fldChar w:fldCharType="begin"/>
      </w:r>
      <w:r w:rsidR="00F9146B">
        <w:instrText xml:space="preserve"> ADDIN ZOTERO_ITEM CSL_CITATION {"citationID":"AO4I6dNq","properties":{"formattedCitation":"(Wild &amp; Schulze Heuling, 2020)","plainCitation":"(Wild &amp; Schulze Heuling, 2020)","noteIndex":0},"citationItems":[{"id":1042,"uris":["http://zotero.org/users/local/ZlhuMgGE/items/W6VH2HPT"],"itemData":{"id":1042,"type":"article-journal","container-title":"International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F9146B">
        <w:fldChar w:fldCharType="separate"/>
      </w:r>
      <w:r w:rsidR="00F9146B" w:rsidRPr="00F9146B">
        <w:rPr>
          <w:rFonts w:ascii="Aptos" w:hAnsi="Aptos"/>
        </w:rPr>
        <w:t>(Wild &amp; Schulze Heuling, 2020)</w:t>
      </w:r>
      <w:r w:rsidR="00F9146B">
        <w:fldChar w:fldCharType="end"/>
      </w:r>
      <w:r w:rsidRPr="002E3A85">
        <w:t>.</w:t>
      </w:r>
    </w:p>
    <w:p w14:paraId="1D013781" w14:textId="78E9DC92" w:rsidR="000D2592" w:rsidRDefault="000D2592" w:rsidP="00D303A5">
      <w:pPr>
        <w:pStyle w:val="Heading3"/>
      </w:pPr>
      <w:r>
        <w:t>Survival analysis methods</w:t>
      </w:r>
    </w:p>
    <w:p w14:paraId="5A5CB315" w14:textId="29A98E0A" w:rsidR="00AE23A4" w:rsidRDefault="00AE23A4" w:rsidP="00AE23A4">
      <w:r>
        <w:t>Survival analysis encompasses a suite of statistical techniques designed to model the time until the occurrence of a specific event, such as student dropout or graduation. In the educational context, these methods are particularly valuable due to their ability to account for censoring—cases where the event of interest has not yet occurred—and to incorporate time-varying covariates that influence risk over time</w:t>
      </w:r>
      <w:r w:rsidR="007A1EBE">
        <w:t xml:space="preserve"> </w:t>
      </w:r>
      <w:r w:rsidR="007A1EBE">
        <w:fldChar w:fldCharType="begin"/>
      </w:r>
      <w:r w:rsidR="007A1EBE">
        <w:instrText xml:space="preserve"> ADDIN ZOTERO_ITEM CSL_CITATION {"citationID":"rDhlYJPo","properties":{"formattedCitation":"(Wild &amp; Schulze Heuling, 2020)","plainCitation":"(Wild &amp; Schulze Heuling, 2020)","noteIndex":0},"citationItems":[{"id":1042,"uris":["http://zotero.org/users/local/ZlhuMgGE/items/W6VH2HPT"],"itemData":{"id":1042,"type":"article-journal","container-title":"International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7A1EBE">
        <w:fldChar w:fldCharType="separate"/>
      </w:r>
      <w:r w:rsidR="007A1EBE" w:rsidRPr="007A1EBE">
        <w:rPr>
          <w:rFonts w:ascii="Aptos" w:hAnsi="Aptos"/>
        </w:rPr>
        <w:t>(Wild &amp; Schulze Heuling, 2020)</w:t>
      </w:r>
      <w:r w:rsidR="007A1EBE">
        <w:fldChar w:fldCharType="end"/>
      </w:r>
      <w:r>
        <w:t>.</w:t>
      </w:r>
    </w:p>
    <w:p w14:paraId="3F1CC240" w14:textId="6C94FBD5" w:rsidR="00AE23A4" w:rsidRDefault="00AE23A4" w:rsidP="00AE23A4">
      <w:r>
        <w:lastRenderedPageBreak/>
        <w:t>The most commonly used techniques include</w:t>
      </w:r>
      <w:r w:rsidR="00E813FE">
        <w:t>, but are not limited to</w:t>
      </w:r>
      <w:r>
        <w:t>:</w:t>
      </w:r>
    </w:p>
    <w:p w14:paraId="4C9530FE" w14:textId="7ABCBA2F" w:rsidR="00AE23A4" w:rsidRDefault="00AE23A4" w:rsidP="00AE23A4">
      <w:pPr>
        <w:pStyle w:val="ListParagraph"/>
        <w:numPr>
          <w:ilvl w:val="0"/>
          <w:numId w:val="2"/>
        </w:numPr>
      </w:pPr>
      <w:r>
        <w:t>Kaplan-Meier Estimator</w:t>
      </w:r>
      <w:r w:rsidR="00FA55F7">
        <w:t xml:space="preserve"> </w:t>
      </w:r>
      <w:r w:rsidR="00FA55F7">
        <w:fldChar w:fldCharType="begin"/>
      </w:r>
      <w:r w:rsidR="00FA55F7">
        <w:instrText xml:space="preserve"> ADDIN ZOTERO_ITEM CSL_CITATION {"citationID":"IKaYRu37","properties":{"formattedCitation":"(Lee, 2023)","plainCitation":"(Lee, 2023)","noteIndex":0},"citationItems":[{"id":1039,"uris":["http://zotero.org/users/local/ZlhuMgGE/items/UQRAUBJN"],"itemData":{"id":1039,"type":"article-journal","container-title":"Life Cycle","DOI":"10.54724/lc.2023.e8","ISSN":"2799-8894","journalAbbreviation":"Life Cycle","language":"en","page":"e8","source":"DOI.org (Crossref)","title":"Kaplan-Meier and Cox proportional hazards regression in survival analysis: statistical standard and guideline of Life Cycle Committee","title-short":"Kaplan-Meier and Cox proportional hazards regression in survival analysis","volume":"3","author":[{"family":"Lee","given":"Seung Won"}],"issued":{"date-parts":[["2023",5,17]]}}}],"schema":"https://github.com/citation-style-language/schema/raw/master/csl-citation.json"} </w:instrText>
      </w:r>
      <w:r w:rsidR="00FA55F7">
        <w:fldChar w:fldCharType="separate"/>
      </w:r>
      <w:r w:rsidR="00FA55F7" w:rsidRPr="00FA55F7">
        <w:rPr>
          <w:rFonts w:ascii="Aptos" w:hAnsi="Aptos"/>
        </w:rPr>
        <w:t>(Lee, 2023)</w:t>
      </w:r>
      <w:r w:rsidR="00FA55F7">
        <w:fldChar w:fldCharType="end"/>
      </w:r>
      <w:r>
        <w:t>: A non-parametric method used to estimate survival probabilities over time without assuming an underlying distribution.</w:t>
      </w:r>
    </w:p>
    <w:p w14:paraId="2442F527" w14:textId="749CB819" w:rsidR="00AE23A4" w:rsidRDefault="00AE23A4" w:rsidP="00AE23A4">
      <w:pPr>
        <w:pStyle w:val="ListParagraph"/>
        <w:numPr>
          <w:ilvl w:val="0"/>
          <w:numId w:val="2"/>
        </w:numPr>
      </w:pPr>
      <w:r>
        <w:t>Cox Proportional Hazards Model</w:t>
      </w:r>
      <w:r w:rsidR="00FA55F7">
        <w:t xml:space="preserve"> </w:t>
      </w:r>
      <w:r w:rsidR="00FA55F7">
        <w:fldChar w:fldCharType="begin"/>
      </w:r>
      <w:r w:rsidR="00FA55F7">
        <w:instrText xml:space="preserve"> ADDIN ZOTERO_ITEM CSL_CITATION {"citationID":"eQwkNYrt","properties":{"formattedCitation":"(Lee, 2023)","plainCitation":"(Lee, 2023)","noteIndex":0},"citationItems":[{"id":1039,"uris":["http://zotero.org/users/local/ZlhuMgGE/items/UQRAUBJN"],"itemData":{"id":1039,"type":"article-journal","container-title":"Life Cycle","DOI":"10.54724/lc.2023.e8","ISSN":"2799-8894","journalAbbreviation":"Life Cycle","language":"en","page":"e8","source":"DOI.org (Crossref)","title":"Kaplan-Meier and Cox proportional hazards regression in survival analysis: statistical standard and guideline of Life Cycle Committee","title-short":"Kaplan-Meier and Cox proportional hazards regression in survival analysis","volume":"3","author":[{"family":"Lee","given":"Seung Won"}],"issued":{"date-parts":[["2023",5,17]]}}}],"schema":"https://github.com/citation-style-language/schema/raw/master/csl-citation.json"} </w:instrText>
      </w:r>
      <w:r w:rsidR="00FA55F7">
        <w:fldChar w:fldCharType="separate"/>
      </w:r>
      <w:r w:rsidR="00FA55F7" w:rsidRPr="00FA55F7">
        <w:rPr>
          <w:rFonts w:ascii="Aptos" w:hAnsi="Aptos"/>
        </w:rPr>
        <w:t>(Lee, 2023)</w:t>
      </w:r>
      <w:r w:rsidR="00FA55F7">
        <w:fldChar w:fldCharType="end"/>
      </w:r>
      <w:r>
        <w:t>: A semi-parametric model that assesses the impact of covariates on the hazard function, widely used for its flexibility and interpretability.</w:t>
      </w:r>
    </w:p>
    <w:p w14:paraId="671C4366" w14:textId="21986CDF" w:rsidR="00AE23A4" w:rsidRDefault="00AE23A4" w:rsidP="00AE23A4">
      <w:pPr>
        <w:pStyle w:val="ListParagraph"/>
        <w:numPr>
          <w:ilvl w:val="0"/>
          <w:numId w:val="2"/>
        </w:numPr>
      </w:pPr>
      <w:r>
        <w:t>Discrete-Time Survival Models</w:t>
      </w:r>
      <w:r w:rsidR="00FA55F7">
        <w:t xml:space="preserve"> </w:t>
      </w:r>
      <w:r w:rsidR="00FA55F7">
        <w:fldChar w:fldCharType="begin"/>
      </w:r>
      <w:r w:rsidR="00FA55F7">
        <w:instrText xml:space="preserve"> ADDIN ZOTERO_ITEM CSL_CITATION {"citationID":"oBhEcoS7","properties":{"formattedCitation":"(Schmid &amp; Berger, 2021)","plainCitation":"(Schmid &amp; Berger, 2021)","noteIndex":0},"citationItems":[{"id":1041,"uris":["http://zotero.org/users/local/ZlhuMgGE/items/JYJ6Z22B"],"itemData":{"id":1041,"type":"article-journal","abstract":"Abstract\n            This article presents an overview of statistical methods for the analysis of discrete failure times with competing events. We describe the most commonly used modeling approaches for this type of data, including discrete versions of the cause</w:instrText>
      </w:r>
      <w:r w:rsidR="00FA55F7">
        <w:rPr>
          <w:rFonts w:ascii="Cambria Math" w:hAnsi="Cambria Math" w:cs="Cambria Math"/>
        </w:rPr>
        <w:instrText>‐</w:instrText>
      </w:r>
      <w:r w:rsidR="00FA55F7">
        <w:instrText>specific hazards model and the subdistribution hazard model. In addition to discussing the characteristics of these methods, we present approaches to nonparametric estimation and model validation. Our literature review suggests that discrete competing</w:instrText>
      </w:r>
      <w:r w:rsidR="00FA55F7">
        <w:rPr>
          <w:rFonts w:ascii="Cambria Math" w:hAnsi="Cambria Math" w:cs="Cambria Math"/>
        </w:rPr>
        <w:instrText>‐</w:instrText>
      </w:r>
      <w:r w:rsidR="00FA55F7">
        <w:instrText>risks analysis has gained substantial interest in the research community and is used regularly in econometrics, biostatistics, and educational research.\n            \n              This article is categorized under:\n              \n                \n                  Statistical Models &gt; Survival Models\n                \n                \n                  Statistical Models &gt; Semiparametric Models\n                \n                \n                  Statistical Models &gt; Generalized Linear Models","container-title":"WIREs Computational Statistics","DOI":"10.1002/wics.1529","ISSN":"1939-5108, 1939-0068","issue":"5","journalAbbreviation":"WIREs Computational Stats","language":"en","page":"e1529","source":"DOI.org (Crossref)","title":"Competing risks analysis for discrete time</w:instrText>
      </w:r>
      <w:r w:rsidR="00FA55F7">
        <w:rPr>
          <w:rFonts w:ascii="Cambria Math" w:hAnsi="Cambria Math" w:cs="Cambria Math"/>
        </w:rPr>
        <w:instrText>‐</w:instrText>
      </w:r>
      <w:r w:rsidR="00FA55F7">
        <w:instrText>to</w:instrText>
      </w:r>
      <w:r w:rsidR="00FA55F7">
        <w:rPr>
          <w:rFonts w:ascii="Cambria Math" w:hAnsi="Cambria Math" w:cs="Cambria Math"/>
        </w:rPr>
        <w:instrText>‐</w:instrText>
      </w:r>
      <w:r w:rsidR="00FA55F7">
        <w:instrText xml:space="preserve">event data","volume":"13","author":[{"family":"Schmid","given":"Matthias"},{"family":"Berger","given":"Moritz"}],"issued":{"date-parts":[["2021",9]]}}}],"schema":"https://github.com/citation-style-language/schema/raw/master/csl-citation.json"} </w:instrText>
      </w:r>
      <w:r w:rsidR="00FA55F7">
        <w:fldChar w:fldCharType="separate"/>
      </w:r>
      <w:r w:rsidR="00FA55F7" w:rsidRPr="00FA55F7">
        <w:rPr>
          <w:rFonts w:ascii="Aptos" w:hAnsi="Aptos"/>
        </w:rPr>
        <w:t>(Schmid &amp; Berger, 2021)</w:t>
      </w:r>
      <w:r w:rsidR="00FA55F7">
        <w:fldChar w:fldCharType="end"/>
      </w:r>
      <w:r>
        <w:t>: Suitable for data collected in regular intervals (e.g., academic years), allowing for logistic regression frameworks.</w:t>
      </w:r>
    </w:p>
    <w:p w14:paraId="746951BE" w14:textId="021CB314" w:rsidR="00FA55F7" w:rsidRDefault="00AE23A4" w:rsidP="00D303A5">
      <w:pPr>
        <w:pStyle w:val="ListParagraph"/>
        <w:numPr>
          <w:ilvl w:val="0"/>
          <w:numId w:val="2"/>
        </w:numPr>
      </w:pPr>
      <w:r>
        <w:t>Competing Risks Models</w:t>
      </w:r>
      <w:r w:rsidR="00FA55F7">
        <w:t xml:space="preserve"> </w:t>
      </w:r>
      <w:r w:rsidR="00FA55F7">
        <w:fldChar w:fldCharType="begin"/>
      </w:r>
      <w:r w:rsidR="00FA55F7">
        <w:instrText xml:space="preserve"> ADDIN ZOTERO_ITEM CSL_CITATION {"citationID":"UGG7dSgG","properties":{"formattedCitation":"(Schmid &amp; Berger, 2021)","plainCitation":"(Schmid &amp; Berger, 2021)","noteIndex":0},"citationItems":[{"id":1041,"uris":["http://zotero.org/users/local/ZlhuMgGE/items/JYJ6Z22B"],"itemData":{"id":1041,"type":"article-journal","abstract":"Abstract\n            This article presents an overview of statistical methods for the analysis of discrete failure times with competing events. We describe the most commonly used modeling approaches for this type of data, including discrete versions of the cause</w:instrText>
      </w:r>
      <w:r w:rsidR="00FA55F7">
        <w:rPr>
          <w:rFonts w:ascii="Cambria Math" w:hAnsi="Cambria Math" w:cs="Cambria Math"/>
        </w:rPr>
        <w:instrText>‐</w:instrText>
      </w:r>
      <w:r w:rsidR="00FA55F7">
        <w:instrText>specific hazards model and the subdistribution hazard model. In addition to discussing the characteristics of these methods, we present approaches to nonparametric estimation and model validation. Our literature review suggests that discrete competing</w:instrText>
      </w:r>
      <w:r w:rsidR="00FA55F7">
        <w:rPr>
          <w:rFonts w:ascii="Cambria Math" w:hAnsi="Cambria Math" w:cs="Cambria Math"/>
        </w:rPr>
        <w:instrText>‐</w:instrText>
      </w:r>
      <w:r w:rsidR="00FA55F7">
        <w:instrText>risks analysis has gained substantial interest in the research community and is used regularly in econometrics, biostatistics, and educational research.\n            \n              This article is categorized under:\n              \n                \n                  Statistical Models &gt; Survival Models\n                \n                \n                  Statistical Models &gt; Semiparametric Models\n                \n                \n                  Statistical Models &gt; Generalized Linear Models","container-title":"WIREs Computational Statistics","DOI":"10.1002/wics.1529","ISSN":"1939-5108, 1939-0068","issue":"5","journalAbbreviation":"WIREs Computational Stats","language":"en","page":"e1529","source":"DOI.org (Crossref)","title":"Competing risks analysis for discrete time</w:instrText>
      </w:r>
      <w:r w:rsidR="00FA55F7">
        <w:rPr>
          <w:rFonts w:ascii="Cambria Math" w:hAnsi="Cambria Math" w:cs="Cambria Math"/>
        </w:rPr>
        <w:instrText>‐</w:instrText>
      </w:r>
      <w:r w:rsidR="00FA55F7">
        <w:instrText>to</w:instrText>
      </w:r>
      <w:r w:rsidR="00FA55F7">
        <w:rPr>
          <w:rFonts w:ascii="Cambria Math" w:hAnsi="Cambria Math" w:cs="Cambria Math"/>
        </w:rPr>
        <w:instrText>‐</w:instrText>
      </w:r>
      <w:r w:rsidR="00FA55F7">
        <w:instrText xml:space="preserve">event data","volume":"13","author":[{"family":"Schmid","given":"Matthias"},{"family":"Berger","given":"Moritz"}],"issued":{"date-parts":[["2021",9]]}}}],"schema":"https://github.com/citation-style-language/schema/raw/master/csl-citation.json"} </w:instrText>
      </w:r>
      <w:r w:rsidR="00FA55F7">
        <w:fldChar w:fldCharType="separate"/>
      </w:r>
      <w:r w:rsidR="00FA55F7" w:rsidRPr="00FA55F7">
        <w:rPr>
          <w:rFonts w:ascii="Aptos" w:hAnsi="Aptos"/>
        </w:rPr>
        <w:t>(Schmid &amp; Berger, 2021)</w:t>
      </w:r>
      <w:r w:rsidR="00FA55F7">
        <w:fldChar w:fldCharType="end"/>
      </w:r>
      <w:r>
        <w:t>: Applied when individuals are exposed to multiple potential events, enabling the analysis of cause-specific outcomes.</w:t>
      </w:r>
    </w:p>
    <w:p w14:paraId="7BCD0248" w14:textId="2CC9C722" w:rsidR="00D303A5" w:rsidRPr="00D303A5" w:rsidRDefault="00AE23A4" w:rsidP="00FA55F7">
      <w:r>
        <w:t>These methods enable researchers to capture the dynamic and multifactorial nature of educational trajectories, offering nuanced insights into factors that influence student persistence and attrition over time.</w:t>
      </w:r>
    </w:p>
    <w:p w14:paraId="3A10A26D" w14:textId="5A904282" w:rsidR="000D2592" w:rsidRDefault="000D2592" w:rsidP="003B00A0">
      <w:pPr>
        <w:pStyle w:val="Heading3"/>
      </w:pPr>
      <w:r>
        <w:t>Existing literature</w:t>
      </w:r>
    </w:p>
    <w:p w14:paraId="776591CC" w14:textId="68BAEEDF" w:rsidR="0003677C" w:rsidRDefault="0003677C" w:rsidP="0003677C">
      <w:r>
        <w:t>Despite the long-standing application of survival analysis in fields like medicine and engineering, its systematic use in educational research remains relatively limited</w:t>
      </w:r>
      <w:r w:rsidR="00E813FE">
        <w:t xml:space="preserve">. </w:t>
      </w:r>
      <w:r>
        <w:t xml:space="preserve">One of the most influential and methodologically rigorous contributions is the systematic literature review by </w:t>
      </w:r>
      <w:r w:rsidR="00E813FE">
        <w:fldChar w:fldCharType="begin"/>
      </w:r>
      <w:r w:rsidR="00E813FE">
        <w:instrText xml:space="preserve"> ADDIN ZOTERO_ITEM CSL_CITATION {"citationID":"IxtwGN9M","properties":{"formattedCitation":"(Willett &amp; Singer, 1991)","plainCitation":"(Willett &amp; Singer, 1991)","noteIndex":0},"citationItems":[{"id":1038,"uris":["http://zotero.org/users/local/ZlhuMgGE/items/GYB7GGMN"],"itemData":{"id":1038,"type":"article-journal","abstract":"Educational researchers studying student dropout and teacher attrition typically ask whether specific events occur by particular points in time. In this article, we argue that a more powerful and informative way of framing such questions is to ask when the transitions occur. We believe that researchers avoid asking questions about time-to-event (“When?”) because of methodological difficulties introduced when members of the sample do not experience the target events during the data collection period. These people—the students who do not graduate or drop out, the teachers who do not quit—possess censored event times. Until recently, statistical techniques available for analyzing censored data were in their infancy. In this article, we show how the methods of survival analysis (also known as event history analysis) lend themselves naturally to the study of the timing of educational events. Drawing examples from the literature on teacher attrition and student dropout and graduation, we introduce a panoply of survival methods useful for describing the timing of educational transitions and for building statistical models of the risk of event occurrence over time. We hope that this nontechnical introduction to survival methods will help educational researchers articulate and explore important substantive questions that they have raised but have yet to answer.","container-title":"Review of Educational Research","DOI":"10.3102/00346543061004407","ISSN":"0034-6543, 1935-1046","issue":"4","journalAbbreviation":"Review of Educational Research","language":"en","license":"https://journals.sagepub.com/page/policies/text-and-data-mining-license","page":"407-450","source":"DOI.org (Crossref)","title":"From Whether to When: New Methods for Studying Student Dropout and Teacher Attrition","title-short":"From Whether to When","volume":"61","author":[{"family":"Willett","given":"John B."},{"family":"Singer","given":"Judith D."}],"issued":{"date-parts":[["1991",12]]}}}],"schema":"https://github.com/citation-style-language/schema/raw/master/csl-citation.json"} </w:instrText>
      </w:r>
      <w:r w:rsidR="00E813FE">
        <w:fldChar w:fldCharType="separate"/>
      </w:r>
      <w:r w:rsidR="00E813FE" w:rsidRPr="00E813FE">
        <w:rPr>
          <w:rFonts w:ascii="Aptos" w:hAnsi="Aptos"/>
        </w:rPr>
        <w:t>(Willett &amp; Singer, 1991)</w:t>
      </w:r>
      <w:r w:rsidR="00E813FE">
        <w:fldChar w:fldCharType="end"/>
      </w:r>
      <w:r w:rsidR="00E813FE">
        <w:t xml:space="preserve"> </w:t>
      </w:r>
      <w:r>
        <w:t xml:space="preserve">titled "From Whether to When: New Methods for Studying Student Dropout and Teacher Attrition." This foundational work introduced educational researchers to the core principles of survival analysis, emphasizing its relevance for </w:t>
      </w:r>
      <w:r w:rsidR="00E813FE">
        <w:t>modelling</w:t>
      </w:r>
      <w:r>
        <w:t xml:space="preserve"> time-to-event educational outcomes. The authors showcased a range of survival methods—such as Kaplan-Meier estimators and discrete-time hazard models—and applied them to teacher attrition and student dropout, arguing for the necessity of </w:t>
      </w:r>
      <w:r w:rsidR="00E813FE">
        <w:t>analysing</w:t>
      </w:r>
      <w:r>
        <w:t xml:space="preserve"> when events occur, not just if they occur. Their review highlighted the challenges of censoring in educational datasets and offered a conceptual and methodological framework that continues to inform survival-based educational studies today</w:t>
      </w:r>
      <w:r>
        <w:rPr>
          <w:rFonts w:ascii="Arial" w:hAnsi="Arial" w:cs="Arial"/>
        </w:rPr>
        <w:t>​</w:t>
      </w:r>
      <w:r>
        <w:t>.</w:t>
      </w:r>
    </w:p>
    <w:p w14:paraId="14D5D266" w14:textId="60D3E81C" w:rsidR="002340BC" w:rsidRDefault="0003677C" w:rsidP="005451AB">
      <w:r>
        <w:t xml:space="preserve">However, as survival analysis techniques have advanced—particularly through the integration of machine learning, expanded covariate </w:t>
      </w:r>
      <w:r w:rsidR="00E813FE">
        <w:t>modelling</w:t>
      </w:r>
      <w:r>
        <w:t>, and broader educational contexts—there is a need to revisit this body of literature through the lens of newer empirical contribution</w:t>
      </w:r>
      <w:r w:rsidR="00095703">
        <w:t xml:space="preserve">s, </w:t>
      </w:r>
      <w:r w:rsidR="00095703" w:rsidRPr="00095703">
        <w:t>even if they are not categorized as review articles</w:t>
      </w:r>
      <w:r>
        <w:t>.</w:t>
      </w:r>
      <w:r w:rsidR="00C539A6">
        <w:t xml:space="preserve"> </w:t>
      </w:r>
      <w:r w:rsidR="005451AB" w:rsidRPr="005451AB">
        <w:t>For that, we selected 10 of the most relevant 2025 articles—based on citation impact, methodological clarity, and substantive relevance—from an already filtered pool described in the methods section; the full list can be accessed in the</w:t>
      </w:r>
      <w:r w:rsidR="00A936F3">
        <w:t xml:space="preserve"> </w:t>
      </w:r>
      <w:r w:rsidR="00A936F3">
        <w:rPr>
          <w:highlight w:val="yellow"/>
        </w:rPr>
        <w:fldChar w:fldCharType="begin"/>
      </w:r>
      <w:r w:rsidR="00A936F3">
        <w:instrText xml:space="preserve"> REF _Ref202978672 \h </w:instrText>
      </w:r>
      <w:r w:rsidR="00A936F3">
        <w:rPr>
          <w:highlight w:val="yellow"/>
        </w:rPr>
      </w:r>
      <w:r w:rsidR="00A936F3">
        <w:rPr>
          <w:highlight w:val="yellow"/>
        </w:rPr>
        <w:fldChar w:fldCharType="separate"/>
      </w:r>
      <w:r w:rsidR="00A936F3">
        <w:t>Appendix A: Most relevant 2025 studies found.</w:t>
      </w:r>
      <w:r w:rsidR="00A936F3">
        <w:rPr>
          <w:highlight w:val="yellow"/>
        </w:rPr>
        <w:fldChar w:fldCharType="end"/>
      </w:r>
      <w:r w:rsidR="005451AB">
        <w:t xml:space="preserve"> </w:t>
      </w:r>
      <w:r w:rsidR="00C539A6" w:rsidRPr="00C539A6">
        <w:t xml:space="preserve">Recent applications of survival analysis in educational research demonstrate its utility across policy, equity, and workforce studies, though </w:t>
      </w:r>
      <w:r w:rsidR="00C539A6" w:rsidRPr="00C539A6">
        <w:lastRenderedPageBreak/>
        <w:t>methodological and contextual gaps persist. For instance,</w:t>
      </w:r>
      <w:r w:rsidR="008A3BA7">
        <w:t xml:space="preserve"> </w:t>
      </w:r>
      <w:r w:rsidR="008A3BA7">
        <w:fldChar w:fldCharType="begin"/>
      </w:r>
      <w:r w:rsidR="00D275D2">
        <w:instrText xml:space="preserve"> ADDIN ZOTERO_ITEM CSL_CITATION {"citationID":"rx0O5jkM","properties":{"formattedCitation":"(Li &amp; Hu, 2025)","plainCitation":"(Li &amp; Hu, 2025)","dontUpdate":true,"noteIndex":0},"citationItems":[{"id":1065,"uris":["http://zotero.org/users/local/ZlhuMgGE/items/LJQLQXFN"],"itemData":{"id":1065,"type":"article-journal","container-title":"Research in Higher Education","DOI":"10.1007/s11162-024-09828-0","ISSN":"0361-0365, 1573-188X","issue":"1","journalAbbreviation":"Res High Educ","language":"en","page":"8","source":"DOI.org (Crossref)","title":"Goodbye Performance-Based Funding: Policy Abandonment of Performance Funding for Higher Education in the United States","title-short":"Goodbye Performance-Based Funding","volume":"66","author":[{"family":"Li","given":"Amy Y."},{"family":"Hu","given":"Xiaodan"}],"issued":{"date-parts":[["2025",2]]}}}],"schema":"https://github.com/citation-style-language/schema/raw/master/csl-citation.json"} </w:instrText>
      </w:r>
      <w:r w:rsidR="008A3BA7">
        <w:fldChar w:fldCharType="separate"/>
      </w:r>
      <w:r w:rsidR="008A3BA7" w:rsidRPr="008A3BA7">
        <w:rPr>
          <w:rFonts w:ascii="Aptos" w:hAnsi="Aptos"/>
        </w:rPr>
        <w:t xml:space="preserve">Li &amp; Hu </w:t>
      </w:r>
      <w:r w:rsidR="008A3BA7">
        <w:rPr>
          <w:rFonts w:ascii="Aptos" w:hAnsi="Aptos"/>
        </w:rPr>
        <w:t>(</w:t>
      </w:r>
      <w:r w:rsidR="008A3BA7" w:rsidRPr="008A3BA7">
        <w:rPr>
          <w:rFonts w:ascii="Aptos" w:hAnsi="Aptos"/>
        </w:rPr>
        <w:t>2025)</w:t>
      </w:r>
      <w:r w:rsidR="008A3BA7">
        <w:fldChar w:fldCharType="end"/>
      </w:r>
      <w:r w:rsidR="00C539A6" w:rsidRPr="00C539A6">
        <w:t xml:space="preserve"> employed dyadic survival analysis to model performance-based funding discontinuation in U.S. higher education, revealing political imitation as a key driver, while</w:t>
      </w:r>
      <w:r w:rsidR="00B2465C">
        <w:t xml:space="preserve"> </w:t>
      </w:r>
      <w:r w:rsidR="00A3534E">
        <w:fldChar w:fldCharType="begin"/>
      </w:r>
      <w:r w:rsidR="00D275D2">
        <w:instrText xml:space="preserve"> ADDIN ZOTERO_ITEM CSL_CITATION {"citationID":"DtHuOudk","properties":{"formattedCitation":"(Harris-Walls &amp; Curran, 2025)","plainCitation":"(Harris-Walls &amp; Curran, 2025)","dontUpdate":true,"noteIndex":0},"citationItems":[{"id":1066,"uris":["http://zotero.org/users/local/ZlhuMgGE/items/NSLY46XR"],"itemData":{"id":1066,"type":"article-journal","abstract":"Standards-based reform has grown in the field of education. Efforts to do so in mathematics and reading through the Common Core State Standards, while initially adopted widely, ultimately proved controversial. In contrast, the Next Generation Science Standards (NGSS) have been less polarizing. Using an event history analysis, we examined the state political, economic, and social factors that predicted adoption of the NGSS as well as how factors differentially related to full-scale adoption or adoption of standards based on the NGSS. Results show, while few factors predicted adoption broadly, the presence of a larger proportion of Republicans in the legislature predicted a higher likelihood of adopting standards based on the NGSS than fully adopting them.","container-title":"Educational Policy","DOI":"10.1177/08959048251339120","ISSN":"0895-9048, 1552-3896","journalAbbreviation":"Educational Policy","language":"en","page":"08959048251339120","source":"DOI.org (Crossref)","title":"An Event History Analysis of the Policy Adoption of the Next Generation Science Standards","author":[{"family":"Harris-Walls","given":"Katharine"},{"family":"Curran","given":"F. Chris"}],"issued":{"date-parts":[["2025",5,28]]}}}],"schema":"https://github.com/citation-style-language/schema/raw/master/csl-citation.json"} </w:instrText>
      </w:r>
      <w:r w:rsidR="00A3534E">
        <w:fldChar w:fldCharType="separate"/>
      </w:r>
      <w:r w:rsidR="00A3534E" w:rsidRPr="00A3534E">
        <w:rPr>
          <w:rFonts w:ascii="Aptos" w:hAnsi="Aptos"/>
        </w:rPr>
        <w:t xml:space="preserve">Harris-Walls &amp; Curran </w:t>
      </w:r>
      <w:r w:rsidR="00A3534E">
        <w:rPr>
          <w:rFonts w:ascii="Aptos" w:hAnsi="Aptos"/>
        </w:rPr>
        <w:t>(</w:t>
      </w:r>
      <w:r w:rsidR="00A3534E" w:rsidRPr="00A3534E">
        <w:rPr>
          <w:rFonts w:ascii="Aptos" w:hAnsi="Aptos"/>
        </w:rPr>
        <w:t>2025)</w:t>
      </w:r>
      <w:r w:rsidR="00A3534E">
        <w:fldChar w:fldCharType="end"/>
      </w:r>
      <w:r w:rsidR="00C539A6" w:rsidRPr="00C539A6">
        <w:t xml:space="preserve"> used event history analysis to show partisan divides in K-12 science standards adoption</w:t>
      </w:r>
      <w:r w:rsidR="00A3534E">
        <w:t xml:space="preserve">. </w:t>
      </w:r>
      <w:r w:rsidR="00C539A6" w:rsidRPr="00C539A6">
        <w:t>Studies like</w:t>
      </w:r>
      <w:r w:rsidR="00BC5A3D">
        <w:t xml:space="preserve"> </w:t>
      </w:r>
      <w:r w:rsidR="00BC5A3D">
        <w:fldChar w:fldCharType="begin"/>
      </w:r>
      <w:r w:rsidR="00D275D2">
        <w:instrText xml:space="preserve"> ADDIN ZOTERO_ITEM CSL_CITATION {"citationID":"xtr6XHvY","properties":{"formattedCitation":"(Shiferaw et al., 2025)","plainCitation":"(Shiferaw et al., 2025)","dontUpdate":true,"noteIndex":0},"citationItems":[{"id":1070,"uris":["http://zotero.org/users/local/ZlhuMgGE/items/PJWVIA5S"],"itemData":{"id":1070,"type":"article-journal","abstract":"Teacher shortages, especially in high-need subjects and schools, are a long-standing issue in many districts, and teacher turnover is a key driver. In this article, we examine the association between Urban Advantage (UA), a professional development-focused science initiative, and middle school science teacher retention in the nation’s largest school district, New York City (NYC). We use detailed teacher-level administrative personnel data on 19 cohorts of teachers from NYC and UA program participation data and estimate likelihood of turnover using a discrete-time hazard model. UA teachers are roughly 3.8</w:instrText>
      </w:r>
      <w:r w:rsidR="00D275D2">
        <w:rPr>
          <w:rFonts w:ascii="Arial" w:hAnsi="Arial" w:cs="Arial"/>
        </w:rPr>
        <w:instrText> </w:instrText>
      </w:r>
      <w:r w:rsidR="00D275D2">
        <w:instrText xml:space="preserve">percentage points less likely than similarly situated non-UA teachers to leave their school the following year. This study contributes to the limited evidence on how professional development-focused programs can promote teacher retention in hard-to-staff subjects and schools.","container-title":"Education and Urban Society","DOI":"10.1177/00131245251315180","ISSN":"0013-1245, 1552-3535","issue":"5","journalAbbreviation":"Education and Urban Society","language":"en","page":"462-486","source":"DOI.org (Crossref)","title":"Staying Put: Positive Spillovers on Teacher Retention From a Middle School Science Initiative","title-short":"Staying Put","volume":"57","author":[{"family":"Shiferaw","given":"Menbere"},{"family":"O’Hagan","given":"Kaitlyn G."},{"family":"Weinstein","given":"Meryle"}],"issued":{"date-parts":[["2025",6]]}}}],"schema":"https://github.com/citation-style-language/schema/raw/master/csl-citation.json"} </w:instrText>
      </w:r>
      <w:r w:rsidR="00BC5A3D">
        <w:fldChar w:fldCharType="separate"/>
      </w:r>
      <w:r w:rsidR="00BC5A3D" w:rsidRPr="00BC5A3D">
        <w:rPr>
          <w:rFonts w:ascii="Aptos" w:hAnsi="Aptos"/>
        </w:rPr>
        <w:t xml:space="preserve">Shiferaw et al. </w:t>
      </w:r>
      <w:r w:rsidR="00BC5A3D">
        <w:rPr>
          <w:rFonts w:ascii="Aptos" w:hAnsi="Aptos"/>
        </w:rPr>
        <w:t>(</w:t>
      </w:r>
      <w:r w:rsidR="00BC5A3D" w:rsidRPr="00BC5A3D">
        <w:rPr>
          <w:rFonts w:ascii="Aptos" w:hAnsi="Aptos"/>
        </w:rPr>
        <w:t>2025)</w:t>
      </w:r>
      <w:r w:rsidR="00BC5A3D">
        <w:fldChar w:fldCharType="end"/>
      </w:r>
      <w:r w:rsidR="00C539A6" w:rsidRPr="00C539A6">
        <w:t xml:space="preserve"> and </w:t>
      </w:r>
      <w:r w:rsidR="00BC5A3D">
        <w:fldChar w:fldCharType="begin"/>
      </w:r>
      <w:r w:rsidR="00D275D2">
        <w:instrText xml:space="preserve"> ADDIN ZOTERO_ITEM CSL_CITATION {"citationID":"mvKiXu3n","properties":{"formattedCitation":"(Kwon et al., 2025)","plainCitation":"(Kwon et al., 2025)","dontUpdate":true,"noteIndex":0},"citationItems":[{"id":1073,"uris":["http://zotero.org/users/local/ZlhuMgGE/items/RQM46RHE"],"itemData":{"id":1073,"type":"article-journal","container-title":"Teaching and Teacher Education","DOI":"10.1016/j.tate.2024.104916","ISSN":"0742051X","journalAbbreviation":"Teaching and Teacher Education","language":"en","page":"104916","source":"DOI.org (Crossref)","title":"A longitudinal study of Head Start teacher turnover trends and factors","volume":"156","author":[{"family":"Kwon","given":"Kyong-Ah"},{"family":"Jang","given":"Wonkyung"},{"family":"Ford","given":"Timothy G."},{"family":"Horm","given":"Diane"},{"family":"Yazejian","given":"Noreen"},{"family":"Bryant","given":"Donna"}],"issued":{"date-parts":[["2025",4]]}}}],"schema":"https://github.com/citation-style-language/schema/raw/master/csl-citation.json"} </w:instrText>
      </w:r>
      <w:r w:rsidR="00BC5A3D">
        <w:fldChar w:fldCharType="separate"/>
      </w:r>
      <w:r w:rsidR="00BC5A3D" w:rsidRPr="00BC5A3D">
        <w:rPr>
          <w:rFonts w:ascii="Aptos" w:hAnsi="Aptos"/>
        </w:rPr>
        <w:t xml:space="preserve">Kwon et al. </w:t>
      </w:r>
      <w:r w:rsidR="00BC5A3D">
        <w:rPr>
          <w:rFonts w:ascii="Aptos" w:hAnsi="Aptos"/>
        </w:rPr>
        <w:t>(</w:t>
      </w:r>
      <w:r w:rsidR="00BC5A3D" w:rsidRPr="00BC5A3D">
        <w:rPr>
          <w:rFonts w:ascii="Aptos" w:hAnsi="Aptos"/>
        </w:rPr>
        <w:t>2025)</w:t>
      </w:r>
      <w:r w:rsidR="00BC5A3D">
        <w:fldChar w:fldCharType="end"/>
      </w:r>
      <w:r w:rsidR="00C539A6" w:rsidRPr="00C539A6">
        <w:t xml:space="preserve"> advanced attrition research—applying discrete-time hazard and multilevel survival models to link professional development programs to teacher retention </w:t>
      </w:r>
      <w:r w:rsidR="00BC5A3D">
        <w:fldChar w:fldCharType="begin"/>
      </w:r>
      <w:r w:rsidR="00BC5A3D">
        <w:instrText xml:space="preserve"> ADDIN ZOTERO_ITEM CSL_CITATION {"citationID":"QenXwWpn","properties":{"formattedCitation":"(Shiferaw et al., 2025)","plainCitation":"(Shiferaw et al., 2025)","noteIndex":0},"citationItems":[{"id":1070,"uris":["http://zotero.org/users/local/ZlhuMgGE/items/PJWVIA5S"],"itemData":{"id":1070,"type":"article-journal","abstract":"Teacher shortages, especially in high-need subjects and schools, are a long-standing issue in many districts, and teacher turnover is a key driver. In this article, we examine the association between Urban Advantage (UA), a professional development-focused science initiative, and middle school science teacher retention in the nation’s largest school district, New York City (NYC). We use detailed teacher-level administrative personnel data on 19 cohorts of teachers from NYC and UA program participation data and estimate likelihood of turnover using a discrete-time hazard model. UA teachers are roughly 3.8</w:instrText>
      </w:r>
      <w:r w:rsidR="00BC5A3D">
        <w:rPr>
          <w:rFonts w:ascii="Arial" w:hAnsi="Arial" w:cs="Arial"/>
        </w:rPr>
        <w:instrText> </w:instrText>
      </w:r>
      <w:r w:rsidR="00BC5A3D">
        <w:instrText xml:space="preserve">percentage points less likely than similarly situated non-UA teachers to leave their school the following year. This study contributes to the limited evidence on how professional development-focused programs can promote teacher retention in hard-to-staff subjects and schools.","container-title":"Education and Urban Society","DOI":"10.1177/00131245251315180","ISSN":"0013-1245, 1552-3535","issue":"5","journalAbbreviation":"Education and Urban Society","language":"en","page":"462-486","source":"DOI.org (Crossref)","title":"Staying Put: Positive Spillovers on Teacher Retention From a Middle School Science Initiative","title-short":"Staying Put","volume":"57","author":[{"family":"Shiferaw","given":"Menbere"},{"family":"O’Hagan","given":"Kaitlyn G."},{"family":"Weinstein","given":"Meryle"}],"issued":{"date-parts":[["2025",6]]}}}],"schema":"https://github.com/citation-style-language/schema/raw/master/csl-citation.json"} </w:instrText>
      </w:r>
      <w:r w:rsidR="00BC5A3D">
        <w:fldChar w:fldCharType="separate"/>
      </w:r>
      <w:r w:rsidR="00BC5A3D" w:rsidRPr="00BC5A3D">
        <w:rPr>
          <w:rFonts w:ascii="Aptos" w:hAnsi="Aptos"/>
        </w:rPr>
        <w:t>(Shiferaw et al., 2025)</w:t>
      </w:r>
      <w:r w:rsidR="00BC5A3D">
        <w:fldChar w:fldCharType="end"/>
      </w:r>
      <w:r w:rsidR="00C539A6" w:rsidRPr="00C539A6">
        <w:t xml:space="preserve"> and classroom factors to Head Start turnover </w:t>
      </w:r>
      <w:r w:rsidR="00BC5A3D">
        <w:fldChar w:fldCharType="begin"/>
      </w:r>
      <w:r w:rsidR="00BC5A3D">
        <w:instrText xml:space="preserve"> ADDIN ZOTERO_ITEM CSL_CITATION {"citationID":"8VZCMRnM","properties":{"formattedCitation":"(Kwon et al., 2025)","plainCitation":"(Kwon et al., 2025)","noteIndex":0},"citationItems":[{"id":1073,"uris":["http://zotero.org/users/local/ZlhuMgGE/items/RQM46RHE"],"itemData":{"id":1073,"type":"article-journal","container-title":"Teaching and Teacher Education","DOI":"10.1016/j.tate.2024.104916","ISSN":"0742051X","journalAbbreviation":"Teaching and Teacher Education","language":"en","page":"104916","source":"DOI.org (Crossref)","title":"A longitudinal study of Head Start teacher turnover trends and factors","volume":"156","author":[{"family":"Kwon","given":"Kyong-Ah"},{"family":"Jang","given":"Wonkyung"},{"family":"Ford","given":"Timothy G."},{"family":"Horm","given":"Diane"},{"family":"Yazejian","given":"Noreen"},{"family":"Bryant","given":"Donna"}],"issued":{"date-parts":[["2025",4]]}}}],"schema":"https://github.com/citation-style-language/schema/raw/master/csl-citation.json"} </w:instrText>
      </w:r>
      <w:r w:rsidR="00BC5A3D">
        <w:fldChar w:fldCharType="separate"/>
      </w:r>
      <w:r w:rsidR="00BC5A3D" w:rsidRPr="00BC5A3D">
        <w:rPr>
          <w:rFonts w:ascii="Aptos" w:hAnsi="Aptos"/>
        </w:rPr>
        <w:t>(Kwon et al., 2025)</w:t>
      </w:r>
      <w:r w:rsidR="00BC5A3D">
        <w:fldChar w:fldCharType="end"/>
      </w:r>
      <w:r w:rsidR="00C539A6" w:rsidRPr="00C539A6">
        <w:t xml:space="preserve">. </w:t>
      </w:r>
      <w:r w:rsidR="00A71731">
        <w:fldChar w:fldCharType="begin"/>
      </w:r>
      <w:r w:rsidR="00D275D2">
        <w:instrText xml:space="preserve"> ADDIN ZOTERO_ITEM CSL_CITATION {"citationID":"4zeQOZXg","properties":{"formattedCitation":"(Corradi et al., 2025)","plainCitation":"(Corradi et al., 2025)","dontUpdate":true,"noteIndex":0},"citationItems":[{"id":1072,"uris":["http://zotero.org/users/local/ZlhuMgGE/items/IE7ZYA5Z"],"itemData":{"id":1072,"type":"article-journal","container-title":"Higher Education Policy","DOI":"10.1057/s41307-024-00393-w","ISSN":"0952-8733, 1740-3863","journalAbbreviation":"High Educ Policy","language":"en","source":"DOI.org (Crossref)","title":"Is Admission Enough? University Persistence of Students Admitted Through Affirmative Action Policies in Chile","title-short":"Is Admission Enough?","URL":"https://link.springer.com/10.1057/s41307-024-00393-w","author":[{"family":"Corradi","given":"B."},{"family":"Espinosa","given":"D."},{"family":"Rodríguez","given":"C."},{"family":"Espinoza","given":"O."}],"accessed":{"date-parts":[["2025",6,20]]},"issued":{"date-parts":[["2025",1,13]]}}}],"schema":"https://github.com/citation-style-language/schema/raw/master/csl-citation.json"} </w:instrText>
      </w:r>
      <w:r w:rsidR="00A71731">
        <w:fldChar w:fldCharType="separate"/>
      </w:r>
      <w:r w:rsidR="00A71731" w:rsidRPr="00A71731">
        <w:rPr>
          <w:rFonts w:ascii="Aptos" w:hAnsi="Aptos"/>
        </w:rPr>
        <w:t xml:space="preserve">Corradi et al. </w:t>
      </w:r>
      <w:r w:rsidR="00A71731">
        <w:rPr>
          <w:rFonts w:ascii="Aptos" w:hAnsi="Aptos"/>
        </w:rPr>
        <w:t>(</w:t>
      </w:r>
      <w:r w:rsidR="00A71731" w:rsidRPr="00A71731">
        <w:rPr>
          <w:rFonts w:ascii="Aptos" w:hAnsi="Aptos"/>
        </w:rPr>
        <w:t>2025)</w:t>
      </w:r>
      <w:r w:rsidR="00A71731">
        <w:fldChar w:fldCharType="end"/>
      </w:r>
      <w:r w:rsidR="00C539A6" w:rsidRPr="00C539A6">
        <w:t xml:space="preserve"> highlighted equity concerns, finding affirmative action-admitted students in Chile faced higher dropout risks independent of academic performance. While these works reaffirm survival analysis’s value for timing-sensitive questions, they predominantly use conventional methods (e.g., Cox models) and focus on Western contexts, underscoring needs for advanced techniques (e.g., competing risks) and broader geographic representation.</w:t>
      </w:r>
      <w:r w:rsidR="00A71731">
        <w:t xml:space="preserve"> </w:t>
      </w:r>
      <w:r w:rsidR="005451AB" w:rsidRPr="005451AB">
        <w:t>Accuracy and validation are rarely discussed in these studies; while Kwon et al. (2025) and Corradi et al. (2025) implicitly validate their models through covariate significance, they lack robustness checks such as comparisons with machine learning methods. Notably, Shiferaw et al. (2025) operationalize core aspects of Willett &amp; Singer’s framework in evaluating educational programs, bridging classic theory with modern application. Still, the absence of more advanced survival techniques—such as competing risks models or time-varying covariates—in these 2025 studies points to continued opportunities for methodological development within the field.</w:t>
      </w:r>
    </w:p>
    <w:p w14:paraId="09521154" w14:textId="77777777" w:rsidR="002E3A85" w:rsidRDefault="002E3A85" w:rsidP="002E3A85">
      <w:pPr>
        <w:pStyle w:val="Heading3"/>
      </w:pPr>
      <w:r>
        <w:t>Research Questions</w:t>
      </w:r>
    </w:p>
    <w:p w14:paraId="4B90BBCE" w14:textId="77777777" w:rsidR="002E3A85" w:rsidRDefault="002E3A85" w:rsidP="002E3A85">
      <w:r>
        <w:t>This study seeks to address the following research questions:</w:t>
      </w:r>
    </w:p>
    <w:p w14:paraId="7997B47B" w14:textId="77777777" w:rsidR="00BD49BC" w:rsidRDefault="00BD49BC" w:rsidP="00BD49BC">
      <w:pPr>
        <w:pStyle w:val="ListParagraph"/>
        <w:numPr>
          <w:ilvl w:val="0"/>
          <w:numId w:val="1"/>
        </w:numPr>
      </w:pPr>
      <w:r>
        <w:t>What are the key bibliometric trends in the literature on survival analysis in education, including publication output, influential authors and institutions, and prevailing research themes as identified?</w:t>
      </w:r>
    </w:p>
    <w:p w14:paraId="446C68E1" w14:textId="04EAFB65" w:rsidR="00BD49BC" w:rsidRDefault="00BD49BC" w:rsidP="00BD49BC">
      <w:pPr>
        <w:pStyle w:val="ListParagraph"/>
        <w:numPr>
          <w:ilvl w:val="0"/>
          <w:numId w:val="1"/>
        </w:numPr>
      </w:pPr>
      <w:r>
        <w:t>What is the geographical distribution of research on survival analysis in education, and what patterns of international collaboration are evident within the field?</w:t>
      </w:r>
    </w:p>
    <w:p w14:paraId="2E35050D" w14:textId="1D439308" w:rsidR="002E3A85" w:rsidRDefault="002E3A85" w:rsidP="002E3A85">
      <w:pPr>
        <w:pStyle w:val="ListParagraph"/>
        <w:numPr>
          <w:ilvl w:val="0"/>
          <w:numId w:val="1"/>
        </w:numPr>
      </w:pPr>
      <w:r>
        <w:t>What are the predominant survival analysis methods used in education research?</w:t>
      </w:r>
    </w:p>
    <w:p w14:paraId="73C2EFC7" w14:textId="347E3B9D" w:rsidR="002E3A85" w:rsidRDefault="00E90677" w:rsidP="002E3A85">
      <w:pPr>
        <w:pStyle w:val="ListParagraph"/>
        <w:numPr>
          <w:ilvl w:val="0"/>
          <w:numId w:val="1"/>
        </w:numPr>
      </w:pPr>
      <w:r>
        <w:t xml:space="preserve">With what success </w:t>
      </w:r>
      <w:r w:rsidRPr="00E90677">
        <w:t>has survival analysis been applied to model student retention and dropout rates across various educational contexts and levels?</w:t>
      </w:r>
      <w:r w:rsidR="007379F2">
        <w:t xml:space="preserve"> </w:t>
      </w:r>
      <w:r w:rsidR="002E3A85">
        <w:t>What are the key trends and contributions in the literature, as identified through bibliometric analysis?</w:t>
      </w:r>
    </w:p>
    <w:p w14:paraId="237EEAA8" w14:textId="4B7167FF" w:rsidR="000D2592" w:rsidRDefault="000D2592" w:rsidP="003B00A0">
      <w:pPr>
        <w:pStyle w:val="Heading2"/>
      </w:pPr>
      <w:r>
        <w:lastRenderedPageBreak/>
        <w:t>Methods</w:t>
      </w:r>
    </w:p>
    <w:p w14:paraId="5D0D00EA" w14:textId="1BDD256A" w:rsidR="000D2592" w:rsidRDefault="000D2592" w:rsidP="003B00A0">
      <w:pPr>
        <w:pStyle w:val="Heading3"/>
      </w:pPr>
      <w:r>
        <w:t>Literature search</w:t>
      </w:r>
    </w:p>
    <w:p w14:paraId="69EEC2E2" w14:textId="4D4A8C2A" w:rsidR="00BD1634" w:rsidRPr="00DE3F1F" w:rsidRDefault="00BD1634" w:rsidP="00BD1634">
      <w:r>
        <w:t>T</w:t>
      </w:r>
      <w:r w:rsidRPr="00BD1634">
        <w:t xml:space="preserve">o assess the state of research on survival analysis in education, a systematic search was conducted using the Web of Science (WoS) database. The </w:t>
      </w:r>
      <w:r w:rsidR="008C4EAE">
        <w:t>final</w:t>
      </w:r>
      <w:r w:rsidRPr="00BD1634">
        <w:t xml:space="preserve"> search was </w:t>
      </w:r>
      <w:r w:rsidRPr="00DE3F1F">
        <w:t>performed in April 2025 using the following query:</w:t>
      </w:r>
    </w:p>
    <w:p w14:paraId="1B70CBCD" w14:textId="08B85DE8" w:rsidR="00BD1634" w:rsidRPr="00DE3F1F" w:rsidRDefault="00BD1634" w:rsidP="00BD1634">
      <w:r w:rsidRPr="00DE3F1F">
        <w:t>("survival analysis" OR "event history analysis" OR "hazard model" OR "time-to-event analysis" OR "Kaplan-Meier" OR "Cox regression" OR "discrete-time survival" OR "competing risks")</w:t>
      </w:r>
      <w:r w:rsidR="009C6CEB" w:rsidRPr="00DE3F1F">
        <w:t xml:space="preserve"> </w:t>
      </w:r>
      <w:r w:rsidRPr="00DE3F1F">
        <w:t>AND</w:t>
      </w:r>
      <w:r w:rsidR="009C6CEB" w:rsidRPr="00DE3F1F">
        <w:t xml:space="preserve"> </w:t>
      </w:r>
      <w:r w:rsidRPr="00DE3F1F">
        <w:t>("education" OR "educational attainment" OR "student retention" OR "dropout" OR "graduation" OR "academic success"</w:t>
      </w:r>
      <w:r w:rsidR="009C6CEB" w:rsidRPr="00DE3F1F">
        <w:t xml:space="preserve"> OR </w:t>
      </w:r>
      <w:r w:rsidRPr="00DE3F1F">
        <w:t>"school completion" OR "college completion" OR "student success")</w:t>
      </w:r>
      <w:r w:rsidR="0084069B" w:rsidRPr="00DE3F1F">
        <w:t>.</w:t>
      </w:r>
    </w:p>
    <w:p w14:paraId="417A3CE5" w14:textId="2FDBF76E" w:rsidR="00BD1634" w:rsidRPr="009D61D9" w:rsidRDefault="008C4EAE" w:rsidP="009D61D9">
      <w:r w:rsidRPr="008C4EAE">
        <w:t>The results were refined by limiting the research area to</w:t>
      </w:r>
      <w:r w:rsidR="00DE3F1F">
        <w:t xml:space="preserve"> “Education</w:t>
      </w:r>
      <w:r>
        <w:t>”</w:t>
      </w:r>
      <w:r w:rsidR="00DE3F1F">
        <w:t xml:space="preserve"> and </w:t>
      </w:r>
      <w:r>
        <w:t>“</w:t>
      </w:r>
      <w:r w:rsidR="00DE3F1F">
        <w:t xml:space="preserve">Educational research”, which </w:t>
      </w:r>
      <w:r w:rsidR="00BD1634" w:rsidRPr="009D61D9">
        <w:t xml:space="preserve">yielded </w:t>
      </w:r>
      <w:r w:rsidR="008A71CB" w:rsidRPr="009D61D9">
        <w:t>297</w:t>
      </w:r>
      <w:r w:rsidR="00BD1634" w:rsidRPr="009D61D9">
        <w:t xml:space="preserve"> results</w:t>
      </w:r>
      <w:r w:rsidRPr="009D61D9">
        <w:t>.</w:t>
      </w:r>
    </w:p>
    <w:p w14:paraId="5B153A0A" w14:textId="2FDDDBD7" w:rsidR="009D61D9" w:rsidRPr="009D61D9" w:rsidRDefault="009D61D9" w:rsidP="009D61D9">
      <w:r w:rsidRPr="009D61D9">
        <w:t>Article selection was conducted by a single reviewer. To enhance rigor, the screening protocol was pilot tested on a subset of 30 articles, ensuring consistent application of eligibility rules. While inter-rater reliability was not assessed formally, efforts were made to minimize bias through protocol transparency and documentation.</w:t>
      </w:r>
    </w:p>
    <w:p w14:paraId="0DFFF48E" w14:textId="22D4A086" w:rsidR="00492C39" w:rsidRPr="00DE3F1F" w:rsidRDefault="00492C39" w:rsidP="009D61D9">
      <w:r w:rsidRPr="009D61D9">
        <w:t xml:space="preserve">To ensure the comprehensiveness and robustness of our bibliometric analysis, we extended our search beyond WoS and </w:t>
      </w:r>
      <w:r w:rsidRPr="00DE3F1F">
        <w:t xml:space="preserve">conducted an additional query in the Taylor &amp; Francis database. </w:t>
      </w:r>
      <w:r w:rsidR="008C4EAE" w:rsidRPr="008C4EAE">
        <w:t>The query used a comparable structure, targeting both methodological and educational terms within the subject area "Education":</w:t>
      </w:r>
    </w:p>
    <w:p w14:paraId="012D8885" w14:textId="490AF59B" w:rsidR="00492C39" w:rsidRPr="00DE3F1F" w:rsidRDefault="00492C39" w:rsidP="00492C39">
      <w:r w:rsidRPr="00DE3F1F">
        <w:t>[[All: "survival analysis"] OR [All: "event history analysis"] OR [All: "hazard model"] OR [All: "time-to-event analysis"] OR [All: "kaplan-meier"] OR [All: "cox regression"] OR [All: "discrete-time survival"] OR [All: "competing risks"]] AND [[All: "education"] OR [All: "educational attainment"] OR [All: "student retention"] OR [All: "dropout"] OR [All: "graduation"] OR [All: "academic success"] OR [All: "school completion"] OR [All: "college completion"] OR [All: "student success"]] AND [All Subjects: Education]</w:t>
      </w:r>
    </w:p>
    <w:p w14:paraId="4029FBEE" w14:textId="521EE7B5" w:rsidR="00BD1634" w:rsidRDefault="00492C39" w:rsidP="008C4EAE">
      <w:r w:rsidRPr="00DE3F1F">
        <w:t>This query yielded 367 results, reflecting a slightly broader pool of publications compared to WoS. To assess the overlap and uniqueness of these results, we employed a fuzzy matching algorithm to compare the retrieved articles against the WoS dataset. This technique allows for minor variations (e.g., one-character differences, formatting inconsistencies, or slight modifications in metadata)</w:t>
      </w:r>
      <w:r>
        <w:t xml:space="preserve"> while still identifying potentially identical studies across databases. The results of the fuzzy matching analysis revealed that: 44 articles (12%) were a 100% match between the two databases. 48 additional articles (13%) exhibited a 90% or higher similarity score, indicating potential duplication with slight variations in metadata. The remaining 275 articles (75%) did not meet the matching threshold, suggesting a relatively low overlap between Taylor &amp; Francis and WoS datasets. These findings highlight that while Taylor &amp; Francis includes a number of </w:t>
      </w:r>
      <w:r>
        <w:lastRenderedPageBreak/>
        <w:t>relevant articles, its overlap with WoS is limited, emphasizing the importance of multi-database searches in conducting a comprehensive systematic review. The relatively low alignment percentage also suggests a degree of publication exclusivity between these databases, which may be influenced by indexing policies and journal coverage differences.</w:t>
      </w:r>
    </w:p>
    <w:p w14:paraId="1D27C851" w14:textId="235CF4D9" w:rsidR="000D2592" w:rsidRDefault="000D2592" w:rsidP="00BD1634">
      <w:pPr>
        <w:pStyle w:val="Heading3"/>
      </w:pPr>
      <w:r>
        <w:t>Data analysis</w:t>
      </w:r>
    </w:p>
    <w:p w14:paraId="014823A9" w14:textId="6AADA1AA" w:rsidR="00D94355" w:rsidRPr="00D94355" w:rsidRDefault="00484189" w:rsidP="00D94355">
      <w:r w:rsidRPr="00484189">
        <w:t>The final set of 297 articles was analysed using Python, incorporating custom-built scripts for bibliometric visualization. While existing libraries such as pyBibX offer robust tools for bibliometric and scientometric analysis, we developed a tailored solution to better align with the specific needs of our study. Selected functions from pyBibX were integrated into our pipeline to support core tasks such as citation mapping, co-authorship analysis, and keyword clustering.</w:t>
      </w:r>
    </w:p>
    <w:p w14:paraId="3CEE00A6" w14:textId="60D32F9E" w:rsidR="000D2592" w:rsidRDefault="000D2592" w:rsidP="003B00A0">
      <w:pPr>
        <w:pStyle w:val="Heading2"/>
      </w:pPr>
      <w:r>
        <w:t>Results</w:t>
      </w:r>
    </w:p>
    <w:p w14:paraId="33DCA4F2" w14:textId="3FD8E4EE" w:rsidR="006C79D6" w:rsidRDefault="006C79D6" w:rsidP="006C79D6">
      <w:r>
        <w:t>The final dataset consisted of 297 documents, with no duplicates, covering a timespan from 1991 to 2025. The majority of the records were peer-reviewed journal articles (256), followed by articles in press (15), conference proceedings (22), book chapters (2), and review papers (2). The dataset spanned 50 countries and 302 institutions, with research published in 110 different sources. The dominant language was English (290 documents), with a few studies published in German (2), Spanish (3), Portuguese (1), and Dutch (1).</w:t>
      </w:r>
    </w:p>
    <w:p w14:paraId="3F1610FE" w14:textId="36791F97" w:rsidR="006C79D6" w:rsidRDefault="006C79D6" w:rsidP="006C79D6">
      <w:r>
        <w:t xml:space="preserve">In terms of bibliometric completeness, most entries contained abstracts (98.99%), author affiliations (99.66%), and DOIs (93.60%), while 78.45% included author keywords and 88.55% had Keywords Plus. Collaboration was notable, with 768 authors contributing to 297 documents, leading to an average collaboration index of 2.94. Of these, 62 were </w:t>
      </w:r>
      <w:r w:rsidR="007D18E6">
        <w:t>single authored</w:t>
      </w:r>
      <w:r>
        <w:t xml:space="preserve"> while 235 were multi-authored.</w:t>
      </w:r>
    </w:p>
    <w:p w14:paraId="46BBB5F8" w14:textId="0F0CB650" w:rsidR="006C79D6" w:rsidRDefault="006C79D6" w:rsidP="006C79D6">
      <w:r>
        <w:t>Regarding impact, the dataset accumulated 7,015 total citations, translating to an average of 23.62 citations per document. The highest recorded h-index was 7, indicating a moderate level of influence within the field. Additionally, citation distribution revealed an average of 9.13 citations per author, 23.23 per institution, and 57.3 per source.</w:t>
      </w:r>
    </w:p>
    <w:p w14:paraId="191BB603" w14:textId="2877ED49" w:rsidR="000D3303" w:rsidRDefault="000D3303" w:rsidP="000D3303">
      <w:r>
        <w:t>To assess whether our search strategy effectively captured the key themes of survival analysis in education, we conducted a word cloud analysis of the extracted dataset. The word cloud</w:t>
      </w:r>
      <w:r w:rsidR="0000379F">
        <w:t xml:space="preserve"> </w:t>
      </w:r>
      <w:r w:rsidR="00CB0756">
        <w:t>in</w:t>
      </w:r>
      <w:r w:rsidR="0000379F">
        <w:t xml:space="preserve"> </w:t>
      </w:r>
      <w:r w:rsidR="0000379F">
        <w:fldChar w:fldCharType="begin"/>
      </w:r>
      <w:r w:rsidR="0000379F">
        <w:instrText xml:space="preserve"> REF _Ref202958485 \h </w:instrText>
      </w:r>
      <w:r w:rsidR="0000379F">
        <w:fldChar w:fldCharType="separate"/>
      </w:r>
      <w:r w:rsidR="0000379F">
        <w:t xml:space="preserve">Figure </w:t>
      </w:r>
      <w:r w:rsidR="0000379F">
        <w:rPr>
          <w:noProof/>
        </w:rPr>
        <w:t>1</w:t>
      </w:r>
      <w:r w:rsidR="0000379F">
        <w:fldChar w:fldCharType="end"/>
      </w:r>
      <w:r w:rsidR="0000379F">
        <w:t xml:space="preserve"> </w:t>
      </w:r>
      <w:r>
        <w:t xml:space="preserve">visualizes the most frequently occurring terms in the titles, abstracts, and keywords of the selected studies. Larger words indicate higher frequency, reflecting dominant topics within the dataset. The results confirm that our search query successfully encompassed the core concepts of survival analysis and education. The most prominent terms include "student," "study," "school," "time," "survival," "analysis," "teacher," "dropout," "retention," and "academic"—all of which </w:t>
      </w:r>
      <w:r>
        <w:lastRenderedPageBreak/>
        <w:t>align with our research focus. The presence of terms related to statistical methods (e.g., "model," "risk," "data," "event," "rate") further validates that the dataset is methodologically relevant. Additionally, words like "higher education," "university," and "college" indicate that the dataset captures various levels of the education system, ensuring broad applicability.</w:t>
      </w:r>
    </w:p>
    <w:p w14:paraId="0F53FDF7" w14:textId="77777777" w:rsidR="007D18E6" w:rsidRDefault="002B0C53" w:rsidP="007D18E6">
      <w:pPr>
        <w:keepNext/>
      </w:pPr>
      <w:r w:rsidRPr="002B0C53">
        <w:rPr>
          <w:noProof/>
        </w:rPr>
        <w:drawing>
          <wp:inline distT="0" distB="0" distL="0" distR="0" wp14:anchorId="42C72F52" wp14:editId="6680A375">
            <wp:extent cx="2575790" cy="1303020"/>
            <wp:effectExtent l="0" t="0" r="0" b="0"/>
            <wp:docPr id="166193752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7522" name="Picture 1" descr="A close-up of words&#10;&#10;AI-generated content may be incorrect."/>
                    <pic:cNvPicPr/>
                  </pic:nvPicPr>
                  <pic:blipFill>
                    <a:blip r:embed="rId5"/>
                    <a:stretch>
                      <a:fillRect/>
                    </a:stretch>
                  </pic:blipFill>
                  <pic:spPr>
                    <a:xfrm>
                      <a:off x="0" y="0"/>
                      <a:ext cx="2578148" cy="1304213"/>
                    </a:xfrm>
                    <a:prstGeom prst="rect">
                      <a:avLst/>
                    </a:prstGeom>
                  </pic:spPr>
                </pic:pic>
              </a:graphicData>
            </a:graphic>
          </wp:inline>
        </w:drawing>
      </w:r>
    </w:p>
    <w:p w14:paraId="7ACF1043" w14:textId="4F2471C0" w:rsidR="002B0C53" w:rsidRDefault="007D18E6" w:rsidP="007D18E6">
      <w:pPr>
        <w:pStyle w:val="Caption"/>
      </w:pPr>
      <w:bookmarkStart w:id="0" w:name="_Ref202958485"/>
      <w:r>
        <w:t xml:space="preserve">Figure </w:t>
      </w:r>
      <w:fldSimple w:instr=" SEQ Figure \* ARABIC ">
        <w:r w:rsidR="006F3F3B">
          <w:rPr>
            <w:noProof/>
          </w:rPr>
          <w:t>1</w:t>
        </w:r>
      </w:fldSimple>
      <w:bookmarkEnd w:id="0"/>
      <w:r>
        <w:t>: Word cloud analysis.</w:t>
      </w:r>
    </w:p>
    <w:p w14:paraId="796D705E" w14:textId="40EA9517" w:rsidR="005012FA" w:rsidRDefault="005012FA" w:rsidP="005012FA">
      <w:r>
        <w:t xml:space="preserve">To address the predominant survival analysis methods used in educational research, we conducted a text mining analysis on the </w:t>
      </w:r>
      <w:r w:rsidR="0000379F">
        <w:t>a</w:t>
      </w:r>
      <w:r>
        <w:t>bstract</w:t>
      </w:r>
      <w:r w:rsidR="0000379F">
        <w:t>s</w:t>
      </w:r>
      <w:r>
        <w:t xml:space="preserve">. We searched for specific keywords and phrases associated with known survival analysis techniques (e.g., "Cox Proportional Hazards", "Kaplan-Meier", "Event History Analysis", etc.). Each abstract was scanned using regular expressions to detect mentions of each method, while simultaneously identifying references to success or validation through terms like accuracy, valid, significant, performance, and results supported, summarized in </w:t>
      </w:r>
      <w:r w:rsidR="0000379F">
        <w:fldChar w:fldCharType="begin"/>
      </w:r>
      <w:r w:rsidR="0000379F">
        <w:instrText xml:space="preserve"> REF _Ref202958675 \h </w:instrText>
      </w:r>
      <w:r w:rsidR="0000379F">
        <w:fldChar w:fldCharType="separate"/>
      </w:r>
      <w:r w:rsidR="0000379F">
        <w:t xml:space="preserve">Table </w:t>
      </w:r>
      <w:r w:rsidR="0000379F">
        <w:rPr>
          <w:noProof/>
        </w:rPr>
        <w:t>1</w:t>
      </w:r>
      <w:r w:rsidR="0000379F">
        <w:fldChar w:fldCharType="end"/>
      </w:r>
      <w:r>
        <w:t>.</w:t>
      </w:r>
      <w:r w:rsidR="007B4071">
        <w:t xml:space="preserve"> Regular expressions code-words used can be found in </w:t>
      </w:r>
      <w:r w:rsidR="00A936F3">
        <w:rPr>
          <w:highlight w:val="yellow"/>
        </w:rPr>
        <w:fldChar w:fldCharType="begin"/>
      </w:r>
      <w:r w:rsidR="00A936F3">
        <w:instrText xml:space="preserve"> REF _Ref202978711 \h </w:instrText>
      </w:r>
      <w:r w:rsidR="00A936F3">
        <w:rPr>
          <w:highlight w:val="yellow"/>
        </w:rPr>
      </w:r>
      <w:r w:rsidR="00A936F3">
        <w:rPr>
          <w:highlight w:val="yellow"/>
        </w:rPr>
        <w:fldChar w:fldCharType="separate"/>
      </w:r>
      <w:r w:rsidR="00A936F3">
        <w:t xml:space="preserve">Appendix B: </w:t>
      </w:r>
      <w:r w:rsidR="00A936F3" w:rsidRPr="001109A8">
        <w:t>Regular Expressions Used for Method and Success Keyword Detection</w:t>
      </w:r>
      <w:r w:rsidR="00A936F3">
        <w:rPr>
          <w:highlight w:val="yellow"/>
        </w:rPr>
        <w:fldChar w:fldCharType="end"/>
      </w:r>
      <w:r w:rsidR="00A936F3">
        <w:t>.</w:t>
      </w:r>
    </w:p>
    <w:p w14:paraId="35A0154C" w14:textId="16AB4FE6" w:rsidR="0000379F" w:rsidRDefault="0000379F" w:rsidP="0000379F">
      <w:pPr>
        <w:pStyle w:val="Caption"/>
        <w:keepNext/>
      </w:pPr>
      <w:bookmarkStart w:id="1" w:name="_Ref202958675"/>
      <w:r>
        <w:t xml:space="preserve">Table </w:t>
      </w:r>
      <w:fldSimple w:instr=" SEQ Table \* ARABIC ">
        <w:r>
          <w:rPr>
            <w:noProof/>
          </w:rPr>
          <w:t>1</w:t>
        </w:r>
      </w:fldSimple>
      <w:bookmarkEnd w:id="1"/>
      <w:r>
        <w:t xml:space="preserve">: </w:t>
      </w:r>
      <w:r w:rsidRPr="0000379F">
        <w:t xml:space="preserve">Frequency of </w:t>
      </w:r>
      <w:r>
        <w:t>s</w:t>
      </w:r>
      <w:r w:rsidRPr="0000379F">
        <w:t xml:space="preserve">urvival </w:t>
      </w:r>
      <w:r>
        <w:t>a</w:t>
      </w:r>
      <w:r w:rsidRPr="0000379F">
        <w:t xml:space="preserve">nalysis </w:t>
      </w:r>
      <w:r>
        <w:t>m</w:t>
      </w:r>
      <w:r w:rsidRPr="0000379F">
        <w:t xml:space="preserve">ethods and </w:t>
      </w:r>
      <w:r>
        <w:t>a</w:t>
      </w:r>
      <w:r w:rsidRPr="0000379F">
        <w:t xml:space="preserve">ssociated </w:t>
      </w:r>
      <w:r>
        <w:t>s</w:t>
      </w:r>
      <w:r w:rsidRPr="0000379F">
        <w:t xml:space="preserve">uccess </w:t>
      </w:r>
      <w:r>
        <w:t>m</w:t>
      </w:r>
      <w:r w:rsidRPr="0000379F">
        <w:t>entions</w:t>
      </w:r>
      <w:r>
        <w:t>.</w:t>
      </w:r>
    </w:p>
    <w:tbl>
      <w:tblPr>
        <w:tblStyle w:val="TableGrid"/>
        <w:tblW w:w="0" w:type="auto"/>
        <w:tblLook w:val="04A0" w:firstRow="1" w:lastRow="0" w:firstColumn="1" w:lastColumn="0" w:noHBand="0" w:noVBand="1"/>
      </w:tblPr>
      <w:tblGrid>
        <w:gridCol w:w="2916"/>
        <w:gridCol w:w="1578"/>
        <w:gridCol w:w="2107"/>
        <w:gridCol w:w="1682"/>
      </w:tblGrid>
      <w:tr w:rsidR="005012FA" w:rsidRPr="005012FA" w14:paraId="4F33FD67" w14:textId="77777777" w:rsidTr="00BD49BC">
        <w:tc>
          <w:tcPr>
            <w:tcW w:w="0" w:type="auto"/>
            <w:hideMark/>
          </w:tcPr>
          <w:p w14:paraId="5F94A2E6" w14:textId="77777777" w:rsidR="005012FA" w:rsidRPr="005012FA" w:rsidRDefault="005012FA" w:rsidP="00BD49BC">
            <w:pPr>
              <w:rPr>
                <w:lang w:eastAsia="en-SI"/>
              </w:rPr>
            </w:pPr>
            <w:r w:rsidRPr="005012FA">
              <w:rPr>
                <w:lang w:eastAsia="en-SI"/>
              </w:rPr>
              <w:t>Method</w:t>
            </w:r>
          </w:p>
        </w:tc>
        <w:tc>
          <w:tcPr>
            <w:tcW w:w="0" w:type="auto"/>
            <w:hideMark/>
          </w:tcPr>
          <w:p w14:paraId="643A319C" w14:textId="77777777" w:rsidR="005012FA" w:rsidRPr="005012FA" w:rsidRDefault="005012FA" w:rsidP="00BD49BC">
            <w:pPr>
              <w:rPr>
                <w:lang w:eastAsia="en-SI"/>
              </w:rPr>
            </w:pPr>
            <w:r w:rsidRPr="005012FA">
              <w:rPr>
                <w:lang w:eastAsia="en-SI"/>
              </w:rPr>
              <w:t>Article Count</w:t>
            </w:r>
          </w:p>
        </w:tc>
        <w:tc>
          <w:tcPr>
            <w:tcW w:w="0" w:type="auto"/>
            <w:hideMark/>
          </w:tcPr>
          <w:p w14:paraId="278E28A2" w14:textId="77777777" w:rsidR="005012FA" w:rsidRPr="005012FA" w:rsidRDefault="005012FA" w:rsidP="00BD49BC">
            <w:pPr>
              <w:rPr>
                <w:lang w:eastAsia="en-SI"/>
              </w:rPr>
            </w:pPr>
            <w:r w:rsidRPr="005012FA">
              <w:rPr>
                <w:lang w:eastAsia="en-SI"/>
              </w:rPr>
              <w:t>Success Mentions</w:t>
            </w:r>
          </w:p>
        </w:tc>
        <w:tc>
          <w:tcPr>
            <w:tcW w:w="0" w:type="auto"/>
            <w:hideMark/>
          </w:tcPr>
          <w:p w14:paraId="13B9851A" w14:textId="77777777" w:rsidR="005012FA" w:rsidRPr="005012FA" w:rsidRDefault="005012FA" w:rsidP="00BD49BC">
            <w:pPr>
              <w:rPr>
                <w:lang w:eastAsia="en-SI"/>
              </w:rPr>
            </w:pPr>
            <w:r w:rsidRPr="005012FA">
              <w:rPr>
                <w:lang w:eastAsia="en-SI"/>
              </w:rPr>
              <w:t>Success Ratio</w:t>
            </w:r>
          </w:p>
        </w:tc>
      </w:tr>
      <w:tr w:rsidR="005012FA" w:rsidRPr="005012FA" w14:paraId="4278C82A" w14:textId="77777777" w:rsidTr="00BD49BC">
        <w:tc>
          <w:tcPr>
            <w:tcW w:w="0" w:type="auto"/>
            <w:hideMark/>
          </w:tcPr>
          <w:p w14:paraId="188D32C9" w14:textId="77777777" w:rsidR="005012FA" w:rsidRPr="005012FA" w:rsidRDefault="005012FA" w:rsidP="00BD49BC">
            <w:pPr>
              <w:rPr>
                <w:lang w:eastAsia="en-SI"/>
              </w:rPr>
            </w:pPr>
            <w:r w:rsidRPr="005012FA">
              <w:rPr>
                <w:lang w:eastAsia="en-SI"/>
              </w:rPr>
              <w:t>Event History Analysis</w:t>
            </w:r>
          </w:p>
        </w:tc>
        <w:tc>
          <w:tcPr>
            <w:tcW w:w="0" w:type="auto"/>
            <w:hideMark/>
          </w:tcPr>
          <w:p w14:paraId="7BE1FEBD" w14:textId="77777777" w:rsidR="005012FA" w:rsidRPr="005012FA" w:rsidRDefault="005012FA" w:rsidP="00BD49BC">
            <w:pPr>
              <w:rPr>
                <w:lang w:eastAsia="en-SI"/>
              </w:rPr>
            </w:pPr>
            <w:r w:rsidRPr="005012FA">
              <w:rPr>
                <w:lang w:eastAsia="en-SI"/>
              </w:rPr>
              <w:t>51</w:t>
            </w:r>
          </w:p>
        </w:tc>
        <w:tc>
          <w:tcPr>
            <w:tcW w:w="0" w:type="auto"/>
            <w:hideMark/>
          </w:tcPr>
          <w:p w14:paraId="27F6A1EE" w14:textId="77777777" w:rsidR="005012FA" w:rsidRPr="005012FA" w:rsidRDefault="005012FA" w:rsidP="00BD49BC">
            <w:pPr>
              <w:rPr>
                <w:lang w:eastAsia="en-SI"/>
              </w:rPr>
            </w:pPr>
            <w:r w:rsidRPr="005012FA">
              <w:rPr>
                <w:lang w:eastAsia="en-SI"/>
              </w:rPr>
              <w:t>17</w:t>
            </w:r>
          </w:p>
        </w:tc>
        <w:tc>
          <w:tcPr>
            <w:tcW w:w="0" w:type="auto"/>
            <w:hideMark/>
          </w:tcPr>
          <w:p w14:paraId="3BAEF84F" w14:textId="77777777" w:rsidR="005012FA" w:rsidRPr="005012FA" w:rsidRDefault="005012FA" w:rsidP="00BD49BC">
            <w:pPr>
              <w:rPr>
                <w:lang w:eastAsia="en-SI"/>
              </w:rPr>
            </w:pPr>
            <w:r w:rsidRPr="005012FA">
              <w:rPr>
                <w:lang w:eastAsia="en-SI"/>
              </w:rPr>
              <w:t>0.33</w:t>
            </w:r>
          </w:p>
        </w:tc>
      </w:tr>
      <w:tr w:rsidR="005012FA" w:rsidRPr="005012FA" w14:paraId="083FA63C" w14:textId="77777777" w:rsidTr="00BD49BC">
        <w:tc>
          <w:tcPr>
            <w:tcW w:w="0" w:type="auto"/>
            <w:hideMark/>
          </w:tcPr>
          <w:p w14:paraId="2EA3C874" w14:textId="77777777" w:rsidR="005012FA" w:rsidRPr="005012FA" w:rsidRDefault="005012FA" w:rsidP="00BD49BC">
            <w:pPr>
              <w:rPr>
                <w:lang w:eastAsia="en-SI"/>
              </w:rPr>
            </w:pPr>
            <w:r w:rsidRPr="005012FA">
              <w:rPr>
                <w:lang w:eastAsia="en-SI"/>
              </w:rPr>
              <w:t>Cox Proportional Hazards</w:t>
            </w:r>
          </w:p>
        </w:tc>
        <w:tc>
          <w:tcPr>
            <w:tcW w:w="0" w:type="auto"/>
            <w:hideMark/>
          </w:tcPr>
          <w:p w14:paraId="5C4DD1C5" w14:textId="77777777" w:rsidR="005012FA" w:rsidRPr="005012FA" w:rsidRDefault="005012FA" w:rsidP="00BD49BC">
            <w:pPr>
              <w:rPr>
                <w:lang w:eastAsia="en-SI"/>
              </w:rPr>
            </w:pPr>
            <w:r w:rsidRPr="005012FA">
              <w:rPr>
                <w:lang w:eastAsia="en-SI"/>
              </w:rPr>
              <w:t>36</w:t>
            </w:r>
          </w:p>
        </w:tc>
        <w:tc>
          <w:tcPr>
            <w:tcW w:w="0" w:type="auto"/>
            <w:hideMark/>
          </w:tcPr>
          <w:p w14:paraId="30756548" w14:textId="77777777" w:rsidR="005012FA" w:rsidRPr="005012FA" w:rsidRDefault="005012FA" w:rsidP="00BD49BC">
            <w:pPr>
              <w:rPr>
                <w:lang w:eastAsia="en-SI"/>
              </w:rPr>
            </w:pPr>
            <w:r w:rsidRPr="005012FA">
              <w:rPr>
                <w:lang w:eastAsia="en-SI"/>
              </w:rPr>
              <w:t>18</w:t>
            </w:r>
          </w:p>
        </w:tc>
        <w:tc>
          <w:tcPr>
            <w:tcW w:w="0" w:type="auto"/>
            <w:hideMark/>
          </w:tcPr>
          <w:p w14:paraId="22BB5885" w14:textId="77777777" w:rsidR="005012FA" w:rsidRPr="005012FA" w:rsidRDefault="005012FA" w:rsidP="00BD49BC">
            <w:pPr>
              <w:rPr>
                <w:lang w:eastAsia="en-SI"/>
              </w:rPr>
            </w:pPr>
            <w:r w:rsidRPr="005012FA">
              <w:rPr>
                <w:lang w:eastAsia="en-SI"/>
              </w:rPr>
              <w:t>0.50</w:t>
            </w:r>
          </w:p>
        </w:tc>
      </w:tr>
      <w:tr w:rsidR="005012FA" w:rsidRPr="005012FA" w14:paraId="3A7D8C26" w14:textId="77777777" w:rsidTr="00BD49BC">
        <w:tc>
          <w:tcPr>
            <w:tcW w:w="0" w:type="auto"/>
            <w:hideMark/>
          </w:tcPr>
          <w:p w14:paraId="0CD8FCF4" w14:textId="77777777" w:rsidR="005012FA" w:rsidRPr="005012FA" w:rsidRDefault="005012FA" w:rsidP="00BD49BC">
            <w:pPr>
              <w:rPr>
                <w:lang w:eastAsia="en-SI"/>
              </w:rPr>
            </w:pPr>
            <w:r w:rsidRPr="005012FA">
              <w:rPr>
                <w:lang w:eastAsia="en-SI"/>
              </w:rPr>
              <w:t>Hazard Model</w:t>
            </w:r>
          </w:p>
        </w:tc>
        <w:tc>
          <w:tcPr>
            <w:tcW w:w="0" w:type="auto"/>
            <w:hideMark/>
          </w:tcPr>
          <w:p w14:paraId="7B6CD61B" w14:textId="77777777" w:rsidR="005012FA" w:rsidRPr="005012FA" w:rsidRDefault="005012FA" w:rsidP="00BD49BC">
            <w:pPr>
              <w:rPr>
                <w:lang w:eastAsia="en-SI"/>
              </w:rPr>
            </w:pPr>
            <w:r w:rsidRPr="005012FA">
              <w:rPr>
                <w:lang w:eastAsia="en-SI"/>
              </w:rPr>
              <w:t>27</w:t>
            </w:r>
          </w:p>
        </w:tc>
        <w:tc>
          <w:tcPr>
            <w:tcW w:w="0" w:type="auto"/>
            <w:hideMark/>
          </w:tcPr>
          <w:p w14:paraId="195ED63A" w14:textId="77777777" w:rsidR="005012FA" w:rsidRPr="005012FA" w:rsidRDefault="005012FA" w:rsidP="00BD49BC">
            <w:pPr>
              <w:rPr>
                <w:lang w:eastAsia="en-SI"/>
              </w:rPr>
            </w:pPr>
            <w:r w:rsidRPr="005012FA">
              <w:rPr>
                <w:lang w:eastAsia="en-SI"/>
              </w:rPr>
              <w:t>13</w:t>
            </w:r>
          </w:p>
        </w:tc>
        <w:tc>
          <w:tcPr>
            <w:tcW w:w="0" w:type="auto"/>
            <w:hideMark/>
          </w:tcPr>
          <w:p w14:paraId="664D31D4" w14:textId="77777777" w:rsidR="005012FA" w:rsidRPr="005012FA" w:rsidRDefault="005012FA" w:rsidP="00BD49BC">
            <w:pPr>
              <w:rPr>
                <w:lang w:eastAsia="en-SI"/>
              </w:rPr>
            </w:pPr>
            <w:r w:rsidRPr="005012FA">
              <w:rPr>
                <w:lang w:eastAsia="en-SI"/>
              </w:rPr>
              <w:t>0.48</w:t>
            </w:r>
          </w:p>
        </w:tc>
      </w:tr>
      <w:tr w:rsidR="005012FA" w:rsidRPr="005012FA" w14:paraId="6CB2476D" w14:textId="77777777" w:rsidTr="00BD49BC">
        <w:tc>
          <w:tcPr>
            <w:tcW w:w="0" w:type="auto"/>
            <w:hideMark/>
          </w:tcPr>
          <w:p w14:paraId="7D766A7D" w14:textId="77777777" w:rsidR="005012FA" w:rsidRPr="005012FA" w:rsidRDefault="005012FA" w:rsidP="00BD49BC">
            <w:pPr>
              <w:rPr>
                <w:lang w:eastAsia="en-SI"/>
              </w:rPr>
            </w:pPr>
            <w:r w:rsidRPr="005012FA">
              <w:rPr>
                <w:lang w:eastAsia="en-SI"/>
              </w:rPr>
              <w:t>Kaplan-Meier</w:t>
            </w:r>
          </w:p>
        </w:tc>
        <w:tc>
          <w:tcPr>
            <w:tcW w:w="0" w:type="auto"/>
            <w:hideMark/>
          </w:tcPr>
          <w:p w14:paraId="42E031B3" w14:textId="77777777" w:rsidR="005012FA" w:rsidRPr="005012FA" w:rsidRDefault="005012FA" w:rsidP="00BD49BC">
            <w:pPr>
              <w:rPr>
                <w:lang w:eastAsia="en-SI"/>
              </w:rPr>
            </w:pPr>
            <w:r w:rsidRPr="005012FA">
              <w:rPr>
                <w:lang w:eastAsia="en-SI"/>
              </w:rPr>
              <w:t>27</w:t>
            </w:r>
          </w:p>
        </w:tc>
        <w:tc>
          <w:tcPr>
            <w:tcW w:w="0" w:type="auto"/>
            <w:hideMark/>
          </w:tcPr>
          <w:p w14:paraId="2DDF7645" w14:textId="77777777" w:rsidR="005012FA" w:rsidRPr="005012FA" w:rsidRDefault="005012FA" w:rsidP="00BD49BC">
            <w:pPr>
              <w:rPr>
                <w:lang w:eastAsia="en-SI"/>
              </w:rPr>
            </w:pPr>
            <w:r w:rsidRPr="005012FA">
              <w:rPr>
                <w:lang w:eastAsia="en-SI"/>
              </w:rPr>
              <w:t>16</w:t>
            </w:r>
          </w:p>
        </w:tc>
        <w:tc>
          <w:tcPr>
            <w:tcW w:w="0" w:type="auto"/>
            <w:hideMark/>
          </w:tcPr>
          <w:p w14:paraId="70C91186" w14:textId="77777777" w:rsidR="005012FA" w:rsidRPr="005012FA" w:rsidRDefault="005012FA" w:rsidP="00BD49BC">
            <w:pPr>
              <w:rPr>
                <w:lang w:eastAsia="en-SI"/>
              </w:rPr>
            </w:pPr>
            <w:r w:rsidRPr="005012FA">
              <w:rPr>
                <w:lang w:eastAsia="en-SI"/>
              </w:rPr>
              <w:t>0.59</w:t>
            </w:r>
          </w:p>
        </w:tc>
      </w:tr>
      <w:tr w:rsidR="005012FA" w:rsidRPr="005012FA" w14:paraId="07DD69E2" w14:textId="77777777" w:rsidTr="00BD49BC">
        <w:tc>
          <w:tcPr>
            <w:tcW w:w="0" w:type="auto"/>
            <w:hideMark/>
          </w:tcPr>
          <w:p w14:paraId="0E6B0348" w14:textId="77777777" w:rsidR="005012FA" w:rsidRPr="005012FA" w:rsidRDefault="005012FA" w:rsidP="00BD49BC">
            <w:pPr>
              <w:rPr>
                <w:lang w:eastAsia="en-SI"/>
              </w:rPr>
            </w:pPr>
            <w:r w:rsidRPr="005012FA">
              <w:rPr>
                <w:lang w:eastAsia="en-SI"/>
              </w:rPr>
              <w:t>Discrete-Time Survival</w:t>
            </w:r>
          </w:p>
        </w:tc>
        <w:tc>
          <w:tcPr>
            <w:tcW w:w="0" w:type="auto"/>
            <w:hideMark/>
          </w:tcPr>
          <w:p w14:paraId="3A699D2D" w14:textId="77777777" w:rsidR="005012FA" w:rsidRPr="005012FA" w:rsidRDefault="005012FA" w:rsidP="00BD49BC">
            <w:pPr>
              <w:rPr>
                <w:lang w:eastAsia="en-SI"/>
              </w:rPr>
            </w:pPr>
            <w:r w:rsidRPr="005012FA">
              <w:rPr>
                <w:lang w:eastAsia="en-SI"/>
              </w:rPr>
              <w:t>20</w:t>
            </w:r>
          </w:p>
        </w:tc>
        <w:tc>
          <w:tcPr>
            <w:tcW w:w="0" w:type="auto"/>
            <w:hideMark/>
          </w:tcPr>
          <w:p w14:paraId="00BF8DC9" w14:textId="77777777" w:rsidR="005012FA" w:rsidRPr="005012FA" w:rsidRDefault="005012FA" w:rsidP="00BD49BC">
            <w:pPr>
              <w:rPr>
                <w:lang w:eastAsia="en-SI"/>
              </w:rPr>
            </w:pPr>
            <w:r w:rsidRPr="005012FA">
              <w:rPr>
                <w:lang w:eastAsia="en-SI"/>
              </w:rPr>
              <w:t>9</w:t>
            </w:r>
          </w:p>
        </w:tc>
        <w:tc>
          <w:tcPr>
            <w:tcW w:w="0" w:type="auto"/>
            <w:hideMark/>
          </w:tcPr>
          <w:p w14:paraId="4FAF019B" w14:textId="77777777" w:rsidR="005012FA" w:rsidRPr="005012FA" w:rsidRDefault="005012FA" w:rsidP="00BD49BC">
            <w:pPr>
              <w:rPr>
                <w:lang w:eastAsia="en-SI"/>
              </w:rPr>
            </w:pPr>
            <w:r w:rsidRPr="005012FA">
              <w:rPr>
                <w:lang w:eastAsia="en-SI"/>
              </w:rPr>
              <w:t>0.45</w:t>
            </w:r>
          </w:p>
        </w:tc>
      </w:tr>
      <w:tr w:rsidR="005012FA" w:rsidRPr="005012FA" w14:paraId="59AAFAB7" w14:textId="77777777" w:rsidTr="00BD49BC">
        <w:tc>
          <w:tcPr>
            <w:tcW w:w="0" w:type="auto"/>
            <w:hideMark/>
          </w:tcPr>
          <w:p w14:paraId="5433C87C" w14:textId="77777777" w:rsidR="005012FA" w:rsidRPr="005012FA" w:rsidRDefault="005012FA" w:rsidP="00BD49BC">
            <w:pPr>
              <w:rPr>
                <w:lang w:eastAsia="en-SI"/>
              </w:rPr>
            </w:pPr>
            <w:r w:rsidRPr="005012FA">
              <w:rPr>
                <w:lang w:eastAsia="en-SI"/>
              </w:rPr>
              <w:t>Competing Risks</w:t>
            </w:r>
          </w:p>
        </w:tc>
        <w:tc>
          <w:tcPr>
            <w:tcW w:w="0" w:type="auto"/>
            <w:hideMark/>
          </w:tcPr>
          <w:p w14:paraId="619F1E87" w14:textId="77777777" w:rsidR="005012FA" w:rsidRPr="005012FA" w:rsidRDefault="005012FA" w:rsidP="00BD49BC">
            <w:pPr>
              <w:rPr>
                <w:lang w:eastAsia="en-SI"/>
              </w:rPr>
            </w:pPr>
            <w:r w:rsidRPr="005012FA">
              <w:rPr>
                <w:lang w:eastAsia="en-SI"/>
              </w:rPr>
              <w:t>16</w:t>
            </w:r>
          </w:p>
        </w:tc>
        <w:tc>
          <w:tcPr>
            <w:tcW w:w="0" w:type="auto"/>
            <w:hideMark/>
          </w:tcPr>
          <w:p w14:paraId="306306F2" w14:textId="77777777" w:rsidR="005012FA" w:rsidRPr="005012FA" w:rsidRDefault="005012FA" w:rsidP="00BD49BC">
            <w:pPr>
              <w:rPr>
                <w:lang w:eastAsia="en-SI"/>
              </w:rPr>
            </w:pPr>
            <w:r w:rsidRPr="005012FA">
              <w:rPr>
                <w:lang w:eastAsia="en-SI"/>
              </w:rPr>
              <w:t>6</w:t>
            </w:r>
          </w:p>
        </w:tc>
        <w:tc>
          <w:tcPr>
            <w:tcW w:w="0" w:type="auto"/>
            <w:hideMark/>
          </w:tcPr>
          <w:p w14:paraId="620E4CF3" w14:textId="77777777" w:rsidR="005012FA" w:rsidRPr="005012FA" w:rsidRDefault="005012FA" w:rsidP="00BD49BC">
            <w:pPr>
              <w:rPr>
                <w:lang w:eastAsia="en-SI"/>
              </w:rPr>
            </w:pPr>
            <w:r w:rsidRPr="005012FA">
              <w:rPr>
                <w:lang w:eastAsia="en-SI"/>
              </w:rPr>
              <w:t>0.38</w:t>
            </w:r>
          </w:p>
        </w:tc>
      </w:tr>
      <w:tr w:rsidR="005012FA" w:rsidRPr="005012FA" w14:paraId="35564091" w14:textId="77777777" w:rsidTr="00BD49BC">
        <w:tc>
          <w:tcPr>
            <w:tcW w:w="0" w:type="auto"/>
            <w:hideMark/>
          </w:tcPr>
          <w:p w14:paraId="0F6122AA" w14:textId="77777777" w:rsidR="005012FA" w:rsidRPr="005012FA" w:rsidRDefault="005012FA" w:rsidP="00BD49BC">
            <w:pPr>
              <w:rPr>
                <w:lang w:eastAsia="en-SI"/>
              </w:rPr>
            </w:pPr>
            <w:r w:rsidRPr="005012FA">
              <w:rPr>
                <w:lang w:eastAsia="en-SI"/>
              </w:rPr>
              <w:t>Parametric Models</w:t>
            </w:r>
          </w:p>
        </w:tc>
        <w:tc>
          <w:tcPr>
            <w:tcW w:w="0" w:type="auto"/>
            <w:hideMark/>
          </w:tcPr>
          <w:p w14:paraId="1C7B819E" w14:textId="77777777" w:rsidR="005012FA" w:rsidRPr="005012FA" w:rsidRDefault="005012FA" w:rsidP="00BD49BC">
            <w:pPr>
              <w:rPr>
                <w:lang w:eastAsia="en-SI"/>
              </w:rPr>
            </w:pPr>
            <w:r w:rsidRPr="005012FA">
              <w:rPr>
                <w:lang w:eastAsia="en-SI"/>
              </w:rPr>
              <w:t>4</w:t>
            </w:r>
          </w:p>
        </w:tc>
        <w:tc>
          <w:tcPr>
            <w:tcW w:w="0" w:type="auto"/>
            <w:hideMark/>
          </w:tcPr>
          <w:p w14:paraId="4928442B" w14:textId="77777777" w:rsidR="005012FA" w:rsidRPr="005012FA" w:rsidRDefault="005012FA" w:rsidP="00BD49BC">
            <w:pPr>
              <w:rPr>
                <w:lang w:eastAsia="en-SI"/>
              </w:rPr>
            </w:pPr>
            <w:r w:rsidRPr="005012FA">
              <w:rPr>
                <w:lang w:eastAsia="en-SI"/>
              </w:rPr>
              <w:t>4</w:t>
            </w:r>
          </w:p>
        </w:tc>
        <w:tc>
          <w:tcPr>
            <w:tcW w:w="0" w:type="auto"/>
            <w:hideMark/>
          </w:tcPr>
          <w:p w14:paraId="28CC012F" w14:textId="77777777" w:rsidR="005012FA" w:rsidRPr="005012FA" w:rsidRDefault="005012FA" w:rsidP="00BD49BC">
            <w:pPr>
              <w:rPr>
                <w:lang w:eastAsia="en-SI"/>
              </w:rPr>
            </w:pPr>
            <w:r w:rsidRPr="005012FA">
              <w:rPr>
                <w:lang w:eastAsia="en-SI"/>
              </w:rPr>
              <w:t>1.00</w:t>
            </w:r>
          </w:p>
        </w:tc>
      </w:tr>
      <w:tr w:rsidR="005012FA" w:rsidRPr="005012FA" w14:paraId="367A1E53" w14:textId="77777777" w:rsidTr="00BD49BC">
        <w:tc>
          <w:tcPr>
            <w:tcW w:w="0" w:type="auto"/>
            <w:hideMark/>
          </w:tcPr>
          <w:p w14:paraId="48F7C202" w14:textId="77777777" w:rsidR="005012FA" w:rsidRPr="005012FA" w:rsidRDefault="005012FA" w:rsidP="00BD49BC">
            <w:pPr>
              <w:rPr>
                <w:lang w:eastAsia="en-SI"/>
              </w:rPr>
            </w:pPr>
            <w:r w:rsidRPr="005012FA">
              <w:rPr>
                <w:lang w:eastAsia="en-SI"/>
              </w:rPr>
              <w:t>Machine Learning Survival</w:t>
            </w:r>
          </w:p>
        </w:tc>
        <w:tc>
          <w:tcPr>
            <w:tcW w:w="0" w:type="auto"/>
            <w:hideMark/>
          </w:tcPr>
          <w:p w14:paraId="63DA9D91" w14:textId="77777777" w:rsidR="005012FA" w:rsidRPr="005012FA" w:rsidRDefault="005012FA" w:rsidP="00BD49BC">
            <w:pPr>
              <w:rPr>
                <w:lang w:eastAsia="en-SI"/>
              </w:rPr>
            </w:pPr>
            <w:r w:rsidRPr="005012FA">
              <w:rPr>
                <w:lang w:eastAsia="en-SI"/>
              </w:rPr>
              <w:t>3</w:t>
            </w:r>
          </w:p>
        </w:tc>
        <w:tc>
          <w:tcPr>
            <w:tcW w:w="0" w:type="auto"/>
            <w:hideMark/>
          </w:tcPr>
          <w:p w14:paraId="54DBB185" w14:textId="77777777" w:rsidR="005012FA" w:rsidRPr="005012FA" w:rsidRDefault="005012FA" w:rsidP="00BD49BC">
            <w:pPr>
              <w:rPr>
                <w:lang w:eastAsia="en-SI"/>
              </w:rPr>
            </w:pPr>
            <w:r w:rsidRPr="005012FA">
              <w:rPr>
                <w:lang w:eastAsia="en-SI"/>
              </w:rPr>
              <w:t>1</w:t>
            </w:r>
          </w:p>
        </w:tc>
        <w:tc>
          <w:tcPr>
            <w:tcW w:w="0" w:type="auto"/>
            <w:hideMark/>
          </w:tcPr>
          <w:p w14:paraId="0B362019" w14:textId="77777777" w:rsidR="005012FA" w:rsidRPr="005012FA" w:rsidRDefault="005012FA" w:rsidP="00BD49BC">
            <w:pPr>
              <w:rPr>
                <w:lang w:eastAsia="en-SI"/>
              </w:rPr>
            </w:pPr>
            <w:r w:rsidRPr="005012FA">
              <w:rPr>
                <w:lang w:eastAsia="en-SI"/>
              </w:rPr>
              <w:t>0.33</w:t>
            </w:r>
          </w:p>
        </w:tc>
      </w:tr>
      <w:tr w:rsidR="005012FA" w:rsidRPr="005012FA" w14:paraId="44E93E17" w14:textId="77777777" w:rsidTr="00BD49BC">
        <w:tc>
          <w:tcPr>
            <w:tcW w:w="0" w:type="auto"/>
            <w:hideMark/>
          </w:tcPr>
          <w:p w14:paraId="05EA1552" w14:textId="77777777" w:rsidR="005012FA" w:rsidRPr="005012FA" w:rsidRDefault="005012FA" w:rsidP="00BD49BC">
            <w:pPr>
              <w:rPr>
                <w:lang w:eastAsia="en-SI"/>
              </w:rPr>
            </w:pPr>
            <w:r w:rsidRPr="005012FA">
              <w:rPr>
                <w:lang w:eastAsia="en-SI"/>
              </w:rPr>
              <w:t>Time-varying Covariates</w:t>
            </w:r>
          </w:p>
        </w:tc>
        <w:tc>
          <w:tcPr>
            <w:tcW w:w="0" w:type="auto"/>
            <w:hideMark/>
          </w:tcPr>
          <w:p w14:paraId="0040A2FD" w14:textId="77777777" w:rsidR="005012FA" w:rsidRPr="005012FA" w:rsidRDefault="005012FA" w:rsidP="00BD49BC">
            <w:pPr>
              <w:rPr>
                <w:lang w:eastAsia="en-SI"/>
              </w:rPr>
            </w:pPr>
            <w:r w:rsidRPr="005012FA">
              <w:rPr>
                <w:lang w:eastAsia="en-SI"/>
              </w:rPr>
              <w:t>2</w:t>
            </w:r>
          </w:p>
        </w:tc>
        <w:tc>
          <w:tcPr>
            <w:tcW w:w="0" w:type="auto"/>
            <w:hideMark/>
          </w:tcPr>
          <w:p w14:paraId="4AB9803A" w14:textId="77777777" w:rsidR="005012FA" w:rsidRPr="005012FA" w:rsidRDefault="005012FA" w:rsidP="00BD49BC">
            <w:pPr>
              <w:rPr>
                <w:lang w:eastAsia="en-SI"/>
              </w:rPr>
            </w:pPr>
            <w:r w:rsidRPr="005012FA">
              <w:rPr>
                <w:lang w:eastAsia="en-SI"/>
              </w:rPr>
              <w:t>1</w:t>
            </w:r>
          </w:p>
        </w:tc>
        <w:tc>
          <w:tcPr>
            <w:tcW w:w="0" w:type="auto"/>
            <w:hideMark/>
          </w:tcPr>
          <w:p w14:paraId="49791361" w14:textId="77777777" w:rsidR="005012FA" w:rsidRPr="005012FA" w:rsidRDefault="005012FA" w:rsidP="00BD49BC">
            <w:pPr>
              <w:rPr>
                <w:lang w:eastAsia="en-SI"/>
              </w:rPr>
            </w:pPr>
            <w:r w:rsidRPr="005012FA">
              <w:rPr>
                <w:lang w:eastAsia="en-SI"/>
              </w:rPr>
              <w:t>0.50</w:t>
            </w:r>
          </w:p>
        </w:tc>
      </w:tr>
      <w:tr w:rsidR="005012FA" w:rsidRPr="005012FA" w14:paraId="296A687E" w14:textId="77777777" w:rsidTr="00BD49BC">
        <w:tc>
          <w:tcPr>
            <w:tcW w:w="0" w:type="auto"/>
            <w:hideMark/>
          </w:tcPr>
          <w:p w14:paraId="42FFC7A1" w14:textId="77777777" w:rsidR="005012FA" w:rsidRPr="005012FA" w:rsidRDefault="005012FA" w:rsidP="00BD49BC">
            <w:pPr>
              <w:rPr>
                <w:lang w:eastAsia="en-SI"/>
              </w:rPr>
            </w:pPr>
            <w:r w:rsidRPr="005012FA">
              <w:rPr>
                <w:lang w:eastAsia="en-SI"/>
              </w:rPr>
              <w:t>Dyadic Survival</w:t>
            </w:r>
          </w:p>
        </w:tc>
        <w:tc>
          <w:tcPr>
            <w:tcW w:w="0" w:type="auto"/>
            <w:hideMark/>
          </w:tcPr>
          <w:p w14:paraId="699A4C12" w14:textId="77777777" w:rsidR="005012FA" w:rsidRPr="005012FA" w:rsidRDefault="005012FA" w:rsidP="00BD49BC">
            <w:pPr>
              <w:rPr>
                <w:lang w:eastAsia="en-SI"/>
              </w:rPr>
            </w:pPr>
            <w:r w:rsidRPr="005012FA">
              <w:rPr>
                <w:lang w:eastAsia="en-SI"/>
              </w:rPr>
              <w:t>1</w:t>
            </w:r>
          </w:p>
        </w:tc>
        <w:tc>
          <w:tcPr>
            <w:tcW w:w="0" w:type="auto"/>
            <w:hideMark/>
          </w:tcPr>
          <w:p w14:paraId="5F652D8C" w14:textId="77777777" w:rsidR="005012FA" w:rsidRPr="005012FA" w:rsidRDefault="005012FA" w:rsidP="00BD49BC">
            <w:pPr>
              <w:rPr>
                <w:lang w:eastAsia="en-SI"/>
              </w:rPr>
            </w:pPr>
            <w:r w:rsidRPr="005012FA">
              <w:rPr>
                <w:lang w:eastAsia="en-SI"/>
              </w:rPr>
              <w:t>0</w:t>
            </w:r>
          </w:p>
        </w:tc>
        <w:tc>
          <w:tcPr>
            <w:tcW w:w="0" w:type="auto"/>
            <w:hideMark/>
          </w:tcPr>
          <w:p w14:paraId="479139FD" w14:textId="77777777" w:rsidR="005012FA" w:rsidRPr="005012FA" w:rsidRDefault="005012FA" w:rsidP="00BD49BC">
            <w:pPr>
              <w:rPr>
                <w:lang w:eastAsia="en-SI"/>
              </w:rPr>
            </w:pPr>
            <w:r w:rsidRPr="005012FA">
              <w:rPr>
                <w:lang w:eastAsia="en-SI"/>
              </w:rPr>
              <w:t>0.00</w:t>
            </w:r>
          </w:p>
        </w:tc>
      </w:tr>
      <w:tr w:rsidR="005012FA" w:rsidRPr="005012FA" w14:paraId="596C080E" w14:textId="77777777" w:rsidTr="00BD49BC">
        <w:tc>
          <w:tcPr>
            <w:tcW w:w="0" w:type="auto"/>
            <w:hideMark/>
          </w:tcPr>
          <w:p w14:paraId="72376B7C" w14:textId="77777777" w:rsidR="005012FA" w:rsidRPr="005012FA" w:rsidRDefault="005012FA" w:rsidP="00BD49BC">
            <w:pPr>
              <w:rPr>
                <w:lang w:eastAsia="en-SI"/>
              </w:rPr>
            </w:pPr>
            <w:r w:rsidRPr="005012FA">
              <w:rPr>
                <w:lang w:eastAsia="en-SI"/>
              </w:rPr>
              <w:t>Multilevel Survival</w:t>
            </w:r>
          </w:p>
        </w:tc>
        <w:tc>
          <w:tcPr>
            <w:tcW w:w="0" w:type="auto"/>
            <w:hideMark/>
          </w:tcPr>
          <w:p w14:paraId="53235959" w14:textId="77777777" w:rsidR="005012FA" w:rsidRPr="005012FA" w:rsidRDefault="005012FA" w:rsidP="00BD49BC">
            <w:pPr>
              <w:rPr>
                <w:lang w:eastAsia="en-SI"/>
              </w:rPr>
            </w:pPr>
            <w:r w:rsidRPr="005012FA">
              <w:rPr>
                <w:lang w:eastAsia="en-SI"/>
              </w:rPr>
              <w:t>1</w:t>
            </w:r>
          </w:p>
        </w:tc>
        <w:tc>
          <w:tcPr>
            <w:tcW w:w="0" w:type="auto"/>
            <w:hideMark/>
          </w:tcPr>
          <w:p w14:paraId="0E279B5A" w14:textId="77777777" w:rsidR="005012FA" w:rsidRPr="005012FA" w:rsidRDefault="005012FA" w:rsidP="00BD49BC">
            <w:pPr>
              <w:rPr>
                <w:lang w:eastAsia="en-SI"/>
              </w:rPr>
            </w:pPr>
            <w:r w:rsidRPr="005012FA">
              <w:rPr>
                <w:lang w:eastAsia="en-SI"/>
              </w:rPr>
              <w:t>0</w:t>
            </w:r>
          </w:p>
        </w:tc>
        <w:tc>
          <w:tcPr>
            <w:tcW w:w="0" w:type="auto"/>
            <w:hideMark/>
          </w:tcPr>
          <w:p w14:paraId="207F9461" w14:textId="77777777" w:rsidR="005012FA" w:rsidRPr="005012FA" w:rsidRDefault="005012FA" w:rsidP="00BD49BC">
            <w:pPr>
              <w:rPr>
                <w:lang w:eastAsia="en-SI"/>
              </w:rPr>
            </w:pPr>
            <w:r w:rsidRPr="005012FA">
              <w:rPr>
                <w:lang w:eastAsia="en-SI"/>
              </w:rPr>
              <w:t>0.00</w:t>
            </w:r>
          </w:p>
        </w:tc>
      </w:tr>
    </w:tbl>
    <w:p w14:paraId="2C262C10" w14:textId="60AA7FE5" w:rsidR="005012FA" w:rsidRDefault="005012FA" w:rsidP="005012FA"/>
    <w:p w14:paraId="6F064D74" w14:textId="2162E2FE" w:rsidR="005012FA" w:rsidRDefault="0000379F" w:rsidP="005012FA">
      <w:r w:rsidRPr="0000379F">
        <w:t>The results reveal that Event History Analysis, a broad framework encompassing multiple survival analysis techniques, was the most frequently referenced category, followed by specific methods such as Cox Proportional Hazards and Kaplan-Meier estimators</w:t>
      </w:r>
      <w:r w:rsidR="005012FA">
        <w:t xml:space="preserve">. Notably, Kaplan-Meier had the highest ratio of success mentions among the </w:t>
      </w:r>
      <w:r w:rsidR="005012FA">
        <w:lastRenderedPageBreak/>
        <w:t xml:space="preserve">commonly used methods (59.3%), </w:t>
      </w:r>
      <w:r w:rsidR="00CB0756">
        <w:t>indicating</w:t>
      </w:r>
      <w:r w:rsidR="005012FA">
        <w:t xml:space="preserve"> </w:t>
      </w:r>
      <w:r w:rsidR="00572F6E">
        <w:t>favourable</w:t>
      </w:r>
      <w:r w:rsidR="005012FA">
        <w:t xml:space="preserve"> outcomes or interpretations</w:t>
      </w:r>
      <w:r w:rsidR="00CB0756">
        <w:t xml:space="preserve"> </w:t>
      </w:r>
      <w:r w:rsidR="00CB0756" w:rsidRPr="00CB0756">
        <w:t>in reported applications</w:t>
      </w:r>
      <w:r w:rsidR="005012FA">
        <w:t>. Parametric models, though used in only four studies, showed a 100% success mention rate, albeit with limited generalizability due to small sample size. On the other hand, more advanced or nuanced techniques—such as machine learning-based survival models, time-varying covariates, multilevel, and dyadic survival models—appear underutilized in the current literature. Their low frequency, coupled with low or no reported validation mentions, indicates potential areas for methodological development in future research.</w:t>
      </w:r>
    </w:p>
    <w:p w14:paraId="1FB0F43B" w14:textId="1E45D394" w:rsidR="00860ECC" w:rsidRDefault="00860ECC" w:rsidP="000D3303">
      <w:r w:rsidRPr="00860ECC">
        <w:t xml:space="preserve">To </w:t>
      </w:r>
      <w:r w:rsidR="00572F6E" w:rsidRPr="00860ECC">
        <w:t>analyse</w:t>
      </w:r>
      <w:r w:rsidRPr="00860ECC">
        <w:t xml:space="preserve"> the geographical distribution of research on survival analysis in education, we mapped the number of documents produced by each country, considering the affiliations of all contributing authors</w:t>
      </w:r>
      <w:r w:rsidR="0000379F">
        <w:t xml:space="preserve">, as shown </w:t>
      </w:r>
      <w:r w:rsidR="00CB0756">
        <w:t>in</w:t>
      </w:r>
      <w:r w:rsidR="0000379F">
        <w:t xml:space="preserve"> </w:t>
      </w:r>
      <w:r w:rsidR="0000379F">
        <w:fldChar w:fldCharType="begin"/>
      </w:r>
      <w:r w:rsidR="0000379F">
        <w:instrText xml:space="preserve"> REF _Ref202958868 \h </w:instrText>
      </w:r>
      <w:r w:rsidR="0000379F">
        <w:fldChar w:fldCharType="separate"/>
      </w:r>
      <w:r w:rsidR="0000379F">
        <w:t xml:space="preserve">Figure </w:t>
      </w:r>
      <w:r w:rsidR="0000379F">
        <w:rPr>
          <w:noProof/>
        </w:rPr>
        <w:t>2</w:t>
      </w:r>
      <w:r w:rsidR="0000379F">
        <w:fldChar w:fldCharType="end"/>
      </w:r>
      <w:r w:rsidRPr="00860ECC">
        <w:t xml:space="preserve"> . Countries shaded in darker </w:t>
      </w:r>
      <w:r w:rsidR="007D18E6" w:rsidRPr="00860ECC">
        <w:t>colours</w:t>
      </w:r>
      <w:r w:rsidRPr="00860ECC">
        <w:t xml:space="preserve"> indicate higher research output, while lighter </w:t>
      </w:r>
      <w:r w:rsidR="007D18E6" w:rsidRPr="00860ECC">
        <w:t>colours</w:t>
      </w:r>
      <w:r w:rsidRPr="00860ECC">
        <w:t xml:space="preserve"> represent lower contributions. This analysis highlights the uneven distribution of research output, suggesting that survival analysis methods in education are predominantly explored in North America and select European countries, while developing regions remain underrepresented.</w:t>
      </w:r>
    </w:p>
    <w:p w14:paraId="700E68AE" w14:textId="77777777" w:rsidR="00860ECC" w:rsidRDefault="002B0C53" w:rsidP="00860ECC">
      <w:pPr>
        <w:keepNext/>
      </w:pPr>
      <w:r w:rsidRPr="002B0C53">
        <w:rPr>
          <w:noProof/>
        </w:rPr>
        <w:drawing>
          <wp:inline distT="0" distB="0" distL="0" distR="0" wp14:anchorId="427150F8" wp14:editId="70AE5307">
            <wp:extent cx="3223260" cy="1508069"/>
            <wp:effectExtent l="0" t="0" r="0" b="0"/>
            <wp:docPr id="1990811553"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1553" name="Picture 1" descr="A map of the world&#10;&#10;AI-generated content may be incorrect."/>
                    <pic:cNvPicPr/>
                  </pic:nvPicPr>
                  <pic:blipFill>
                    <a:blip r:embed="rId6"/>
                    <a:stretch>
                      <a:fillRect/>
                    </a:stretch>
                  </pic:blipFill>
                  <pic:spPr>
                    <a:xfrm>
                      <a:off x="0" y="0"/>
                      <a:ext cx="3226384" cy="1509531"/>
                    </a:xfrm>
                    <a:prstGeom prst="rect">
                      <a:avLst/>
                    </a:prstGeom>
                  </pic:spPr>
                </pic:pic>
              </a:graphicData>
            </a:graphic>
          </wp:inline>
        </w:drawing>
      </w:r>
    </w:p>
    <w:p w14:paraId="51A61410" w14:textId="015A4C16" w:rsidR="002B0C53" w:rsidRDefault="00860ECC" w:rsidP="00860ECC">
      <w:pPr>
        <w:pStyle w:val="Caption"/>
      </w:pPr>
      <w:bookmarkStart w:id="2" w:name="_Ref202958868"/>
      <w:r>
        <w:t xml:space="preserve">Figure </w:t>
      </w:r>
      <w:fldSimple w:instr=" SEQ Figure \* ARABIC ">
        <w:r w:rsidR="006F3F3B">
          <w:rPr>
            <w:noProof/>
          </w:rPr>
          <w:t>2</w:t>
        </w:r>
      </w:fldSimple>
      <w:bookmarkEnd w:id="2"/>
      <w:r>
        <w:t xml:space="preserve">: </w:t>
      </w:r>
      <w:r w:rsidR="00BD5465" w:rsidRPr="00BD5465">
        <w:t>Figure 2. Geographical distribution of publications on survival analysis in education based on author affiliations, where the count reflects the number of documents associated with each country considering all contributing authors; darker shades represent higher research output.</w:t>
      </w:r>
    </w:p>
    <w:p w14:paraId="07CB5BB1" w14:textId="702A126E" w:rsidR="006F3F3B" w:rsidRDefault="00860ECC" w:rsidP="00860ECC">
      <w:r>
        <w:t>The collaboration network p</w:t>
      </w:r>
      <w:r w:rsidRPr="006F3F3B">
        <w:t xml:space="preserve">resented in </w:t>
      </w:r>
      <w:r w:rsidR="006F3F3B" w:rsidRPr="006F3F3B">
        <w:fldChar w:fldCharType="begin"/>
      </w:r>
      <w:r w:rsidR="006F3F3B" w:rsidRPr="006F3F3B">
        <w:instrText xml:space="preserve"> REF _Ref202959359 \h </w:instrText>
      </w:r>
      <w:r w:rsidR="006F3F3B">
        <w:instrText xml:space="preserve"> \* MERGEFORMAT </w:instrText>
      </w:r>
      <w:r w:rsidR="006F3F3B" w:rsidRPr="006F3F3B">
        <w:fldChar w:fldCharType="separate"/>
      </w:r>
      <w:r w:rsidR="006F3F3B" w:rsidRPr="006F3F3B">
        <w:t xml:space="preserve">Figure </w:t>
      </w:r>
      <w:r w:rsidR="006F3F3B" w:rsidRPr="006F3F3B">
        <w:rPr>
          <w:noProof/>
        </w:rPr>
        <w:t>3</w:t>
      </w:r>
      <w:r w:rsidR="006F3F3B" w:rsidRPr="006F3F3B">
        <w:fldChar w:fldCharType="end"/>
      </w:r>
      <w:r w:rsidR="006F3F3B">
        <w:t xml:space="preserve"> </w:t>
      </w:r>
      <w:r>
        <w:t>illustrates the global research partnerships in survival analysis applied to education.</w:t>
      </w:r>
    </w:p>
    <w:p w14:paraId="6C35F2B4" w14:textId="77777777" w:rsidR="006F3F3B" w:rsidRDefault="006F3F3B" w:rsidP="006F3F3B">
      <w:pPr>
        <w:keepNext/>
      </w:pPr>
      <w:r w:rsidRPr="002B0C53">
        <w:rPr>
          <w:noProof/>
        </w:rPr>
        <w:drawing>
          <wp:inline distT="0" distB="0" distL="0" distR="0" wp14:anchorId="1E542107" wp14:editId="3D6D1EF3">
            <wp:extent cx="3703320" cy="1888587"/>
            <wp:effectExtent l="0" t="0" r="0" b="0"/>
            <wp:docPr id="143782265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2651" name="Picture 1" descr="A map of the world&#10;&#10;AI-generated content may be incorrect."/>
                    <pic:cNvPicPr/>
                  </pic:nvPicPr>
                  <pic:blipFill>
                    <a:blip r:embed="rId7"/>
                    <a:stretch>
                      <a:fillRect/>
                    </a:stretch>
                  </pic:blipFill>
                  <pic:spPr>
                    <a:xfrm>
                      <a:off x="0" y="0"/>
                      <a:ext cx="3710438" cy="1892217"/>
                    </a:xfrm>
                    <a:prstGeom prst="rect">
                      <a:avLst/>
                    </a:prstGeom>
                  </pic:spPr>
                </pic:pic>
              </a:graphicData>
            </a:graphic>
          </wp:inline>
        </w:drawing>
      </w:r>
    </w:p>
    <w:p w14:paraId="4DAD3AB8" w14:textId="78DAC47B" w:rsidR="006F3F3B" w:rsidRDefault="006F3F3B" w:rsidP="006F3F3B">
      <w:pPr>
        <w:pStyle w:val="Caption"/>
      </w:pPr>
      <w:bookmarkStart w:id="3" w:name="_Ref202959359"/>
      <w:r>
        <w:t xml:space="preserve">Figure </w:t>
      </w:r>
      <w:fldSimple w:instr=" SEQ Figure \* ARABIC ">
        <w:r>
          <w:rPr>
            <w:noProof/>
          </w:rPr>
          <w:t>3</w:t>
        </w:r>
      </w:fldSimple>
      <w:bookmarkEnd w:id="3"/>
      <w:r>
        <w:t xml:space="preserve">: </w:t>
      </w:r>
      <w:r w:rsidRPr="00731C9F">
        <w:t>International collaboration network</w:t>
      </w:r>
      <w:r>
        <w:t>.</w:t>
      </w:r>
    </w:p>
    <w:p w14:paraId="6B268652" w14:textId="75D061CA" w:rsidR="00860ECC" w:rsidRDefault="006F3F3B" w:rsidP="00860ECC">
      <w:r w:rsidRPr="006F3F3B">
        <w:lastRenderedPageBreak/>
        <w:t>European countries exhibit dense collaboration networks, particularly among the United Kingdom, Germany, France, Portugal, and the Netherlands. North America (United States and Canada) plays a central role, collaborating extensively with European and Australian researchers. Australia emerges as another key player, engaging in significant partnerships with both Asian and European countries. South America and Africa show some engagement, but their collaboration networks are relatively sparse, suggesting limited international research connections. India and Pakistan stand out as key contributors from Asia, actively collaborating with other regions.</w:t>
      </w:r>
    </w:p>
    <w:p w14:paraId="57742DE3" w14:textId="3FFBDCCB" w:rsidR="00860ECC" w:rsidRPr="00860ECC" w:rsidRDefault="00860ECC" w:rsidP="00860ECC">
      <w:r>
        <w:t>The strong interconnectedness of researchers from Western countries suggests a well-established academic exchange, while developing regions show fewer international collaborations. These findings highlight the potential for expanding global partnerships, particularly by fostering research collaborations with underrepresented regions to diversify methodological approaches and broaden the scope of survival analysis in education.</w:t>
      </w:r>
    </w:p>
    <w:p w14:paraId="63A5CACE" w14:textId="099065D8" w:rsidR="000D2592" w:rsidRDefault="000D2592" w:rsidP="002B0C53">
      <w:pPr>
        <w:pStyle w:val="Heading2"/>
      </w:pPr>
      <w:r w:rsidRPr="000D2592">
        <w:t>Discussion</w:t>
      </w:r>
    </w:p>
    <w:p w14:paraId="3B1B6F08" w14:textId="576FA53C" w:rsidR="00152DD3" w:rsidRDefault="00573182" w:rsidP="00152DD3">
      <w:r>
        <w:t>In this article we</w:t>
      </w:r>
      <w:r w:rsidR="00152DD3">
        <w:t xml:space="preserve"> provide</w:t>
      </w:r>
      <w:r>
        <w:t>d</w:t>
      </w:r>
      <w:r w:rsidR="00152DD3">
        <w:t xml:space="preserve"> a comprehensive overview of how survival analysis is applied in educational research, particularly in the study of student retention, dropout, and progression. The results highlight several important methodological and geographical trends.</w:t>
      </w:r>
    </w:p>
    <w:p w14:paraId="7DA8E9A7" w14:textId="59E5F981" w:rsidR="00152DD3" w:rsidRDefault="00152DD3" w:rsidP="00152DD3">
      <w:r>
        <w:t>First, the findings show that a core set of classical survival analysis methods—notably Event History Analysis, Cox Proportional Hazards, and Kaplan-Meier estimators—dominates the field</w:t>
      </w:r>
      <w:r w:rsidR="006C0076">
        <w:t>,</w:t>
      </w:r>
      <w:r>
        <w:t xml:space="preserve"> </w:t>
      </w:r>
      <w:r w:rsidR="00816540" w:rsidRPr="00816540">
        <w:t>highlighting their accessibility and interpretability for educational researchers</w:t>
      </w:r>
      <w:r w:rsidR="00D275D2">
        <w:t xml:space="preserve"> </w:t>
      </w:r>
      <w:r w:rsidR="00D275D2">
        <w:fldChar w:fldCharType="begin"/>
      </w:r>
      <w:r w:rsidR="00D275D2">
        <w:instrText xml:space="preserve"> ADDIN ZOTERO_ITEM CSL_CITATION {"citationID":"VtuPcidt","properties":{"formattedCitation":"(Beg, 2024; Langbein et al., 2024)","plainCitation":"(Beg, 2024; Langbein et al., 2024)","noteIndex":0},"citationItems":[{"id":1079,"uris":["http://zotero.org/users/local/ZlhuMgGE/items/ECY44MR4"],"itemData":{"id":1079,"type":"article-journal","abstract":"By utilizing a variety of statistical methods and machine learning algorithms to estimate student outcomes and improve instructional practices, predictive analytics is transforming the field of medical education. This thorough analysis examines the many approaches—such as statistical procedures, machine learning algorithms, data mining techniques, and instructional data mining approaches—that are used in predictive analytics in medical education. Fundamental tools in statistics include survival analysis and regression analysis. Exam results and pass/fail rates are two examples of continuous and binary outcomes that are predicted by linear and logistic regression models, respectively. For time-to-event data, survival analysis—which uses the Kaplan-Meier estimator and the Cox proportional hazards model-is essential for estimating dropout rates and graduation times. Predictive analytics has greatly evolved thanks to machine learning algorithms, which provide reliable models for complicated data. For forecasting student performance and detecting at-risk pupils, supervised learning methods such as decision trees, random forests, support vector machines, and neural networks are widely utilized. Unsupervised learning techniques that reveal hidden patterns and important variables impacting results include principal component analysis and clustering. Although less popular, reinforcement learning has potential for personalized, adaptive learning systems. To extract meaningful insights from massive datasets, data mining techniques like sequence analysis, text mining, and association rule mining are crucial. These techniques measure performance development, identify connections between student actions and academic results, and evaluate textual data—such as feedback—to forecast engagement and satisfaction. Learning analytics and educational data mining (EDM) are fields that concentrate on creating and using techniques to comprehend and enhance learning processes. Within EDM, predictive modeling projects student performance, while descriptive and prescriptive analytics offer analysis and suggestions for how to go better. In order to forecast group performance, social network analysis looks at relationships within educational networks. Applications of predictive analytics in medical education are vast. Predicting student performance and early identification of at-risk students enable targeted interventions. Predictive models also inform curriculum development by identifying effective components and areas needing enhancement. Personalized learning systems adapt content and resources to individual student needs, improving learning outcomes.However, the implementation of predictive analytics in medical education raises ethical considerations and challenges. Ensuring data privacy and compliance with regulations, mitigating biases in models, enhancing interpretability of complex algorithms, and integrating these tools into existing systems are critical issues that need addressing. In conclusion, predictive analytics offers transformative potential for medical education, enhancing student performance, retention, and curriculum effectiveness. Future research should focus on developing sophisticated models for deeper insights and establishing ethical frameworks to safeguard student privacy and promote fairness. Predictive analytics is expected to become more and more important in determining how medical education develops in the future as technology develops","container-title":"Era's Journal of Medical Research","DOI":"10.24041/ejmr2024.9","ISSN":"2348-9839, 2394-5222","issue":"1","journalAbbreviation":"EJMR","note":"publisher: Era's Lucknow Medical College and Hospital","page":"56-59","source":"Crossref","title":"METHODOLOGIES IN PREDICTIVE ANALYSIS OF MEDICAL EDUCATION: A COMPREHENSIVE REVIEW","title-short":"METHODOLOGIES IN PREDICTIVE ANALYSIS OF MEDICAL EDUCATION","volume":"11","author":[{"family":"Beg","given":"Dr. Sheza Waqar"}],"issued":{"date-parts":[["2024",6]]}}},{"id":1081,"uris":["http://zotero.org/users/local/ZlhuMgGE/items/MWNVZC8U"],"itemData":{"id":1081,"type":"article","abstract":"With the spread and rapid advancement of black box machine learning models, the field of interpretable machine learning (IML) or explainable artificial intelligence (XAI) has become increasingly important over the last decade. This is particularly relevant for survival analysis, where the adoption of IML techniques promotes transparency, accountability and fairness in sensitive areas, such as clinical decision making processes, the development of targeted therapies, interventions or in other medical or healthcare related contexts. More specifically, explainability can uncover a survival model's potential biases and limitations and provide more mathematically sound ways to understand how and which features are influential for prediction or constitute risk factors. However, the lack of readily available IML methods may have deterred medical practitioners and policy makers in public health from leveraging the full potential of machine learning for predicting time-to-event data. We present a comprehensive review of the limited existing amount of work on IML methods for survival analysis within the context of the general IML taxonomy. In addition, we formally detail how commonly used IML methods, such as such as individual conditional expectation (ICE), partial dependence plots (PDP), accumulated local effects (ALE), different feature importance measures or Friedman's H-interaction statistics can be adapted to survival outcomes. An application of several IML methods to real data on data on under-5 year mortality of Ghanaian children from the Demographic and Health Surveys (DHS) Program serves as a tutorial or guide for researchers, on how to utilize the techniques in practice to facilitate understanding of model decisions or predictions.","DOI":"10.48550/ARXIV.2403.10250","license":"arXiv.org perpetual, non-exclusive license","note":"version: 2","publisher":"arXiv","source":"DOI.org (Datacite)","title":"Interpretable Machine Learning for Survival Analysis","URL":"https://arxiv.org/abs/2403.10250","author":[{"family":"Langbein","given":"Sophie Hanna"},{"family":"Krzyziński","given":"Mateusz"},{"family":"Spytek","given":"Mikołaj"},{"family":"Baniecki","given":"Hubert"},{"family":"Biecek","given":"Przemysław"},{"family":"Wright","given":"Marvin N."}],"accessed":{"date-parts":[["2025",7,7]]},"issued":{"date-parts":[["2024"]]}}}],"schema":"https://github.com/citation-style-language/schema/raw/master/csl-citation.json"} </w:instrText>
      </w:r>
      <w:r w:rsidR="00D275D2">
        <w:fldChar w:fldCharType="separate"/>
      </w:r>
      <w:r w:rsidR="00D275D2" w:rsidRPr="00D275D2">
        <w:rPr>
          <w:rFonts w:ascii="Aptos" w:hAnsi="Aptos"/>
        </w:rPr>
        <w:t>(Beg, 2024; Langbein et al., 2024)</w:t>
      </w:r>
      <w:r w:rsidR="00D275D2">
        <w:fldChar w:fldCharType="end"/>
      </w:r>
      <w:r w:rsidR="007B4071">
        <w:t>.</w:t>
      </w:r>
    </w:p>
    <w:p w14:paraId="511C009E" w14:textId="4BABB242" w:rsidR="00152DD3" w:rsidRPr="00A111FC" w:rsidRDefault="00152DD3" w:rsidP="00152DD3">
      <w:r>
        <w:t>While the prevalence of these traditional techniques may reflect their robustness and familiarity, the relative scarcity of machine learning survival models, multilevel, and dyadic survival models points to underexplored methodological frontiers. This is particularly relevant given the increasing complexity of educational data and the call for personalized, time-sensitive interventions</w:t>
      </w:r>
      <w:r w:rsidR="00F26434">
        <w:t xml:space="preserve"> </w:t>
      </w:r>
      <w:r w:rsidR="00F26434">
        <w:fldChar w:fldCharType="begin"/>
      </w:r>
      <w:r w:rsidR="00F26434">
        <w:instrText xml:space="preserve"> ADDIN ZOTERO_ITEM CSL_CITATION {"citationID":"UhIeCwph","properties":{"formattedCitation":"(Baker &amp; Inventado, 2014; Jarke &amp; Breiter, 2019)","plainCitation":"(Baker &amp; Inventado, 2014; Jarke &amp; Breiter, 2019)","noteIndex":0},"citationItems":[{"id":1062,"uris":["http://zotero.org/users/local/ZlhuMgGE/items/78NR8KJF"],"itemData":{"id":1062,"type":"chapter","container-title":"Learning Analytics","event-place":"New York, NY","ISBN":"978-1-4614-3304-0","language":"en","note":"DOI: 10.1007/978-1-4614-3305-7_4","page":"61-75","publisher":"Springer New York","publisher-place":"New York, NY","source":"DOI.org (Crossref)","title":"Educational Data Mining and Learning Analytics","URL":"https://link.springer.com/10.1007/978-1-4614-3305-7_4","editor":[{"family":"Larusson","given":"Johann Ari"},{"family":"White","given":"Brandon"}],"author":[{"family":"Baker","given":"Ryan Shaun"},{"family":"Inventado","given":"Paul Salvador"}],"accessed":{"date-parts":[["2025",4,28]]},"issued":{"date-parts":[["2014"]]}}},{"id":1083,"uris":["http://zotero.org/users/local/ZlhuMgGE/items/T9AH88GC"],"itemData":{"id":1083,"type":"article-journal","container-title":"Learning, Media and Technology","DOI":"10.1080/17439884.2019.1573833","ISSN":"1743-9884, 1743-9892","issue":"1","language":"en","note":"publisher: Informa UK Limited","page":"1-6","source":"Crossref","title":"Editorial: the datafication of education","title-short":"Editorial","volume":"44","author":[{"family":"Jarke","given":"Juliane"},{"family":"Breiter","given":"Andreas"}],"issued":{"date-parts":[["2019",1,2]]}}}],"schema":"https://github.com/citation-style-language/schema/raw/master/csl-citation.json"} </w:instrText>
      </w:r>
      <w:r w:rsidR="00F26434">
        <w:fldChar w:fldCharType="separate"/>
      </w:r>
      <w:r w:rsidR="00F26434" w:rsidRPr="00F26434">
        <w:rPr>
          <w:rFonts w:ascii="Aptos" w:hAnsi="Aptos"/>
        </w:rPr>
        <w:t>(Baker &amp; Inventado, 2014; Jarke &amp; Breiter, 2019)</w:t>
      </w:r>
      <w:r w:rsidR="00F26434">
        <w:fldChar w:fldCharType="end"/>
      </w:r>
      <w:r w:rsidR="00F26434">
        <w:t>.</w:t>
      </w:r>
      <w:r>
        <w:t xml:space="preserve"> Our findings suggest a gap between methodological innovation and adoption, indicating that the field may benefit from more training, dissemination, and validation of </w:t>
      </w:r>
      <w:r w:rsidRPr="00A111FC">
        <w:t xml:space="preserve">advanced survival </w:t>
      </w:r>
      <w:r w:rsidR="00F26434" w:rsidRPr="00A111FC">
        <w:t>modelling</w:t>
      </w:r>
      <w:r w:rsidRPr="00A111FC">
        <w:t xml:space="preserve"> techniques.</w:t>
      </w:r>
    </w:p>
    <w:p w14:paraId="40410B3C" w14:textId="5334C72C" w:rsidR="00152DD3" w:rsidRDefault="00152DD3" w:rsidP="00152DD3">
      <w:r w:rsidRPr="00A111FC">
        <w:t xml:space="preserve">The presence of success-related keywords in many abstracts provides an additional layer of insight. While a high success ratio in some methods (e.g., parametric models) may reflect their appropriateness for specific datasets or contexts, such interpretations should be treated cautiously </w:t>
      </w:r>
      <w:r w:rsidR="003917DC" w:rsidRPr="003917DC">
        <w:t>due to small sample sizes and limitations in keyword-based identification</w:t>
      </w:r>
      <w:r w:rsidRPr="00A111FC">
        <w:t xml:space="preserve">. Still, the relative frequency of success mentions may indirectly </w:t>
      </w:r>
      <w:r w:rsidRPr="00A111FC">
        <w:lastRenderedPageBreak/>
        <w:t>reflect researcher satisfaction, model fit, or acceptance by peer reviewers, and thus deserves further exploration.</w:t>
      </w:r>
    </w:p>
    <w:p w14:paraId="5D76D9A7" w14:textId="3CBFCA69" w:rsidR="00152DD3" w:rsidRDefault="00152DD3" w:rsidP="00152DD3">
      <w:r>
        <w:t>Geographically, the dominance of research output from North America and Western Europe aligns with previous patterns in education and social sciences research. However, the emerging contributions from countries such as China, South Korea, and Brazil suggest a globalizing interest in quantitative approaches to educational equity and progression.</w:t>
      </w:r>
      <w:r w:rsidR="00C10DDE">
        <w:t xml:space="preserve"> </w:t>
      </w:r>
      <w:r w:rsidR="00C10DDE" w:rsidRPr="00C10DDE">
        <w:t xml:space="preserve">This expanding diversity may also introduce new applications and interpretations of survival models across different educational systems. Preferences for statistical methods often vary by country, shaped by national research traditions and contextual factors, as demonstrated in non-education fields—for example, in bankruptcy prediction research </w:t>
      </w:r>
      <w:r w:rsidR="00C32BF1">
        <w:t xml:space="preserve">by </w:t>
      </w:r>
      <w:r w:rsidR="00C32BF1">
        <w:fldChar w:fldCharType="begin"/>
      </w:r>
      <w:r w:rsidR="00C32BF1">
        <w:instrText xml:space="preserve"> ADDIN ZOTERO_ITEM CSL_CITATION {"citationID":"VL5W59xC","properties":{"formattedCitation":"(Kovacova et al., 2019)","plainCitation":"(Kovacova et al., 2019)","noteIndex":0},"citationItems":[{"id":1086,"uris":["http://zotero.org/users/local/ZlhuMgGE/items/477J76GL"],"itemData":{"id":1086,"type":"article-journal","abstract":"Research background: Since the first bankruptcy prediction models were developed in the 60?s of the 20th century, numerous different models have been constructed all over the world. These individual models of bankruptcy prediction have been developed in different time and space using different methods and variables. Therefore, there is a need to analyse them in the context of various countries, while the question about their suitability arises.\rPurpose of the article: The analysis of more than 100 bankruptcy prediction models developed in V4 countries confirms that enterprises in each country prefer different explanatory variables. Thus, we aim to review systematically the bankruptcy prediction models developed in the countries of Visegrad four and analyse them, with the emphasis on explanatory variables used in these models, and evaluate them using appropriate statistical methods.\rMethods: Cluster analysis and correspondence analysis were used to explore the mutual relationships among the selected categories, e.g. clusters of explanatory variables and countries of the Visegrad group. The use of the cluster analysis focuses on the identification of homogenous subgroups of the explanatory variables to sort the variables into clusters, so that the variables within a common cluster are as much similar as possible. The correspondence analysis is used to examine if there is any statistically significant dependence between the monitored factors ? bankruptcy prediction models of Visegrad countries and explanatory variables.\rFindings &amp; Value added: Based on the statistical analysis applied, we confirmed that each country prefers different explanatory variables for developing the bankruptcy prediction model. The choice of an appropriate and specific variable in a specific country may be very helpful for enterprises, researchers and investors in the process of construction and development of bankruptcy prediction models in conditions of an individual country.","container-title":"Oeconomia Copernicana","DOI":"10.24136/oc.2019.034","ISSN":"2353-1827, 2083-1277","issue":"4","journalAbbreviation":"oc","note":"publisher: Instytut Badan Gospodarczych / Institute of Economic Research","page":"743-772","source":"Crossref","title":"Systematic review of variables applied in bankruptcy prediction models of Visegrad group countries","volume":"10","author":[{"family":"Kovacova","given":"Maria"},{"family":"Kliestik","given":"Tomas"},{"family":"Valaskova","given":"Katarina"},{"family":"Durana","given":"Pavol"},{"family":"Juhaszova","given":"Zuzana"}],"issued":{"date-parts":[["2019",12,29]]}}}],"schema":"https://github.com/citation-style-language/schema/raw/master/csl-citation.json"} </w:instrText>
      </w:r>
      <w:r w:rsidR="00C32BF1">
        <w:fldChar w:fldCharType="separate"/>
      </w:r>
      <w:r w:rsidR="00C32BF1" w:rsidRPr="00C32BF1">
        <w:rPr>
          <w:rFonts w:ascii="Aptos" w:hAnsi="Aptos"/>
        </w:rPr>
        <w:t>(Kovacova et al., 2019)</w:t>
      </w:r>
      <w:r w:rsidR="00C32BF1">
        <w:fldChar w:fldCharType="end"/>
      </w:r>
      <w:r w:rsidR="00C32BF1">
        <w:t>.</w:t>
      </w:r>
    </w:p>
    <w:p w14:paraId="343A107E" w14:textId="57DCB984" w:rsidR="00033978" w:rsidRPr="00033978" w:rsidRDefault="00152DD3" w:rsidP="00152DD3">
      <w:r>
        <w:t xml:space="preserve">Overall, this study offers a </w:t>
      </w:r>
      <w:r w:rsidR="001109A8" w:rsidRPr="001109A8">
        <w:t>structured overview and guidance</w:t>
      </w:r>
      <w:r w:rsidR="001109A8">
        <w:t xml:space="preserve"> </w:t>
      </w:r>
      <w:r>
        <w:t>for both new and experienced researchers seeking to navigate the methodological landscape of survival analysis in education. By synthesizing current trends, this review helps identify well-trodden paths, as well as unexplored terrain that could yield valuable insights in the years ahead.</w:t>
      </w:r>
    </w:p>
    <w:p w14:paraId="7D3F98D0" w14:textId="1277D7A9" w:rsidR="000D2592" w:rsidRDefault="000D2592" w:rsidP="003B00A0">
      <w:pPr>
        <w:pStyle w:val="Heading2"/>
      </w:pPr>
      <w:r w:rsidRPr="000D2592">
        <w:t>Limitations and future directions</w:t>
      </w:r>
    </w:p>
    <w:p w14:paraId="4A0F7A83" w14:textId="79B407FF" w:rsidR="00152DD3" w:rsidRDefault="00152DD3" w:rsidP="00152DD3">
      <w:r>
        <w:t>This study is limited by its reliance on abstracts, which may omit detailed methodological descriptions or success indicators. Keyword matching may have missed variations in phrasing, and the analysis was restricted to English-language, indexed publications.</w:t>
      </w:r>
    </w:p>
    <w:p w14:paraId="7B788F63" w14:textId="3AE8F708" w:rsidR="00152DD3" w:rsidRPr="00152DD3" w:rsidRDefault="00152DD3" w:rsidP="00152DD3">
      <w:r>
        <w:t>Future research should explore full-text analysis to capture richer methodological context, apply more advanced text mining techniques for classification, and examine the quality and rigor of survival method implementation across diverse educational settings.</w:t>
      </w:r>
    </w:p>
    <w:p w14:paraId="7E118C90" w14:textId="7ACEA8DF" w:rsidR="000D2592" w:rsidRDefault="000F030C" w:rsidP="003B00A0">
      <w:pPr>
        <w:pStyle w:val="Heading2"/>
      </w:pPr>
      <w:r>
        <w:t>Data</w:t>
      </w:r>
      <w:r w:rsidR="000D2592" w:rsidRPr="000D2592">
        <w:t xml:space="preserve"> availability</w:t>
      </w:r>
    </w:p>
    <w:p w14:paraId="0A63CCEE" w14:textId="3D8E7B8D" w:rsidR="00062867" w:rsidRPr="00062867" w:rsidRDefault="00062867" w:rsidP="00062867">
      <w:r w:rsidRPr="00062867">
        <w:t xml:space="preserve">All data and statistical code used in this study are publicly available at </w:t>
      </w:r>
      <w:r w:rsidR="00C10DDE" w:rsidRPr="00C10DDE">
        <w:t>https://github.com/</w:t>
      </w:r>
      <w:r w:rsidR="00996568">
        <w:t>author</w:t>
      </w:r>
    </w:p>
    <w:p w14:paraId="7D8B19C9" w14:textId="481D0194" w:rsidR="000D2592" w:rsidRDefault="000D2592" w:rsidP="003B00A0">
      <w:pPr>
        <w:pStyle w:val="Heading2"/>
      </w:pPr>
      <w:r>
        <w:t>References</w:t>
      </w:r>
    </w:p>
    <w:p w14:paraId="7B1BC32B" w14:textId="77777777" w:rsidR="00415990" w:rsidRPr="00415990" w:rsidRDefault="00FD76BB" w:rsidP="00415990">
      <w:pPr>
        <w:pStyle w:val="Bibliography"/>
      </w:pPr>
      <w:r>
        <w:fldChar w:fldCharType="begin"/>
      </w:r>
      <w:r>
        <w:instrText xml:space="preserve"> ADDIN ZOTERO_BIBL {"uncited":[],"omitted":[],"custom":[]} CSL_BIBLIOGRAPHY </w:instrText>
      </w:r>
      <w:r>
        <w:fldChar w:fldCharType="separate"/>
      </w:r>
      <w:r w:rsidR="00415990" w:rsidRPr="00415990">
        <w:t xml:space="preserve">Addison, L., &amp; Williams, D. (2023). Predicting student retention in higher education institutions (HEIs). </w:t>
      </w:r>
      <w:r w:rsidR="00415990" w:rsidRPr="00415990">
        <w:rPr>
          <w:i/>
          <w:iCs/>
        </w:rPr>
        <w:t>Higher Education, Skills and Work-Based Learning</w:t>
      </w:r>
      <w:r w:rsidR="00415990" w:rsidRPr="00415990">
        <w:t xml:space="preserve">, </w:t>
      </w:r>
      <w:r w:rsidR="00415990" w:rsidRPr="00415990">
        <w:rPr>
          <w:i/>
          <w:iCs/>
        </w:rPr>
        <w:t>13</w:t>
      </w:r>
      <w:r w:rsidR="00415990" w:rsidRPr="00415990">
        <w:t>(5), 865–885. https://doi.org/10.1108/HESWBL-12-2022-0257</w:t>
      </w:r>
    </w:p>
    <w:p w14:paraId="731B46CC" w14:textId="77777777" w:rsidR="00415990" w:rsidRPr="00415990" w:rsidRDefault="00415990" w:rsidP="00415990">
      <w:pPr>
        <w:pStyle w:val="Bibliography"/>
      </w:pPr>
      <w:r w:rsidRPr="00415990">
        <w:lastRenderedPageBreak/>
        <w:t xml:space="preserve">Baker, R. S., &amp; Inventado, P. S. (2014). Educational Data Mining and Learning Analytics. In J. A. Larusson &amp; B. White (Eds.), </w:t>
      </w:r>
      <w:r w:rsidRPr="00415990">
        <w:rPr>
          <w:i/>
          <w:iCs/>
        </w:rPr>
        <w:t>Learning Analytics</w:t>
      </w:r>
      <w:r w:rsidRPr="00415990">
        <w:t xml:space="preserve"> (pp. 61–75). Springer New York. https://doi.org/10.1007/978-1-4614-3305-7_4</w:t>
      </w:r>
    </w:p>
    <w:p w14:paraId="7877FBD0" w14:textId="77777777" w:rsidR="00415990" w:rsidRPr="00415990" w:rsidRDefault="00415990" w:rsidP="00415990">
      <w:pPr>
        <w:pStyle w:val="Bibliography"/>
      </w:pPr>
      <w:r w:rsidRPr="00415990">
        <w:t xml:space="preserve">Beg, Dr. S. W. (2024). METHODOLOGIES IN PREDICTIVE ANALYSIS OF MEDICAL EDUCATION: A COMPREHENSIVE REVIEW. </w:t>
      </w:r>
      <w:r w:rsidRPr="00415990">
        <w:rPr>
          <w:i/>
          <w:iCs/>
        </w:rPr>
        <w:t>Era’s Journal of Medical Research</w:t>
      </w:r>
      <w:r w:rsidRPr="00415990">
        <w:t xml:space="preserve">, </w:t>
      </w:r>
      <w:r w:rsidRPr="00415990">
        <w:rPr>
          <w:i/>
          <w:iCs/>
        </w:rPr>
        <w:t>11</w:t>
      </w:r>
      <w:r w:rsidRPr="00415990">
        <w:t>(1), 56–59. https://doi.org/10.24041/ejmr2024.9</w:t>
      </w:r>
    </w:p>
    <w:p w14:paraId="2E045692" w14:textId="77777777" w:rsidR="00415990" w:rsidRPr="00415990" w:rsidRDefault="00415990" w:rsidP="00415990">
      <w:pPr>
        <w:pStyle w:val="Bibliography"/>
      </w:pPr>
      <w:r w:rsidRPr="00415990">
        <w:t xml:space="preserve">Corradi, B., Espinosa, D., Rodríguez, C., &amp; Espinoza, O. (2025). Is Admission Enough? University Persistence of Students Admitted Through Affirmative Action Policies in Chile. </w:t>
      </w:r>
      <w:r w:rsidRPr="00415990">
        <w:rPr>
          <w:i/>
          <w:iCs/>
        </w:rPr>
        <w:t>Higher Education Policy</w:t>
      </w:r>
      <w:r w:rsidRPr="00415990">
        <w:t>. https://doi.org/10.1057/s41307-024-00393-w</w:t>
      </w:r>
    </w:p>
    <w:p w14:paraId="7779EA30" w14:textId="77777777" w:rsidR="00415990" w:rsidRPr="00415990" w:rsidRDefault="00415990" w:rsidP="00415990">
      <w:pPr>
        <w:pStyle w:val="Bibliography"/>
      </w:pPr>
      <w:r w:rsidRPr="00415990">
        <w:t xml:space="preserve">Freeman, J., &amp; Simonsen, B. (2015). Examining the Impact of Policy and Practice Interventions on High School Dropout and School Completion Rates: A Systematic Review of the Literature. </w:t>
      </w:r>
      <w:r w:rsidRPr="00415990">
        <w:rPr>
          <w:i/>
          <w:iCs/>
        </w:rPr>
        <w:t>Review of Educational Research</w:t>
      </w:r>
      <w:r w:rsidRPr="00415990">
        <w:t xml:space="preserve">, </w:t>
      </w:r>
      <w:r w:rsidRPr="00415990">
        <w:rPr>
          <w:i/>
          <w:iCs/>
        </w:rPr>
        <w:t>85</w:t>
      </w:r>
      <w:r w:rsidRPr="00415990">
        <w:t>(2), 205–248. https://doi.org/10.3102/0034654314554431</w:t>
      </w:r>
    </w:p>
    <w:p w14:paraId="1B1A3AC3" w14:textId="77777777" w:rsidR="00415990" w:rsidRPr="00415990" w:rsidRDefault="00415990" w:rsidP="00415990">
      <w:pPr>
        <w:pStyle w:val="Bibliography"/>
      </w:pPr>
      <w:r w:rsidRPr="00415990">
        <w:t xml:space="preserve">Harris-Walls, K., &amp; Curran, F. C. (2025). An Event History Analysis of the Policy Adoption of the Next Generation Science Standards. </w:t>
      </w:r>
      <w:r w:rsidRPr="00415990">
        <w:rPr>
          <w:i/>
          <w:iCs/>
        </w:rPr>
        <w:t>Educational Policy</w:t>
      </w:r>
      <w:r w:rsidRPr="00415990">
        <w:t>, 08959048251339120. https://doi.org/10.1177/08959048251339120</w:t>
      </w:r>
    </w:p>
    <w:p w14:paraId="584D001D" w14:textId="77777777" w:rsidR="00415990" w:rsidRPr="00415990" w:rsidRDefault="00415990" w:rsidP="00415990">
      <w:pPr>
        <w:pStyle w:val="Bibliography"/>
      </w:pPr>
      <w:r w:rsidRPr="00415990">
        <w:t xml:space="preserve">Jarke, J., &amp; Breiter, A. (2019). Editorial: The datafication of education. </w:t>
      </w:r>
      <w:r w:rsidRPr="00415990">
        <w:rPr>
          <w:i/>
          <w:iCs/>
        </w:rPr>
        <w:t>Learning, Media and Technology</w:t>
      </w:r>
      <w:r w:rsidRPr="00415990">
        <w:t xml:space="preserve">, </w:t>
      </w:r>
      <w:r w:rsidRPr="00415990">
        <w:rPr>
          <w:i/>
          <w:iCs/>
        </w:rPr>
        <w:t>44</w:t>
      </w:r>
      <w:r w:rsidRPr="00415990">
        <w:t>(1), 1–6. https://doi.org/10.1080/17439884.2019.1573833</w:t>
      </w:r>
    </w:p>
    <w:p w14:paraId="1D0A37FF" w14:textId="77777777" w:rsidR="00415990" w:rsidRPr="00415990" w:rsidRDefault="00415990" w:rsidP="00415990">
      <w:pPr>
        <w:pStyle w:val="Bibliography"/>
      </w:pPr>
      <w:r w:rsidRPr="00415990">
        <w:t xml:space="preserve">Kiprianos, P., &amp; Mpourgos, I. (2025). School failure and life trajectories. </w:t>
      </w:r>
      <w:r w:rsidRPr="00415990">
        <w:rPr>
          <w:i/>
          <w:iCs/>
        </w:rPr>
        <w:t>Journal of Adult and Continuing Education</w:t>
      </w:r>
      <w:r w:rsidRPr="00415990">
        <w:t>, 14779714251314681. https://doi.org/10.1177/14779714251314681</w:t>
      </w:r>
    </w:p>
    <w:p w14:paraId="2C12F4D9" w14:textId="77777777" w:rsidR="00415990" w:rsidRPr="00415990" w:rsidRDefault="00415990" w:rsidP="00415990">
      <w:pPr>
        <w:pStyle w:val="Bibliography"/>
      </w:pPr>
      <w:r w:rsidRPr="00415990">
        <w:t xml:space="preserve">Kovacova, M., Kliestik, T., Valaskova, K., Durana, P., &amp; Juhaszova, Z. (2019). Systematic review of variables applied in bankruptcy prediction models of Visegrad group </w:t>
      </w:r>
      <w:r w:rsidRPr="00415990">
        <w:lastRenderedPageBreak/>
        <w:t xml:space="preserve">countries. </w:t>
      </w:r>
      <w:r w:rsidRPr="00415990">
        <w:rPr>
          <w:i/>
          <w:iCs/>
        </w:rPr>
        <w:t>Oeconomia Copernicana</w:t>
      </w:r>
      <w:r w:rsidRPr="00415990">
        <w:t xml:space="preserve">, </w:t>
      </w:r>
      <w:r w:rsidRPr="00415990">
        <w:rPr>
          <w:i/>
          <w:iCs/>
        </w:rPr>
        <w:t>10</w:t>
      </w:r>
      <w:r w:rsidRPr="00415990">
        <w:t>(4), 743–772. https://doi.org/10.24136/oc.2019.034</w:t>
      </w:r>
    </w:p>
    <w:p w14:paraId="6E48000C" w14:textId="77777777" w:rsidR="00415990" w:rsidRPr="00415990" w:rsidRDefault="00415990" w:rsidP="00415990">
      <w:pPr>
        <w:pStyle w:val="Bibliography"/>
      </w:pPr>
      <w:r w:rsidRPr="00415990">
        <w:t xml:space="preserve">Kwon, K.-A., Jang, W., Ford, T. G., Horm, D., Yazejian, N., &amp; Bryant, D. (2025). A longitudinal study of Head Start teacher turnover trends and factors. </w:t>
      </w:r>
      <w:r w:rsidRPr="00415990">
        <w:rPr>
          <w:i/>
          <w:iCs/>
        </w:rPr>
        <w:t>Teaching and Teacher Education</w:t>
      </w:r>
      <w:r w:rsidRPr="00415990">
        <w:t xml:space="preserve">, </w:t>
      </w:r>
      <w:r w:rsidRPr="00415990">
        <w:rPr>
          <w:i/>
          <w:iCs/>
        </w:rPr>
        <w:t>156</w:t>
      </w:r>
      <w:r w:rsidRPr="00415990">
        <w:t>, 104916. https://doi.org/10.1016/j.tate.2024.104916</w:t>
      </w:r>
    </w:p>
    <w:p w14:paraId="5B36B6AE" w14:textId="77777777" w:rsidR="00415990" w:rsidRPr="00415990" w:rsidRDefault="00415990" w:rsidP="00415990">
      <w:pPr>
        <w:pStyle w:val="Bibliography"/>
      </w:pPr>
      <w:r w:rsidRPr="00415990">
        <w:t xml:space="preserve">Langbein, S. H., Krzyziński, M., Spytek, M., Baniecki, H., Biecek, P., &amp; Wright, M. N. (2024). </w:t>
      </w:r>
      <w:r w:rsidRPr="00415990">
        <w:rPr>
          <w:i/>
          <w:iCs/>
        </w:rPr>
        <w:t>Interpretable Machine Learning for Survival Analysis</w:t>
      </w:r>
      <w:r w:rsidRPr="00415990">
        <w:t xml:space="preserve"> (Version 2). arXiv. https://doi.org/10.48550/ARXIV.2403.10250</w:t>
      </w:r>
    </w:p>
    <w:p w14:paraId="5D0B27D2" w14:textId="77777777" w:rsidR="00415990" w:rsidRPr="00415990" w:rsidRDefault="00415990" w:rsidP="00415990">
      <w:pPr>
        <w:pStyle w:val="Bibliography"/>
      </w:pPr>
      <w:r w:rsidRPr="00415990">
        <w:t xml:space="preserve">Lee, S. W. (2023). Kaplan-Meier and Cox proportional hazards regression in survival analysis: Statistical standard and guideline of Life Cycle Committee. </w:t>
      </w:r>
      <w:r w:rsidRPr="00415990">
        <w:rPr>
          <w:i/>
          <w:iCs/>
        </w:rPr>
        <w:t>Life Cycle</w:t>
      </w:r>
      <w:r w:rsidRPr="00415990">
        <w:t xml:space="preserve">, </w:t>
      </w:r>
      <w:r w:rsidRPr="00415990">
        <w:rPr>
          <w:i/>
          <w:iCs/>
        </w:rPr>
        <w:t>3</w:t>
      </w:r>
      <w:r w:rsidRPr="00415990">
        <w:t>, e8. https://doi.org/10.54724/lc.2023.e8</w:t>
      </w:r>
    </w:p>
    <w:p w14:paraId="100391BD" w14:textId="77777777" w:rsidR="00415990" w:rsidRPr="00415990" w:rsidRDefault="00415990" w:rsidP="00415990">
      <w:pPr>
        <w:pStyle w:val="Bibliography"/>
      </w:pPr>
      <w:r w:rsidRPr="00415990">
        <w:t xml:space="preserve">Li, A. Y., &amp; Hu, X. (2025). Goodbye Performance-Based Funding: Policy Abandonment of Performance Funding for Higher Education in the United States. </w:t>
      </w:r>
      <w:r w:rsidRPr="00415990">
        <w:rPr>
          <w:i/>
          <w:iCs/>
        </w:rPr>
        <w:t>Research in Higher Education</w:t>
      </w:r>
      <w:r w:rsidRPr="00415990">
        <w:t xml:space="preserve">, </w:t>
      </w:r>
      <w:r w:rsidRPr="00415990">
        <w:rPr>
          <w:i/>
          <w:iCs/>
        </w:rPr>
        <w:t>66</w:t>
      </w:r>
      <w:r w:rsidRPr="00415990">
        <w:t>(1), 8. https://doi.org/10.1007/s11162-024-09828-0</w:t>
      </w:r>
    </w:p>
    <w:p w14:paraId="73FAA918" w14:textId="77777777" w:rsidR="00415990" w:rsidRPr="00415990" w:rsidRDefault="00415990" w:rsidP="00415990">
      <w:pPr>
        <w:pStyle w:val="Bibliography"/>
      </w:pPr>
      <w:r w:rsidRPr="00415990">
        <w:t xml:space="preserve">Padgett, R. N., Le Pertel, N., Hinton, C., Kettler, T., Ho, A. D., Chen, Y., Bradshaw, M., Johnson, B. R., &amp; VanderWeele, T. J. (2025). A cross-national analysis of sociodemographic variation in educational attainment. </w:t>
      </w:r>
      <w:r w:rsidRPr="00415990">
        <w:rPr>
          <w:i/>
          <w:iCs/>
        </w:rPr>
        <w:t>Scientific Reports</w:t>
      </w:r>
      <w:r w:rsidRPr="00415990">
        <w:t xml:space="preserve">, </w:t>
      </w:r>
      <w:r w:rsidRPr="00415990">
        <w:rPr>
          <w:i/>
          <w:iCs/>
        </w:rPr>
        <w:t>15</w:t>
      </w:r>
      <w:r w:rsidRPr="00415990">
        <w:t>(1). https://doi.org/10.1038/s41598-025-87406-9</w:t>
      </w:r>
    </w:p>
    <w:p w14:paraId="7235E8B7" w14:textId="77777777" w:rsidR="00415990" w:rsidRPr="00415990" w:rsidRDefault="00415990" w:rsidP="00415990">
      <w:pPr>
        <w:pStyle w:val="Bibliography"/>
      </w:pPr>
      <w:r w:rsidRPr="00415990">
        <w:t xml:space="preserve">Pusztai, G., Fényes, H., &amp; Kovács, K. (2022). Factors Influencing the Chance of Dropout or Being at Risk of Dropout in Higher Education. </w:t>
      </w:r>
      <w:r w:rsidRPr="00415990">
        <w:rPr>
          <w:i/>
          <w:iCs/>
        </w:rPr>
        <w:t>Education Sciences</w:t>
      </w:r>
      <w:r w:rsidRPr="00415990">
        <w:t xml:space="preserve">, </w:t>
      </w:r>
      <w:r w:rsidRPr="00415990">
        <w:rPr>
          <w:i/>
          <w:iCs/>
        </w:rPr>
        <w:t>12</w:t>
      </w:r>
      <w:r w:rsidRPr="00415990">
        <w:t>(11), 804. https://doi.org/10.3390/educsci12110804</w:t>
      </w:r>
    </w:p>
    <w:p w14:paraId="192D9D02" w14:textId="77777777" w:rsidR="00415990" w:rsidRPr="00415990" w:rsidRDefault="00415990" w:rsidP="00415990">
      <w:pPr>
        <w:pStyle w:val="Bibliography"/>
      </w:pPr>
      <w:r w:rsidRPr="00415990">
        <w:t xml:space="preserve">Ressa, T., &amp; Andrews, A. (2022). HIGH SCHOOL DROPOUT DILEMMA IN AMERICA AND THE IMPORTANCE OF REFORMATION OF EDUCATION SYSTEMS TO EMPOWER </w:t>
      </w:r>
      <w:r w:rsidRPr="00415990">
        <w:lastRenderedPageBreak/>
        <w:t xml:space="preserve">ALL STUDENTS. </w:t>
      </w:r>
      <w:r w:rsidRPr="00415990">
        <w:rPr>
          <w:i/>
          <w:iCs/>
        </w:rPr>
        <w:t>International Journal of Modern Education Studies</w:t>
      </w:r>
      <w:r w:rsidRPr="00415990">
        <w:t xml:space="preserve">, </w:t>
      </w:r>
      <w:r w:rsidRPr="00415990">
        <w:rPr>
          <w:i/>
          <w:iCs/>
        </w:rPr>
        <w:t>6</w:t>
      </w:r>
      <w:r w:rsidRPr="00415990">
        <w:t>(2). https://doi.org/10.51383/ijonmes.2022.234</w:t>
      </w:r>
    </w:p>
    <w:p w14:paraId="05ED1831" w14:textId="77777777" w:rsidR="00415990" w:rsidRPr="00415990" w:rsidRDefault="00415990" w:rsidP="00415990">
      <w:pPr>
        <w:pStyle w:val="Bibliography"/>
      </w:pPr>
      <w:r w:rsidRPr="00415990">
        <w:t>Schmid, M., &amp; Berger, M. (2021). Competing risks analysis for discrete time</w:t>
      </w:r>
      <w:r w:rsidRPr="00415990">
        <w:rPr>
          <w:rFonts w:ascii="Cambria Math" w:hAnsi="Cambria Math" w:cs="Cambria Math"/>
        </w:rPr>
        <w:t>‐</w:t>
      </w:r>
      <w:r w:rsidRPr="00415990">
        <w:t>to</w:t>
      </w:r>
      <w:r w:rsidRPr="00415990">
        <w:rPr>
          <w:rFonts w:ascii="Cambria Math" w:hAnsi="Cambria Math" w:cs="Cambria Math"/>
        </w:rPr>
        <w:t>‐</w:t>
      </w:r>
      <w:r w:rsidRPr="00415990">
        <w:t xml:space="preserve">event data. </w:t>
      </w:r>
      <w:r w:rsidRPr="00415990">
        <w:rPr>
          <w:i/>
          <w:iCs/>
        </w:rPr>
        <w:t>WIREs Computational Statistics</w:t>
      </w:r>
      <w:r w:rsidRPr="00415990">
        <w:t xml:space="preserve">, </w:t>
      </w:r>
      <w:r w:rsidRPr="00415990">
        <w:rPr>
          <w:i/>
          <w:iCs/>
        </w:rPr>
        <w:t>13</w:t>
      </w:r>
      <w:r w:rsidRPr="00415990">
        <w:t>(5), e1529. https://doi.org/10.1002/wics.1529</w:t>
      </w:r>
    </w:p>
    <w:p w14:paraId="73C5C7B2" w14:textId="77777777" w:rsidR="00415990" w:rsidRPr="00415990" w:rsidRDefault="00415990" w:rsidP="00415990">
      <w:pPr>
        <w:pStyle w:val="Bibliography"/>
      </w:pPr>
      <w:r w:rsidRPr="00415990">
        <w:t xml:space="preserve">Shiferaw, M., O’Hagan, K. G., &amp; Weinstein, M. (2025). Staying Put: Positive Spillovers on Teacher Retention From a Middle School Science Initiative. </w:t>
      </w:r>
      <w:r w:rsidRPr="00415990">
        <w:rPr>
          <w:i/>
          <w:iCs/>
        </w:rPr>
        <w:t>Education and Urban Society</w:t>
      </w:r>
      <w:r w:rsidRPr="00415990">
        <w:t xml:space="preserve">, </w:t>
      </w:r>
      <w:r w:rsidRPr="00415990">
        <w:rPr>
          <w:i/>
          <w:iCs/>
        </w:rPr>
        <w:t>57</w:t>
      </w:r>
      <w:r w:rsidRPr="00415990">
        <w:t>(5), 462–486. https://doi.org/10.1177/00131245251315180</w:t>
      </w:r>
    </w:p>
    <w:p w14:paraId="058AE4D7" w14:textId="77777777" w:rsidR="00415990" w:rsidRPr="00415990" w:rsidRDefault="00415990" w:rsidP="00415990">
      <w:pPr>
        <w:pStyle w:val="Bibliography"/>
      </w:pPr>
      <w:r w:rsidRPr="00415990">
        <w:t xml:space="preserve">Wild, S., &amp; Schulze Heuling, L. (2020). Student dropout and retention: An event history analysis among students in cooperative higher education. </w:t>
      </w:r>
      <w:r w:rsidRPr="00415990">
        <w:rPr>
          <w:i/>
          <w:iCs/>
        </w:rPr>
        <w:t>International Journal of Educational Research</w:t>
      </w:r>
      <w:r w:rsidRPr="00415990">
        <w:t xml:space="preserve">, </w:t>
      </w:r>
      <w:r w:rsidRPr="00415990">
        <w:rPr>
          <w:i/>
          <w:iCs/>
        </w:rPr>
        <w:t>104</w:t>
      </w:r>
      <w:r w:rsidRPr="00415990">
        <w:t>, 101687. https://doi.org/10.1016/j.ijer.2020.101687</w:t>
      </w:r>
    </w:p>
    <w:p w14:paraId="3C79B23F" w14:textId="77777777" w:rsidR="00415990" w:rsidRPr="00415990" w:rsidRDefault="00415990" w:rsidP="00415990">
      <w:pPr>
        <w:pStyle w:val="Bibliography"/>
      </w:pPr>
      <w:r w:rsidRPr="00415990">
        <w:t xml:space="preserve">Willett, J. B., &amp; Singer, J. D. (1991). From Whether to When: New Methods for Studying Student Dropout and Teacher Attrition. </w:t>
      </w:r>
      <w:r w:rsidRPr="00415990">
        <w:rPr>
          <w:i/>
          <w:iCs/>
        </w:rPr>
        <w:t>Review of Educational Research</w:t>
      </w:r>
      <w:r w:rsidRPr="00415990">
        <w:t xml:space="preserve">, </w:t>
      </w:r>
      <w:r w:rsidRPr="00415990">
        <w:rPr>
          <w:i/>
          <w:iCs/>
        </w:rPr>
        <w:t>61</w:t>
      </w:r>
      <w:r w:rsidRPr="00415990">
        <w:t>(4), 407–450. https://doi.org/10.3102/00346543061004407</w:t>
      </w:r>
    </w:p>
    <w:p w14:paraId="4A7A1D33" w14:textId="3AF99D6B" w:rsidR="00FD76BB" w:rsidRPr="00FD76BB" w:rsidRDefault="00FD76BB" w:rsidP="00FD76BB">
      <w:r>
        <w:fldChar w:fldCharType="end"/>
      </w:r>
    </w:p>
    <w:p w14:paraId="7358C9BC" w14:textId="25242D60" w:rsidR="000D2592" w:rsidRDefault="000D2592" w:rsidP="003B00A0">
      <w:pPr>
        <w:pStyle w:val="Heading2"/>
      </w:pPr>
      <w:r>
        <w:t>Supplementary files</w:t>
      </w:r>
    </w:p>
    <w:p w14:paraId="2FDC42CB" w14:textId="7E15FEF4" w:rsidR="000B7A9B" w:rsidRPr="000B7A9B" w:rsidRDefault="000B7A9B" w:rsidP="007342C8">
      <w:pPr>
        <w:pStyle w:val="Heading3"/>
      </w:pPr>
      <w:bookmarkStart w:id="4" w:name="_Ref202978672"/>
      <w:r>
        <w:t>Appendix A: Most relevant</w:t>
      </w:r>
      <w:r w:rsidR="004C292A">
        <w:t xml:space="preserve"> 2025</w:t>
      </w:r>
      <w:r>
        <w:t xml:space="preserve"> studies found</w:t>
      </w:r>
      <w:bookmarkEnd w:id="4"/>
    </w:p>
    <w:tbl>
      <w:tblPr>
        <w:tblStyle w:val="TableGrid"/>
        <w:tblW w:w="9252" w:type="dxa"/>
        <w:tblLayout w:type="fixed"/>
        <w:tblLook w:val="04A0" w:firstRow="1" w:lastRow="0" w:firstColumn="1" w:lastColumn="0" w:noHBand="0" w:noVBand="1"/>
      </w:tblPr>
      <w:tblGrid>
        <w:gridCol w:w="1685"/>
        <w:gridCol w:w="1370"/>
        <w:gridCol w:w="1236"/>
        <w:gridCol w:w="1445"/>
        <w:gridCol w:w="1758"/>
        <w:gridCol w:w="1758"/>
      </w:tblGrid>
      <w:tr w:rsidR="00946F47" w14:paraId="189017DA" w14:textId="77777777" w:rsidTr="00D71755">
        <w:tc>
          <w:tcPr>
            <w:tcW w:w="1685" w:type="dxa"/>
          </w:tcPr>
          <w:p w14:paraId="2D947F6B" w14:textId="70907676" w:rsidR="00946F47" w:rsidRDefault="00946F47" w:rsidP="00946F47">
            <w:r w:rsidRPr="00946F47">
              <w:t>Article Title</w:t>
            </w:r>
          </w:p>
        </w:tc>
        <w:tc>
          <w:tcPr>
            <w:tcW w:w="1370" w:type="dxa"/>
          </w:tcPr>
          <w:p w14:paraId="34E908A2" w14:textId="01AEDF8D" w:rsidR="00946F47" w:rsidRDefault="00946F47" w:rsidP="00946F47">
            <w:r>
              <w:t>Authors</w:t>
            </w:r>
          </w:p>
        </w:tc>
        <w:tc>
          <w:tcPr>
            <w:tcW w:w="1236" w:type="dxa"/>
          </w:tcPr>
          <w:p w14:paraId="6AFD03BE" w14:textId="4D4E6DB2" w:rsidR="00946F47" w:rsidRDefault="00946F47" w:rsidP="00946F47">
            <w:r>
              <w:t>Method</w:t>
            </w:r>
          </w:p>
        </w:tc>
        <w:tc>
          <w:tcPr>
            <w:tcW w:w="1445" w:type="dxa"/>
          </w:tcPr>
          <w:p w14:paraId="07858883" w14:textId="46016B67" w:rsidR="00946F47" w:rsidRDefault="00946F47" w:rsidP="00946F47">
            <w:r>
              <w:t>Level</w:t>
            </w:r>
          </w:p>
        </w:tc>
        <w:tc>
          <w:tcPr>
            <w:tcW w:w="1758" w:type="dxa"/>
          </w:tcPr>
          <w:p w14:paraId="28D2C011" w14:textId="103FDDCF" w:rsidR="00946F47" w:rsidRDefault="00946F47" w:rsidP="00946F47">
            <w:r>
              <w:t xml:space="preserve">Key </w:t>
            </w:r>
            <w:r w:rsidR="00463A20">
              <w:t>f</w:t>
            </w:r>
            <w:r>
              <w:t>indings</w:t>
            </w:r>
          </w:p>
        </w:tc>
        <w:tc>
          <w:tcPr>
            <w:tcW w:w="1758" w:type="dxa"/>
          </w:tcPr>
          <w:p w14:paraId="381F01AD" w14:textId="22EC16BF" w:rsidR="00946F47" w:rsidRDefault="00946F47" w:rsidP="00946F47">
            <w:r>
              <w:t>Relevance</w:t>
            </w:r>
          </w:p>
        </w:tc>
      </w:tr>
      <w:tr w:rsidR="00946F47" w14:paraId="13BA885D" w14:textId="77777777" w:rsidTr="00D71755">
        <w:tc>
          <w:tcPr>
            <w:tcW w:w="1685" w:type="dxa"/>
          </w:tcPr>
          <w:p w14:paraId="6AEFBD0A" w14:textId="526C190D" w:rsidR="00946F47" w:rsidRDefault="00946F47" w:rsidP="00946F47">
            <w:r w:rsidRPr="00946F47">
              <w:t xml:space="preserve">Goodbye Performance-Based Funding: Policy Abandonment of Performance Funding for Higher Education in </w:t>
            </w:r>
            <w:r w:rsidRPr="00946F47">
              <w:lastRenderedPageBreak/>
              <w:t>the United States</w:t>
            </w:r>
          </w:p>
        </w:tc>
        <w:tc>
          <w:tcPr>
            <w:tcW w:w="1370" w:type="dxa"/>
          </w:tcPr>
          <w:p w14:paraId="0A342757" w14:textId="3D4DC9A6" w:rsidR="00946F47" w:rsidRDefault="00946F47" w:rsidP="00946F47">
            <w:r w:rsidRPr="00946F47">
              <w:lastRenderedPageBreak/>
              <w:t>Li, A. Y.; Hu, X. D.</w:t>
            </w:r>
          </w:p>
        </w:tc>
        <w:tc>
          <w:tcPr>
            <w:tcW w:w="1236" w:type="dxa"/>
          </w:tcPr>
          <w:p w14:paraId="0DD5EE14" w14:textId="4D076EE2" w:rsidR="00946F47" w:rsidRDefault="00946F47" w:rsidP="00946F47">
            <w:r w:rsidRPr="00946F47">
              <w:t>Dyadic survival analysis</w:t>
            </w:r>
          </w:p>
        </w:tc>
        <w:tc>
          <w:tcPr>
            <w:tcW w:w="1445" w:type="dxa"/>
          </w:tcPr>
          <w:p w14:paraId="631B34F4" w14:textId="374D11A0" w:rsidR="00946F47" w:rsidRDefault="00946F47" w:rsidP="00946F47">
            <w:r w:rsidRPr="00946F47">
              <w:t>Higher education policy</w:t>
            </w:r>
          </w:p>
        </w:tc>
        <w:tc>
          <w:tcPr>
            <w:tcW w:w="1758" w:type="dxa"/>
          </w:tcPr>
          <w:p w14:paraId="25CB5D9E" w14:textId="29F2E53E" w:rsidR="00946F47" w:rsidRDefault="00946F47" w:rsidP="00946F47">
            <w:r w:rsidRPr="00946F47">
              <w:t>PBF discontinuation driven by political imitation, not geography or economics</w:t>
            </w:r>
          </w:p>
        </w:tc>
        <w:tc>
          <w:tcPr>
            <w:tcW w:w="1758" w:type="dxa"/>
          </w:tcPr>
          <w:p w14:paraId="05D33C3C" w14:textId="5F84B5A9" w:rsidR="00946F47" w:rsidRDefault="00946F47" w:rsidP="00946F47">
            <w:r w:rsidRPr="00946F47">
              <w:t>Expands policy diffusion theory to discontinuation</w:t>
            </w:r>
          </w:p>
        </w:tc>
      </w:tr>
      <w:tr w:rsidR="00946F47" w14:paraId="4998BE02" w14:textId="77777777" w:rsidTr="00D71755">
        <w:tc>
          <w:tcPr>
            <w:tcW w:w="1685" w:type="dxa"/>
          </w:tcPr>
          <w:p w14:paraId="760E24F5" w14:textId="5F5CC545" w:rsidR="00946F47" w:rsidRDefault="00946F47" w:rsidP="00946F47">
            <w:r>
              <w:t>An Event History Analysis of the Policy Adoption of the Next Generation Science Standards</w:t>
            </w:r>
          </w:p>
        </w:tc>
        <w:tc>
          <w:tcPr>
            <w:tcW w:w="1370" w:type="dxa"/>
          </w:tcPr>
          <w:p w14:paraId="17ACCEA8" w14:textId="682267D1" w:rsidR="00946F47" w:rsidRDefault="00946F47" w:rsidP="00946F47">
            <w:r w:rsidRPr="00946F47">
              <w:t>Harris-Walls, K.; Curran, F. C.</w:t>
            </w:r>
          </w:p>
        </w:tc>
        <w:tc>
          <w:tcPr>
            <w:tcW w:w="1236" w:type="dxa"/>
          </w:tcPr>
          <w:p w14:paraId="5B80BC0D" w14:textId="00586293" w:rsidR="00946F47" w:rsidRDefault="00946F47" w:rsidP="00946F47">
            <w:r w:rsidRPr="00946F47">
              <w:t>Event history analysis</w:t>
            </w:r>
          </w:p>
        </w:tc>
        <w:tc>
          <w:tcPr>
            <w:tcW w:w="1445" w:type="dxa"/>
          </w:tcPr>
          <w:p w14:paraId="74BB2153" w14:textId="6B8CEC64" w:rsidR="00946F47" w:rsidRDefault="00946F47" w:rsidP="00946F47">
            <w:r w:rsidRPr="00946F47">
              <w:t>K-12 policy</w:t>
            </w:r>
            <w:r w:rsidRPr="00946F47">
              <w:tab/>
            </w:r>
          </w:p>
        </w:tc>
        <w:tc>
          <w:tcPr>
            <w:tcW w:w="1758" w:type="dxa"/>
          </w:tcPr>
          <w:p w14:paraId="49FA6EDA" w14:textId="7AD11F55" w:rsidR="00946F47" w:rsidRDefault="00946F47" w:rsidP="00946F47">
            <w:r w:rsidRPr="00946F47">
              <w:t>Republican-majority legislatures prefer partial NGSS adoption over full adoption</w:t>
            </w:r>
          </w:p>
        </w:tc>
        <w:tc>
          <w:tcPr>
            <w:tcW w:w="1758" w:type="dxa"/>
          </w:tcPr>
          <w:p w14:paraId="277B8B38" w14:textId="60EB2628" w:rsidR="00946F47" w:rsidRDefault="00946F47" w:rsidP="00946F47">
            <w:r w:rsidRPr="00946F47">
              <w:t>Highlights political barriers to standardized reforms.</w:t>
            </w:r>
          </w:p>
        </w:tc>
      </w:tr>
      <w:tr w:rsidR="00946F47" w14:paraId="5E05A16A" w14:textId="77777777" w:rsidTr="00D71755">
        <w:tc>
          <w:tcPr>
            <w:tcW w:w="1685" w:type="dxa"/>
          </w:tcPr>
          <w:p w14:paraId="03BE2454" w14:textId="55FF7806" w:rsidR="00946F47" w:rsidRDefault="00946F47" w:rsidP="00946F47">
            <w:r w:rsidRPr="00946F47">
              <w:t>Overlapping Demographic Backgrounds and Higher Educational Attainment: Measurement and Policy Implicatio</w:t>
            </w:r>
            <w:r>
              <w:t>ns</w:t>
            </w:r>
          </w:p>
        </w:tc>
        <w:tc>
          <w:tcPr>
            <w:tcW w:w="1370" w:type="dxa"/>
          </w:tcPr>
          <w:p w14:paraId="30845693" w14:textId="3F64E6E3" w:rsidR="00946F47" w:rsidRDefault="00946F47" w:rsidP="00946F47">
            <w:r w:rsidRPr="00946F47">
              <w:t>Winograd, G.</w:t>
            </w:r>
          </w:p>
        </w:tc>
        <w:tc>
          <w:tcPr>
            <w:tcW w:w="1236" w:type="dxa"/>
          </w:tcPr>
          <w:p w14:paraId="5FFA17BF" w14:textId="6A609341" w:rsidR="00946F47" w:rsidRDefault="00946F47" w:rsidP="00946F47">
            <w:r w:rsidRPr="00946F47">
              <w:t>Discrete-time survival analysis</w:t>
            </w:r>
            <w:r w:rsidRPr="00946F47">
              <w:tab/>
            </w:r>
          </w:p>
        </w:tc>
        <w:tc>
          <w:tcPr>
            <w:tcW w:w="1445" w:type="dxa"/>
          </w:tcPr>
          <w:p w14:paraId="186DEC21" w14:textId="5431420D" w:rsidR="00946F47" w:rsidRDefault="00946F47" w:rsidP="00946F47">
            <w:r w:rsidRPr="00946F47">
              <w:t>Higher education equity</w:t>
            </w:r>
          </w:p>
        </w:tc>
        <w:tc>
          <w:tcPr>
            <w:tcW w:w="1758" w:type="dxa"/>
          </w:tcPr>
          <w:p w14:paraId="4C087D7D" w14:textId="11106FF3" w:rsidR="00946F47" w:rsidRDefault="00946F47" w:rsidP="00946F47">
            <w:r w:rsidRPr="00946F47">
              <w:t>Students with overlapping disadvantaged backgrounds face lower graduation probabilities</w:t>
            </w:r>
          </w:p>
        </w:tc>
        <w:tc>
          <w:tcPr>
            <w:tcW w:w="1758" w:type="dxa"/>
          </w:tcPr>
          <w:p w14:paraId="7CC2F388" w14:textId="614D283A" w:rsidR="00946F47" w:rsidRDefault="00946F47" w:rsidP="00946F47">
            <w:r w:rsidRPr="00946F47">
              <w:t>Demonstrates utility of intersectional analysis in equity research</w:t>
            </w:r>
          </w:p>
        </w:tc>
      </w:tr>
      <w:tr w:rsidR="00946F47" w14:paraId="6EA30DBD" w14:textId="77777777" w:rsidTr="00D71755">
        <w:tc>
          <w:tcPr>
            <w:tcW w:w="1685" w:type="dxa"/>
          </w:tcPr>
          <w:p w14:paraId="190E46D6" w14:textId="4F0D207E" w:rsidR="00946F47" w:rsidRDefault="00946F47" w:rsidP="00946F47">
            <w:r w:rsidRPr="00946F47">
              <w:t>Prospective assessment of learning curve and impact of intensive versus progressive training in colonoscopy competence among French residents</w:t>
            </w:r>
          </w:p>
        </w:tc>
        <w:tc>
          <w:tcPr>
            <w:tcW w:w="1370" w:type="dxa"/>
          </w:tcPr>
          <w:p w14:paraId="53C045B9" w14:textId="2C0046D8" w:rsidR="00946F47" w:rsidRDefault="00946F47" w:rsidP="00946F47">
            <w:r w:rsidRPr="00946F47">
              <w:t>Wintzer-Wehekind, L.; Moulis, L.; et al.</w:t>
            </w:r>
          </w:p>
        </w:tc>
        <w:tc>
          <w:tcPr>
            <w:tcW w:w="1236" w:type="dxa"/>
          </w:tcPr>
          <w:p w14:paraId="123FBD13" w14:textId="25C60793" w:rsidR="00946F47" w:rsidRDefault="00946F47" w:rsidP="00946F47">
            <w:r w:rsidRPr="00946F47">
              <w:t>Learning Curve-CUSUM analysis</w:t>
            </w:r>
          </w:p>
        </w:tc>
        <w:tc>
          <w:tcPr>
            <w:tcW w:w="1445" w:type="dxa"/>
          </w:tcPr>
          <w:p w14:paraId="324546D6" w14:textId="0FCF0023" w:rsidR="00946F47" w:rsidRDefault="00946F47" w:rsidP="00946F47">
            <w:r w:rsidRPr="00946F47">
              <w:t>Medical training</w:t>
            </w:r>
          </w:p>
        </w:tc>
        <w:tc>
          <w:tcPr>
            <w:tcW w:w="1758" w:type="dxa"/>
          </w:tcPr>
          <w:p w14:paraId="26BB5DC7" w14:textId="528E8EF4" w:rsidR="00946F47" w:rsidRDefault="00946F47" w:rsidP="00946F47">
            <w:r w:rsidRPr="00946F47">
              <w:t>21% of residents achieved colonoscopy competency after 204 procedures.</w:t>
            </w:r>
          </w:p>
        </w:tc>
        <w:tc>
          <w:tcPr>
            <w:tcW w:w="1758" w:type="dxa"/>
          </w:tcPr>
          <w:p w14:paraId="7D09738E" w14:textId="65D4B783" w:rsidR="00946F47" w:rsidRDefault="00946F47" w:rsidP="00946F47">
            <w:r w:rsidRPr="00946F47">
              <w:t>Not relevant (medical focus).</w:t>
            </w:r>
          </w:p>
        </w:tc>
      </w:tr>
      <w:tr w:rsidR="00946F47" w14:paraId="25F87D63" w14:textId="77777777" w:rsidTr="00D71755">
        <w:tc>
          <w:tcPr>
            <w:tcW w:w="1685" w:type="dxa"/>
          </w:tcPr>
          <w:p w14:paraId="0052EEF2" w14:textId="20079F17" w:rsidR="00946F47" w:rsidRDefault="00D71755" w:rsidP="00946F47">
            <w:r w:rsidRPr="00D71755">
              <w:t>Association between SARS-CoV-2 viral load and serum biomarkers with mortality in Mexican patients</w:t>
            </w:r>
          </w:p>
        </w:tc>
        <w:tc>
          <w:tcPr>
            <w:tcW w:w="1370" w:type="dxa"/>
          </w:tcPr>
          <w:p w14:paraId="08A560F5" w14:textId="77EFA3F7" w:rsidR="00946F47" w:rsidRDefault="00D71755" w:rsidP="00946F47">
            <w:r w:rsidRPr="00D71755">
              <w:t>Razo-Blanco-Hernández, D. M.; Hernández-Mariano, J. A.; et al.</w:t>
            </w:r>
          </w:p>
        </w:tc>
        <w:tc>
          <w:tcPr>
            <w:tcW w:w="1236" w:type="dxa"/>
          </w:tcPr>
          <w:p w14:paraId="4B853C78" w14:textId="2EF11A79" w:rsidR="00946F47" w:rsidRDefault="00D71755" w:rsidP="00946F47">
            <w:r w:rsidRPr="00D71755">
              <w:t>Cox regression</w:t>
            </w:r>
          </w:p>
        </w:tc>
        <w:tc>
          <w:tcPr>
            <w:tcW w:w="1445" w:type="dxa"/>
          </w:tcPr>
          <w:p w14:paraId="516DA8EA" w14:textId="58A53CB2" w:rsidR="00946F47" w:rsidRDefault="00D71755" w:rsidP="00946F47">
            <w:r>
              <w:t>Public health</w:t>
            </w:r>
          </w:p>
        </w:tc>
        <w:tc>
          <w:tcPr>
            <w:tcW w:w="1758" w:type="dxa"/>
          </w:tcPr>
          <w:p w14:paraId="76F6080C" w14:textId="56166156" w:rsidR="00946F47" w:rsidRDefault="00D71755" w:rsidP="00946F47">
            <w:r w:rsidRPr="00D71755">
              <w:t>Higher viral load and serum biomarkers (e.g., BUN, glucose) predict COVID-19 mortality.</w:t>
            </w:r>
          </w:p>
        </w:tc>
        <w:tc>
          <w:tcPr>
            <w:tcW w:w="1758" w:type="dxa"/>
          </w:tcPr>
          <w:p w14:paraId="579FBBE7" w14:textId="73E3E788" w:rsidR="00946F47" w:rsidRDefault="00D71755" w:rsidP="00946F47">
            <w:r w:rsidRPr="00D71755">
              <w:t>Not relevant (public health focus).</w:t>
            </w:r>
          </w:p>
        </w:tc>
      </w:tr>
      <w:tr w:rsidR="00D71755" w14:paraId="121DE1B2" w14:textId="77777777" w:rsidTr="00D71755">
        <w:tc>
          <w:tcPr>
            <w:tcW w:w="1685" w:type="dxa"/>
          </w:tcPr>
          <w:p w14:paraId="2A41F77F" w14:textId="3D6D7FEF" w:rsidR="00D71755" w:rsidRDefault="00D71755" w:rsidP="00946F47">
            <w:r w:rsidRPr="00D71755">
              <w:t xml:space="preserve">Staying Put: Positive Spillovers on Teacher </w:t>
            </w:r>
            <w:r w:rsidRPr="00D71755">
              <w:lastRenderedPageBreak/>
              <w:t>Retention From a Middle School Science Initiative</w:t>
            </w:r>
          </w:p>
        </w:tc>
        <w:tc>
          <w:tcPr>
            <w:tcW w:w="1370" w:type="dxa"/>
          </w:tcPr>
          <w:p w14:paraId="3FC07C02" w14:textId="35CCE253" w:rsidR="00D71755" w:rsidRDefault="00D71755" w:rsidP="00946F47">
            <w:r w:rsidRPr="00D71755">
              <w:lastRenderedPageBreak/>
              <w:t xml:space="preserve">Shiferaw, M.; O’Hagan, K. G.; </w:t>
            </w:r>
            <w:r w:rsidRPr="00D71755">
              <w:lastRenderedPageBreak/>
              <w:t>Weinstein, M.</w:t>
            </w:r>
          </w:p>
        </w:tc>
        <w:tc>
          <w:tcPr>
            <w:tcW w:w="1236" w:type="dxa"/>
          </w:tcPr>
          <w:p w14:paraId="56622D65" w14:textId="57FDD698" w:rsidR="00D71755" w:rsidRDefault="00D71755" w:rsidP="00946F47">
            <w:r w:rsidRPr="00D71755">
              <w:lastRenderedPageBreak/>
              <w:t>Discrete-time hazard mode</w:t>
            </w:r>
            <w:r>
              <w:t>l</w:t>
            </w:r>
          </w:p>
        </w:tc>
        <w:tc>
          <w:tcPr>
            <w:tcW w:w="1445" w:type="dxa"/>
          </w:tcPr>
          <w:p w14:paraId="0F745F46" w14:textId="065216F4" w:rsidR="00D71755" w:rsidRDefault="00D71755" w:rsidP="00946F47">
            <w:r w:rsidRPr="00D71755">
              <w:t>K-12 workforce</w:t>
            </w:r>
          </w:p>
        </w:tc>
        <w:tc>
          <w:tcPr>
            <w:tcW w:w="1758" w:type="dxa"/>
          </w:tcPr>
          <w:p w14:paraId="7E77C343" w14:textId="349F23D7" w:rsidR="00D71755" w:rsidRDefault="00D71755" w:rsidP="00946F47">
            <w:r w:rsidRPr="00D71755">
              <w:t xml:space="preserve">UA program reduces teacher turnover by 3.8 </w:t>
            </w:r>
            <w:r w:rsidRPr="00D71755">
              <w:lastRenderedPageBreak/>
              <w:t>percentage points.</w:t>
            </w:r>
          </w:p>
        </w:tc>
        <w:tc>
          <w:tcPr>
            <w:tcW w:w="1758" w:type="dxa"/>
          </w:tcPr>
          <w:p w14:paraId="538AE271" w14:textId="008208C6" w:rsidR="00D71755" w:rsidRDefault="00D71755" w:rsidP="00946F47">
            <w:r w:rsidRPr="00D71755">
              <w:lastRenderedPageBreak/>
              <w:t xml:space="preserve">Links professional development to retention; </w:t>
            </w:r>
            <w:r w:rsidRPr="00D71755">
              <w:lastRenderedPageBreak/>
              <w:t>aligns with attrition literature.</w:t>
            </w:r>
          </w:p>
        </w:tc>
      </w:tr>
      <w:tr w:rsidR="00D71755" w14:paraId="2AE2E7B7" w14:textId="77777777" w:rsidTr="00D71755">
        <w:tc>
          <w:tcPr>
            <w:tcW w:w="1685" w:type="dxa"/>
          </w:tcPr>
          <w:p w14:paraId="546D5757" w14:textId="7C4EC3DB" w:rsidR="00D71755" w:rsidRDefault="00D71755" w:rsidP="00946F47">
            <w:r w:rsidRPr="00D71755">
              <w:lastRenderedPageBreak/>
              <w:t>Tech Equity: A Survival Analysis of an Undergraduate Computer Science Supplemental Education Program</w:t>
            </w:r>
          </w:p>
        </w:tc>
        <w:tc>
          <w:tcPr>
            <w:tcW w:w="1370" w:type="dxa"/>
          </w:tcPr>
          <w:p w14:paraId="01BC790E" w14:textId="3EFCAC43" w:rsidR="00D71755" w:rsidRDefault="00D71755" w:rsidP="00946F47">
            <w:r w:rsidRPr="00D71755">
              <w:t>Creps, R.; Islem, S.; et al.</w:t>
            </w:r>
          </w:p>
        </w:tc>
        <w:tc>
          <w:tcPr>
            <w:tcW w:w="1236" w:type="dxa"/>
          </w:tcPr>
          <w:p w14:paraId="367CB666" w14:textId="62B91F39" w:rsidR="00D71755" w:rsidRDefault="00D71755" w:rsidP="00946F47">
            <w:r w:rsidRPr="00D71755">
              <w:t>Survival analysis</w:t>
            </w:r>
          </w:p>
        </w:tc>
        <w:tc>
          <w:tcPr>
            <w:tcW w:w="1445" w:type="dxa"/>
          </w:tcPr>
          <w:p w14:paraId="696E3641" w14:textId="5C6F8B20" w:rsidR="00D71755" w:rsidRDefault="00D71755" w:rsidP="00946F47">
            <w:r w:rsidRPr="00D71755">
              <w:t>Higher education (CS)</w:t>
            </w:r>
          </w:p>
        </w:tc>
        <w:tc>
          <w:tcPr>
            <w:tcW w:w="1758" w:type="dxa"/>
          </w:tcPr>
          <w:p w14:paraId="44244C3B" w14:textId="47C197EA" w:rsidR="00D71755" w:rsidRDefault="00D71755" w:rsidP="00946F47">
            <w:r w:rsidRPr="00D71755">
              <w:t>Racial/gender disparities persist, but credit-bearing courses improve completion.</w:t>
            </w:r>
          </w:p>
        </w:tc>
        <w:tc>
          <w:tcPr>
            <w:tcW w:w="1758" w:type="dxa"/>
          </w:tcPr>
          <w:p w14:paraId="3F8D4D7F" w14:textId="62E92E9A" w:rsidR="00D71755" w:rsidRDefault="00D71755" w:rsidP="00946F47">
            <w:r w:rsidRPr="00D71755">
              <w:t>Highlights equity gaps in STEM interventions.</w:t>
            </w:r>
          </w:p>
        </w:tc>
      </w:tr>
      <w:tr w:rsidR="00D71755" w14:paraId="59777BBB" w14:textId="77777777" w:rsidTr="00D71755">
        <w:tc>
          <w:tcPr>
            <w:tcW w:w="1685" w:type="dxa"/>
          </w:tcPr>
          <w:p w14:paraId="6A587291" w14:textId="140F9C47" w:rsidR="00D71755" w:rsidRPr="00D71755" w:rsidRDefault="00D71755" w:rsidP="00946F47">
            <w:r w:rsidRPr="00D71755">
              <w:t>Is Admission Enough? University Persistence of Students Admitted Through Affirmative Action Policies in Chile</w:t>
            </w:r>
          </w:p>
        </w:tc>
        <w:tc>
          <w:tcPr>
            <w:tcW w:w="1370" w:type="dxa"/>
          </w:tcPr>
          <w:p w14:paraId="5E3013B8" w14:textId="627C4418" w:rsidR="00D71755" w:rsidRPr="00D71755" w:rsidRDefault="00D71755" w:rsidP="00946F47">
            <w:r w:rsidRPr="00D71755">
              <w:t>Corradi, B.; Espinosa, D.; et al.</w:t>
            </w:r>
          </w:p>
        </w:tc>
        <w:tc>
          <w:tcPr>
            <w:tcW w:w="1236" w:type="dxa"/>
          </w:tcPr>
          <w:p w14:paraId="75715B06" w14:textId="368BA2A3" w:rsidR="00D71755" w:rsidRPr="00D71755" w:rsidRDefault="00220735" w:rsidP="00946F47">
            <w:r w:rsidRPr="00220735">
              <w:t>Multilevel discrete-time survival model</w:t>
            </w:r>
          </w:p>
        </w:tc>
        <w:tc>
          <w:tcPr>
            <w:tcW w:w="1445" w:type="dxa"/>
          </w:tcPr>
          <w:p w14:paraId="18BDE593" w14:textId="7830130B" w:rsidR="00D71755" w:rsidRPr="00D71755" w:rsidRDefault="00220735" w:rsidP="00946F47">
            <w:r w:rsidRPr="00220735">
              <w:t>Higher education equity</w:t>
            </w:r>
          </w:p>
        </w:tc>
        <w:tc>
          <w:tcPr>
            <w:tcW w:w="1758" w:type="dxa"/>
          </w:tcPr>
          <w:p w14:paraId="481CFD90" w14:textId="1001AC95" w:rsidR="00D71755" w:rsidRPr="00D71755" w:rsidRDefault="00220735" w:rsidP="00946F47">
            <w:r w:rsidRPr="00220735">
              <w:t>Affirmative action admits face higher dropout, independent of grades.</w:t>
            </w:r>
          </w:p>
        </w:tc>
        <w:tc>
          <w:tcPr>
            <w:tcW w:w="1758" w:type="dxa"/>
          </w:tcPr>
          <w:p w14:paraId="1B3849E4" w14:textId="194EBCD5" w:rsidR="00D71755" w:rsidRPr="00D71755" w:rsidRDefault="00220735" w:rsidP="00946F47">
            <w:r w:rsidRPr="00220735">
              <w:t>Critical for equity policy evaluation.</w:t>
            </w:r>
          </w:p>
        </w:tc>
      </w:tr>
      <w:tr w:rsidR="00D71755" w14:paraId="60B11F22" w14:textId="77777777" w:rsidTr="00D71755">
        <w:tc>
          <w:tcPr>
            <w:tcW w:w="1685" w:type="dxa"/>
          </w:tcPr>
          <w:p w14:paraId="435699BC" w14:textId="5B365007" w:rsidR="00D71755" w:rsidRPr="00D71755" w:rsidRDefault="00220735" w:rsidP="00946F47">
            <w:r w:rsidRPr="00220735">
              <w:t>A longitudinal study of Head Start teacher turnover trends and factors</w:t>
            </w:r>
          </w:p>
        </w:tc>
        <w:tc>
          <w:tcPr>
            <w:tcW w:w="1370" w:type="dxa"/>
          </w:tcPr>
          <w:p w14:paraId="6C54AA92" w14:textId="13C97713" w:rsidR="00D71755" w:rsidRPr="00D71755" w:rsidRDefault="00220735" w:rsidP="00946F47">
            <w:r w:rsidRPr="00220735">
              <w:t>Kwon, K. A.; Jang, W.; et al.</w:t>
            </w:r>
          </w:p>
        </w:tc>
        <w:tc>
          <w:tcPr>
            <w:tcW w:w="1236" w:type="dxa"/>
          </w:tcPr>
          <w:p w14:paraId="072084C0" w14:textId="00A29E01" w:rsidR="00D71755" w:rsidRPr="00D71755" w:rsidRDefault="00220735" w:rsidP="00946F47">
            <w:r w:rsidRPr="00220735">
              <w:t>Multilevel survival analysis</w:t>
            </w:r>
          </w:p>
        </w:tc>
        <w:tc>
          <w:tcPr>
            <w:tcW w:w="1445" w:type="dxa"/>
          </w:tcPr>
          <w:p w14:paraId="059167D6" w14:textId="60B3261B" w:rsidR="00D71755" w:rsidRPr="00D71755" w:rsidRDefault="00220735" w:rsidP="00946F47">
            <w:r w:rsidRPr="00220735">
              <w:t>Early childhood educatio</w:t>
            </w:r>
            <w:r>
              <w:t>n</w:t>
            </w:r>
          </w:p>
        </w:tc>
        <w:tc>
          <w:tcPr>
            <w:tcW w:w="1758" w:type="dxa"/>
          </w:tcPr>
          <w:p w14:paraId="3649250E" w14:textId="7E8E51ED" w:rsidR="00D71755" w:rsidRPr="00D71755" w:rsidRDefault="00220735" w:rsidP="00946F47">
            <w:r w:rsidRPr="00220735">
              <w:t>Higher education and depressive symptoms increase turnover risk.</w:t>
            </w:r>
          </w:p>
        </w:tc>
        <w:tc>
          <w:tcPr>
            <w:tcW w:w="1758" w:type="dxa"/>
          </w:tcPr>
          <w:p w14:paraId="2F1F5949" w14:textId="708A56E0" w:rsidR="00D71755" w:rsidRPr="00D71755" w:rsidRDefault="00220735" w:rsidP="00946F47">
            <w:r w:rsidRPr="00220735">
              <w:t>Extends survival analysis to early childhood workforce.</w:t>
            </w:r>
          </w:p>
        </w:tc>
      </w:tr>
      <w:tr w:rsidR="00D71755" w14:paraId="08877437" w14:textId="77777777" w:rsidTr="00D71755">
        <w:tc>
          <w:tcPr>
            <w:tcW w:w="1685" w:type="dxa"/>
          </w:tcPr>
          <w:p w14:paraId="7D426D62" w14:textId="47A8B5A9" w:rsidR="00D71755" w:rsidRPr="00D71755" w:rsidRDefault="00220735" w:rsidP="00946F47">
            <w:r w:rsidRPr="00220735">
              <w:t>Fleeing School Choice? Resident Student Exit from Suburban School Districts</w:t>
            </w:r>
          </w:p>
        </w:tc>
        <w:tc>
          <w:tcPr>
            <w:tcW w:w="1370" w:type="dxa"/>
          </w:tcPr>
          <w:p w14:paraId="786B4342" w14:textId="44287575" w:rsidR="00D71755" w:rsidRPr="00D71755" w:rsidRDefault="00220735" w:rsidP="00946F47">
            <w:r w:rsidRPr="00220735">
              <w:t>Lenhoff, S. W.; Pogodzinski, B.; et al.</w:t>
            </w:r>
          </w:p>
        </w:tc>
        <w:tc>
          <w:tcPr>
            <w:tcW w:w="1236" w:type="dxa"/>
          </w:tcPr>
          <w:p w14:paraId="46002227" w14:textId="732AFCD6" w:rsidR="00D71755" w:rsidRPr="00D71755" w:rsidRDefault="00220735" w:rsidP="00946F47">
            <w:r w:rsidRPr="00220735">
              <w:t>Multilevel discrete-time survival analysis</w:t>
            </w:r>
          </w:p>
        </w:tc>
        <w:tc>
          <w:tcPr>
            <w:tcW w:w="1445" w:type="dxa"/>
          </w:tcPr>
          <w:p w14:paraId="0E2B10A8" w14:textId="27F3408B" w:rsidR="00D71755" w:rsidRPr="00D71755" w:rsidRDefault="00220735" w:rsidP="00946F47">
            <w:r w:rsidRPr="00220735">
              <w:t>K-12 policy</w:t>
            </w:r>
          </w:p>
        </w:tc>
        <w:tc>
          <w:tcPr>
            <w:tcW w:w="1758" w:type="dxa"/>
          </w:tcPr>
          <w:p w14:paraId="252AB262" w14:textId="46A0E104" w:rsidR="00D71755" w:rsidRPr="00D71755" w:rsidRDefault="00220735" w:rsidP="00946F47">
            <w:r w:rsidRPr="00220735">
              <w:t>Rising Black/nonresident enrollment predicts resident student exit via choice</w:t>
            </w:r>
            <w:r>
              <w:t>.</w:t>
            </w:r>
          </w:p>
        </w:tc>
        <w:tc>
          <w:tcPr>
            <w:tcW w:w="1758" w:type="dxa"/>
          </w:tcPr>
          <w:p w14:paraId="720A19AA" w14:textId="6AA20268" w:rsidR="00D71755" w:rsidRPr="00D71755" w:rsidRDefault="00220735" w:rsidP="00946F47">
            <w:r w:rsidRPr="00220735">
              <w:t>Reveals racialized dynamics of school choice policies.</w:t>
            </w:r>
          </w:p>
        </w:tc>
      </w:tr>
    </w:tbl>
    <w:p w14:paraId="74D649FF" w14:textId="644351A1" w:rsidR="000D2592" w:rsidRDefault="000D2592" w:rsidP="00220735"/>
    <w:p w14:paraId="6FECA18F" w14:textId="634FB50F" w:rsidR="007B4071" w:rsidRDefault="007342C8" w:rsidP="007342C8">
      <w:pPr>
        <w:pStyle w:val="Heading3"/>
      </w:pPr>
      <w:bookmarkStart w:id="5" w:name="_Ref202978711"/>
      <w:r>
        <w:t xml:space="preserve">Appendix B: </w:t>
      </w:r>
      <w:r w:rsidR="001109A8" w:rsidRPr="001109A8">
        <w:t>Regular Expressions Used for Method and Success Keyword Detection</w:t>
      </w:r>
      <w:bookmarkEnd w:id="5"/>
    </w:p>
    <w:tbl>
      <w:tblPr>
        <w:tblStyle w:val="TableGrid"/>
        <w:tblW w:w="0" w:type="auto"/>
        <w:tblLook w:val="04A0" w:firstRow="1" w:lastRow="0" w:firstColumn="1" w:lastColumn="0" w:noHBand="0" w:noVBand="1"/>
      </w:tblPr>
      <w:tblGrid>
        <w:gridCol w:w="2442"/>
        <w:gridCol w:w="6574"/>
      </w:tblGrid>
      <w:tr w:rsidR="001109A8" w:rsidRPr="001109A8" w14:paraId="715E43C0" w14:textId="77777777" w:rsidTr="001109A8">
        <w:tc>
          <w:tcPr>
            <w:tcW w:w="0" w:type="auto"/>
            <w:hideMark/>
          </w:tcPr>
          <w:p w14:paraId="3724B856" w14:textId="77777777" w:rsidR="001109A8" w:rsidRPr="001109A8" w:rsidRDefault="001109A8" w:rsidP="001109A8">
            <w:pPr>
              <w:spacing w:after="160" w:line="278" w:lineRule="auto"/>
              <w:rPr>
                <w:b/>
                <w:bCs/>
              </w:rPr>
            </w:pPr>
            <w:r w:rsidRPr="001109A8">
              <w:rPr>
                <w:b/>
                <w:bCs/>
              </w:rPr>
              <w:t>Method</w:t>
            </w:r>
          </w:p>
        </w:tc>
        <w:tc>
          <w:tcPr>
            <w:tcW w:w="0" w:type="auto"/>
            <w:hideMark/>
          </w:tcPr>
          <w:p w14:paraId="16C07BE8" w14:textId="77777777" w:rsidR="001109A8" w:rsidRPr="001109A8" w:rsidRDefault="001109A8" w:rsidP="001109A8">
            <w:pPr>
              <w:spacing w:after="160" w:line="278" w:lineRule="auto"/>
              <w:rPr>
                <w:b/>
                <w:bCs/>
              </w:rPr>
            </w:pPr>
            <w:r w:rsidRPr="001109A8">
              <w:rPr>
                <w:b/>
                <w:bCs/>
              </w:rPr>
              <w:t>Search Terms / Patterns</w:t>
            </w:r>
          </w:p>
        </w:tc>
      </w:tr>
      <w:tr w:rsidR="001109A8" w:rsidRPr="001109A8" w14:paraId="2191ABBC" w14:textId="77777777" w:rsidTr="001109A8">
        <w:tc>
          <w:tcPr>
            <w:tcW w:w="0" w:type="auto"/>
            <w:hideMark/>
          </w:tcPr>
          <w:p w14:paraId="485A2019" w14:textId="77777777" w:rsidR="001109A8" w:rsidRPr="001109A8" w:rsidRDefault="001109A8" w:rsidP="001109A8">
            <w:pPr>
              <w:spacing w:after="160" w:line="278" w:lineRule="auto"/>
            </w:pPr>
            <w:r w:rsidRPr="001109A8">
              <w:lastRenderedPageBreak/>
              <w:t>Kaplan-Meier</w:t>
            </w:r>
          </w:p>
        </w:tc>
        <w:tc>
          <w:tcPr>
            <w:tcW w:w="0" w:type="auto"/>
            <w:hideMark/>
          </w:tcPr>
          <w:p w14:paraId="448E48F5" w14:textId="77777777" w:rsidR="001109A8" w:rsidRPr="001109A8" w:rsidRDefault="001109A8" w:rsidP="001109A8">
            <w:pPr>
              <w:spacing w:after="160" w:line="278" w:lineRule="auto"/>
            </w:pPr>
            <w:r w:rsidRPr="001109A8">
              <w:t>"kaplan[- ]meier", "km curve"</w:t>
            </w:r>
          </w:p>
        </w:tc>
      </w:tr>
      <w:tr w:rsidR="001109A8" w:rsidRPr="001109A8" w14:paraId="0F4BC47D" w14:textId="77777777" w:rsidTr="001109A8">
        <w:tc>
          <w:tcPr>
            <w:tcW w:w="0" w:type="auto"/>
            <w:hideMark/>
          </w:tcPr>
          <w:p w14:paraId="6C75FEC5" w14:textId="77777777" w:rsidR="001109A8" w:rsidRPr="001109A8" w:rsidRDefault="001109A8" w:rsidP="001109A8">
            <w:pPr>
              <w:spacing w:after="160" w:line="278" w:lineRule="auto"/>
            </w:pPr>
            <w:r w:rsidRPr="001109A8">
              <w:t>Cox Proportional Hazards</w:t>
            </w:r>
          </w:p>
        </w:tc>
        <w:tc>
          <w:tcPr>
            <w:tcW w:w="0" w:type="auto"/>
            <w:hideMark/>
          </w:tcPr>
          <w:p w14:paraId="05BBC39B" w14:textId="77777777" w:rsidR="001109A8" w:rsidRPr="001109A8" w:rsidRDefault="001109A8" w:rsidP="001109A8">
            <w:pPr>
              <w:spacing w:after="160" w:line="278" w:lineRule="auto"/>
            </w:pPr>
            <w:r w:rsidRPr="001109A8">
              <w:t>"cox proportional hazards", "cox regression", "cox model"</w:t>
            </w:r>
          </w:p>
        </w:tc>
      </w:tr>
      <w:tr w:rsidR="001109A8" w:rsidRPr="001109A8" w14:paraId="64DEDAB7" w14:textId="77777777" w:rsidTr="001109A8">
        <w:tc>
          <w:tcPr>
            <w:tcW w:w="0" w:type="auto"/>
            <w:hideMark/>
          </w:tcPr>
          <w:p w14:paraId="68BDA535" w14:textId="77777777" w:rsidR="001109A8" w:rsidRPr="001109A8" w:rsidRDefault="001109A8" w:rsidP="001109A8">
            <w:pPr>
              <w:spacing w:after="160" w:line="278" w:lineRule="auto"/>
            </w:pPr>
            <w:r w:rsidRPr="001109A8">
              <w:t>Discrete-Time Survival</w:t>
            </w:r>
          </w:p>
        </w:tc>
        <w:tc>
          <w:tcPr>
            <w:tcW w:w="0" w:type="auto"/>
            <w:hideMark/>
          </w:tcPr>
          <w:p w14:paraId="4E77CC21" w14:textId="77777777" w:rsidR="001109A8" w:rsidRPr="001109A8" w:rsidRDefault="001109A8" w:rsidP="001109A8">
            <w:pPr>
              <w:spacing w:after="160" w:line="278" w:lineRule="auto"/>
            </w:pPr>
            <w:r w:rsidRPr="001109A8">
              <w:t>"discrete[- ]time survival", "logistic hazard"</w:t>
            </w:r>
          </w:p>
        </w:tc>
      </w:tr>
      <w:tr w:rsidR="001109A8" w:rsidRPr="001109A8" w14:paraId="36368F42" w14:textId="77777777" w:rsidTr="001109A8">
        <w:tc>
          <w:tcPr>
            <w:tcW w:w="0" w:type="auto"/>
            <w:hideMark/>
          </w:tcPr>
          <w:p w14:paraId="54797852" w14:textId="77777777" w:rsidR="001109A8" w:rsidRPr="001109A8" w:rsidRDefault="001109A8" w:rsidP="001109A8">
            <w:pPr>
              <w:spacing w:after="160" w:line="278" w:lineRule="auto"/>
            </w:pPr>
            <w:r w:rsidRPr="001109A8">
              <w:t>Competing Risks</w:t>
            </w:r>
          </w:p>
        </w:tc>
        <w:tc>
          <w:tcPr>
            <w:tcW w:w="0" w:type="auto"/>
            <w:hideMark/>
          </w:tcPr>
          <w:p w14:paraId="5309B376" w14:textId="77777777" w:rsidR="001109A8" w:rsidRPr="001109A8" w:rsidRDefault="001109A8" w:rsidP="001109A8">
            <w:pPr>
              <w:spacing w:after="160" w:line="278" w:lineRule="auto"/>
            </w:pPr>
            <w:r w:rsidRPr="001109A8">
              <w:t>"competing risks", "cause[- ]specific hazard"</w:t>
            </w:r>
          </w:p>
        </w:tc>
      </w:tr>
      <w:tr w:rsidR="001109A8" w:rsidRPr="001109A8" w14:paraId="5FE890EB" w14:textId="77777777" w:rsidTr="001109A8">
        <w:tc>
          <w:tcPr>
            <w:tcW w:w="0" w:type="auto"/>
            <w:hideMark/>
          </w:tcPr>
          <w:p w14:paraId="6622A533" w14:textId="77777777" w:rsidR="001109A8" w:rsidRPr="001109A8" w:rsidRDefault="001109A8" w:rsidP="001109A8">
            <w:pPr>
              <w:spacing w:after="160" w:line="278" w:lineRule="auto"/>
            </w:pPr>
            <w:r w:rsidRPr="001109A8">
              <w:t>Event History Analysis</w:t>
            </w:r>
          </w:p>
        </w:tc>
        <w:tc>
          <w:tcPr>
            <w:tcW w:w="0" w:type="auto"/>
            <w:hideMark/>
          </w:tcPr>
          <w:p w14:paraId="5A2887A4" w14:textId="77777777" w:rsidR="001109A8" w:rsidRPr="001109A8" w:rsidRDefault="001109A8" w:rsidP="001109A8">
            <w:pPr>
              <w:spacing w:after="160" w:line="278" w:lineRule="auto"/>
            </w:pPr>
            <w:r w:rsidRPr="001109A8">
              <w:t>"event history analysis"</w:t>
            </w:r>
          </w:p>
        </w:tc>
      </w:tr>
      <w:tr w:rsidR="001109A8" w:rsidRPr="001109A8" w14:paraId="4E769FFE" w14:textId="77777777" w:rsidTr="001109A8">
        <w:tc>
          <w:tcPr>
            <w:tcW w:w="0" w:type="auto"/>
            <w:hideMark/>
          </w:tcPr>
          <w:p w14:paraId="780C6840" w14:textId="77777777" w:rsidR="001109A8" w:rsidRPr="001109A8" w:rsidRDefault="001109A8" w:rsidP="001109A8">
            <w:pPr>
              <w:spacing w:after="160" w:line="278" w:lineRule="auto"/>
            </w:pPr>
            <w:r w:rsidRPr="001109A8">
              <w:t>Hazard Model</w:t>
            </w:r>
          </w:p>
        </w:tc>
        <w:tc>
          <w:tcPr>
            <w:tcW w:w="0" w:type="auto"/>
            <w:hideMark/>
          </w:tcPr>
          <w:p w14:paraId="0F085A23" w14:textId="77777777" w:rsidR="001109A8" w:rsidRPr="001109A8" w:rsidRDefault="001109A8" w:rsidP="001109A8">
            <w:pPr>
              <w:spacing w:after="160" w:line="278" w:lineRule="auto"/>
            </w:pPr>
            <w:r w:rsidRPr="001109A8">
              <w:t>"hazard model", "hazard function"</w:t>
            </w:r>
          </w:p>
        </w:tc>
      </w:tr>
      <w:tr w:rsidR="001109A8" w:rsidRPr="001109A8" w14:paraId="76762D33" w14:textId="77777777" w:rsidTr="001109A8">
        <w:tc>
          <w:tcPr>
            <w:tcW w:w="0" w:type="auto"/>
            <w:hideMark/>
          </w:tcPr>
          <w:p w14:paraId="37E4C4B7" w14:textId="77777777" w:rsidR="001109A8" w:rsidRPr="001109A8" w:rsidRDefault="001109A8" w:rsidP="001109A8">
            <w:pPr>
              <w:spacing w:after="160" w:line="278" w:lineRule="auto"/>
            </w:pPr>
            <w:r w:rsidRPr="001109A8">
              <w:t>Multilevel Survival</w:t>
            </w:r>
          </w:p>
        </w:tc>
        <w:tc>
          <w:tcPr>
            <w:tcW w:w="0" w:type="auto"/>
            <w:hideMark/>
          </w:tcPr>
          <w:p w14:paraId="5E5B7A78" w14:textId="77777777" w:rsidR="001109A8" w:rsidRPr="001109A8" w:rsidRDefault="001109A8" w:rsidP="001109A8">
            <w:pPr>
              <w:spacing w:after="160" w:line="278" w:lineRule="auto"/>
            </w:pPr>
            <w:r w:rsidRPr="001109A8">
              <w:t>"multilevel survival", "hierarchical survival"</w:t>
            </w:r>
          </w:p>
        </w:tc>
      </w:tr>
      <w:tr w:rsidR="001109A8" w:rsidRPr="001109A8" w14:paraId="27BEB841" w14:textId="77777777" w:rsidTr="001109A8">
        <w:tc>
          <w:tcPr>
            <w:tcW w:w="0" w:type="auto"/>
            <w:hideMark/>
          </w:tcPr>
          <w:p w14:paraId="2EB0F50A" w14:textId="77777777" w:rsidR="001109A8" w:rsidRPr="001109A8" w:rsidRDefault="001109A8" w:rsidP="001109A8">
            <w:pPr>
              <w:spacing w:after="160" w:line="278" w:lineRule="auto"/>
            </w:pPr>
            <w:r w:rsidRPr="001109A8">
              <w:t>Machine Learning Survival</w:t>
            </w:r>
          </w:p>
        </w:tc>
        <w:tc>
          <w:tcPr>
            <w:tcW w:w="0" w:type="auto"/>
            <w:hideMark/>
          </w:tcPr>
          <w:p w14:paraId="55B54FAE" w14:textId="77777777" w:rsidR="001109A8" w:rsidRPr="001109A8" w:rsidRDefault="001109A8" w:rsidP="001109A8">
            <w:pPr>
              <w:spacing w:after="160" w:line="278" w:lineRule="auto"/>
            </w:pPr>
            <w:r w:rsidRPr="001109A8">
              <w:t>"random survival forest", "survival tree", "deep survival", "machine learning.*survival"</w:t>
            </w:r>
          </w:p>
        </w:tc>
      </w:tr>
      <w:tr w:rsidR="001109A8" w:rsidRPr="001109A8" w14:paraId="39F0B559" w14:textId="77777777" w:rsidTr="001109A8">
        <w:tc>
          <w:tcPr>
            <w:tcW w:w="0" w:type="auto"/>
            <w:hideMark/>
          </w:tcPr>
          <w:p w14:paraId="5AAF5A9F" w14:textId="77777777" w:rsidR="001109A8" w:rsidRPr="001109A8" w:rsidRDefault="001109A8" w:rsidP="001109A8">
            <w:pPr>
              <w:spacing w:after="160" w:line="278" w:lineRule="auto"/>
            </w:pPr>
            <w:r w:rsidRPr="001109A8">
              <w:t>Time-varying Covariates</w:t>
            </w:r>
          </w:p>
        </w:tc>
        <w:tc>
          <w:tcPr>
            <w:tcW w:w="0" w:type="auto"/>
            <w:hideMark/>
          </w:tcPr>
          <w:p w14:paraId="14346AC5" w14:textId="77777777" w:rsidR="001109A8" w:rsidRPr="001109A8" w:rsidRDefault="001109A8" w:rsidP="001109A8">
            <w:pPr>
              <w:spacing w:after="160" w:line="278" w:lineRule="auto"/>
            </w:pPr>
            <w:r w:rsidRPr="001109A8">
              <w:t>"time[- ]varying covariates", "time[- ]dependent covariates"</w:t>
            </w:r>
          </w:p>
        </w:tc>
      </w:tr>
      <w:tr w:rsidR="001109A8" w:rsidRPr="001109A8" w14:paraId="3D6AAB68" w14:textId="77777777" w:rsidTr="001109A8">
        <w:tc>
          <w:tcPr>
            <w:tcW w:w="0" w:type="auto"/>
            <w:hideMark/>
          </w:tcPr>
          <w:p w14:paraId="6269F07F" w14:textId="77777777" w:rsidR="001109A8" w:rsidRPr="001109A8" w:rsidRDefault="001109A8" w:rsidP="001109A8">
            <w:pPr>
              <w:spacing w:after="160" w:line="278" w:lineRule="auto"/>
            </w:pPr>
            <w:r w:rsidRPr="001109A8">
              <w:t>Parametric Models</w:t>
            </w:r>
          </w:p>
        </w:tc>
        <w:tc>
          <w:tcPr>
            <w:tcW w:w="0" w:type="auto"/>
            <w:hideMark/>
          </w:tcPr>
          <w:p w14:paraId="153C17D3" w14:textId="77777777" w:rsidR="001109A8" w:rsidRPr="001109A8" w:rsidRDefault="001109A8" w:rsidP="001109A8">
            <w:pPr>
              <w:spacing w:after="160" w:line="278" w:lineRule="auto"/>
            </w:pPr>
            <w:r w:rsidRPr="001109A8">
              <w:t>"weibull model", "exponential survival", "parametric survival"</w:t>
            </w:r>
          </w:p>
        </w:tc>
      </w:tr>
      <w:tr w:rsidR="001109A8" w:rsidRPr="001109A8" w14:paraId="52DC3095" w14:textId="77777777" w:rsidTr="001109A8">
        <w:tc>
          <w:tcPr>
            <w:tcW w:w="0" w:type="auto"/>
            <w:hideMark/>
          </w:tcPr>
          <w:p w14:paraId="403E7FA3" w14:textId="77777777" w:rsidR="001109A8" w:rsidRPr="001109A8" w:rsidRDefault="001109A8" w:rsidP="001109A8">
            <w:pPr>
              <w:spacing w:after="160" w:line="278" w:lineRule="auto"/>
            </w:pPr>
            <w:r w:rsidRPr="001109A8">
              <w:t>Dyadic Survival</w:t>
            </w:r>
          </w:p>
        </w:tc>
        <w:tc>
          <w:tcPr>
            <w:tcW w:w="0" w:type="auto"/>
            <w:hideMark/>
          </w:tcPr>
          <w:p w14:paraId="38B3554D" w14:textId="77777777" w:rsidR="001109A8" w:rsidRPr="001109A8" w:rsidRDefault="001109A8" w:rsidP="001109A8">
            <w:pPr>
              <w:spacing w:after="160" w:line="278" w:lineRule="auto"/>
            </w:pPr>
            <w:r w:rsidRPr="001109A8">
              <w:t>"dyadic survival"</w:t>
            </w:r>
          </w:p>
        </w:tc>
      </w:tr>
    </w:tbl>
    <w:p w14:paraId="0BB6A398" w14:textId="61C12160" w:rsidR="001109A8" w:rsidRDefault="001109A8" w:rsidP="001109A8"/>
    <w:p w14:paraId="28C14DE2" w14:textId="76EB1CD7" w:rsidR="001109A8" w:rsidRPr="001109A8" w:rsidRDefault="001109A8" w:rsidP="001109A8">
      <w:r>
        <w:t xml:space="preserve">Success keywords: </w:t>
      </w:r>
      <w:r w:rsidRPr="001109A8">
        <w:t>significant, improve, accurate, robust, validated, predictive power, fit well, low error</w:t>
      </w:r>
      <w:r>
        <w:t>.</w:t>
      </w:r>
    </w:p>
    <w:p w14:paraId="4481D512" w14:textId="0A4B836E" w:rsidR="007B4071" w:rsidRPr="00A13A1C" w:rsidRDefault="007B4071" w:rsidP="007B4071"/>
    <w:sectPr w:rsidR="007B4071" w:rsidRPr="00A13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E67C7"/>
    <w:multiLevelType w:val="hybridMultilevel"/>
    <w:tmpl w:val="33769F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7F90EE3"/>
    <w:multiLevelType w:val="hybridMultilevel"/>
    <w:tmpl w:val="1952B4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64645872">
    <w:abstractNumId w:val="0"/>
  </w:num>
  <w:num w:numId="2" w16cid:durableId="1370837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1C"/>
    <w:rsid w:val="00000648"/>
    <w:rsid w:val="0000379F"/>
    <w:rsid w:val="00016591"/>
    <w:rsid w:val="000217BD"/>
    <w:rsid w:val="0002559D"/>
    <w:rsid w:val="00033978"/>
    <w:rsid w:val="0003677C"/>
    <w:rsid w:val="00061458"/>
    <w:rsid w:val="00062867"/>
    <w:rsid w:val="000853B4"/>
    <w:rsid w:val="00095703"/>
    <w:rsid w:val="000B7A9B"/>
    <w:rsid w:val="000D2592"/>
    <w:rsid w:val="000D3303"/>
    <w:rsid w:val="000F030C"/>
    <w:rsid w:val="000F73B3"/>
    <w:rsid w:val="001109A8"/>
    <w:rsid w:val="00133E20"/>
    <w:rsid w:val="001345CF"/>
    <w:rsid w:val="00152DD3"/>
    <w:rsid w:val="001938C4"/>
    <w:rsid w:val="001A5A1A"/>
    <w:rsid w:val="001B7E8D"/>
    <w:rsid w:val="001D5A17"/>
    <w:rsid w:val="00213DEA"/>
    <w:rsid w:val="00220735"/>
    <w:rsid w:val="00220B55"/>
    <w:rsid w:val="00223E2A"/>
    <w:rsid w:val="002340BC"/>
    <w:rsid w:val="00235AE8"/>
    <w:rsid w:val="002B0C53"/>
    <w:rsid w:val="002D3368"/>
    <w:rsid w:val="002E3A85"/>
    <w:rsid w:val="002E50A7"/>
    <w:rsid w:val="002E6519"/>
    <w:rsid w:val="00316401"/>
    <w:rsid w:val="00353318"/>
    <w:rsid w:val="003575B6"/>
    <w:rsid w:val="003917DC"/>
    <w:rsid w:val="003B00A0"/>
    <w:rsid w:val="00415990"/>
    <w:rsid w:val="004435B3"/>
    <w:rsid w:val="004477F7"/>
    <w:rsid w:val="004527FE"/>
    <w:rsid w:val="00463A20"/>
    <w:rsid w:val="00484189"/>
    <w:rsid w:val="00492C39"/>
    <w:rsid w:val="004C28A0"/>
    <w:rsid w:val="004C292A"/>
    <w:rsid w:val="005012FA"/>
    <w:rsid w:val="00517970"/>
    <w:rsid w:val="00537C77"/>
    <w:rsid w:val="005451AB"/>
    <w:rsid w:val="00572F6E"/>
    <w:rsid w:val="00573182"/>
    <w:rsid w:val="005A7BE1"/>
    <w:rsid w:val="005D6CB9"/>
    <w:rsid w:val="00604F3A"/>
    <w:rsid w:val="0064571A"/>
    <w:rsid w:val="006C0076"/>
    <w:rsid w:val="006C79D6"/>
    <w:rsid w:val="006D0BC6"/>
    <w:rsid w:val="006F3F3B"/>
    <w:rsid w:val="0070026B"/>
    <w:rsid w:val="00720F2E"/>
    <w:rsid w:val="007342C8"/>
    <w:rsid w:val="007379F2"/>
    <w:rsid w:val="00740E8A"/>
    <w:rsid w:val="00743EF5"/>
    <w:rsid w:val="00747078"/>
    <w:rsid w:val="00762C54"/>
    <w:rsid w:val="0077259C"/>
    <w:rsid w:val="007A1EBE"/>
    <w:rsid w:val="007B4071"/>
    <w:rsid w:val="007B54CF"/>
    <w:rsid w:val="007D18E6"/>
    <w:rsid w:val="00816540"/>
    <w:rsid w:val="0084069B"/>
    <w:rsid w:val="00856381"/>
    <w:rsid w:val="00860ECC"/>
    <w:rsid w:val="0086667E"/>
    <w:rsid w:val="008A176D"/>
    <w:rsid w:val="008A3BA7"/>
    <w:rsid w:val="008A71CB"/>
    <w:rsid w:val="008C4EAE"/>
    <w:rsid w:val="00905766"/>
    <w:rsid w:val="00946F47"/>
    <w:rsid w:val="00947416"/>
    <w:rsid w:val="00986907"/>
    <w:rsid w:val="00996568"/>
    <w:rsid w:val="009C6CEB"/>
    <w:rsid w:val="009D61D9"/>
    <w:rsid w:val="00A111FC"/>
    <w:rsid w:val="00A13A1C"/>
    <w:rsid w:val="00A17C83"/>
    <w:rsid w:val="00A3534E"/>
    <w:rsid w:val="00A374D0"/>
    <w:rsid w:val="00A71731"/>
    <w:rsid w:val="00A929D5"/>
    <w:rsid w:val="00A936F3"/>
    <w:rsid w:val="00A937DC"/>
    <w:rsid w:val="00AD3684"/>
    <w:rsid w:val="00AE23A4"/>
    <w:rsid w:val="00B2465C"/>
    <w:rsid w:val="00B950D0"/>
    <w:rsid w:val="00BC5A3D"/>
    <w:rsid w:val="00BD1634"/>
    <w:rsid w:val="00BD49BC"/>
    <w:rsid w:val="00BD5465"/>
    <w:rsid w:val="00BE5BDD"/>
    <w:rsid w:val="00C006CE"/>
    <w:rsid w:val="00C10DDE"/>
    <w:rsid w:val="00C32BF1"/>
    <w:rsid w:val="00C33D4A"/>
    <w:rsid w:val="00C539A6"/>
    <w:rsid w:val="00C967A2"/>
    <w:rsid w:val="00CA4072"/>
    <w:rsid w:val="00CB0756"/>
    <w:rsid w:val="00CC091C"/>
    <w:rsid w:val="00CE32D9"/>
    <w:rsid w:val="00D275D2"/>
    <w:rsid w:val="00D303A5"/>
    <w:rsid w:val="00D71755"/>
    <w:rsid w:val="00D74837"/>
    <w:rsid w:val="00D94355"/>
    <w:rsid w:val="00DE3F1F"/>
    <w:rsid w:val="00E0381F"/>
    <w:rsid w:val="00E33E5C"/>
    <w:rsid w:val="00E534D8"/>
    <w:rsid w:val="00E7307A"/>
    <w:rsid w:val="00E813FE"/>
    <w:rsid w:val="00E90677"/>
    <w:rsid w:val="00E951FC"/>
    <w:rsid w:val="00EA541D"/>
    <w:rsid w:val="00EF1739"/>
    <w:rsid w:val="00F26434"/>
    <w:rsid w:val="00F9146B"/>
    <w:rsid w:val="00FA55F7"/>
    <w:rsid w:val="00FD76BB"/>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5C9B"/>
  <w15:chartTrackingRefBased/>
  <w15:docId w15:val="{5339C3DA-5B31-4853-AE87-193A86D64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A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3A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3A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A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A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A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A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A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A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A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3A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3A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A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A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A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A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A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A1C"/>
    <w:rPr>
      <w:rFonts w:eastAsiaTheme="majorEastAsia" w:cstheme="majorBidi"/>
      <w:color w:val="272727" w:themeColor="text1" w:themeTint="D8"/>
    </w:rPr>
  </w:style>
  <w:style w:type="paragraph" w:styleId="Title">
    <w:name w:val="Title"/>
    <w:basedOn w:val="Normal"/>
    <w:next w:val="Normal"/>
    <w:link w:val="TitleChar"/>
    <w:uiPriority w:val="10"/>
    <w:qFormat/>
    <w:rsid w:val="00A13A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A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A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A1C"/>
    <w:pPr>
      <w:spacing w:before="160"/>
      <w:jc w:val="center"/>
    </w:pPr>
    <w:rPr>
      <w:i/>
      <w:iCs/>
      <w:color w:val="404040" w:themeColor="text1" w:themeTint="BF"/>
    </w:rPr>
  </w:style>
  <w:style w:type="character" w:customStyle="1" w:styleId="QuoteChar">
    <w:name w:val="Quote Char"/>
    <w:basedOn w:val="DefaultParagraphFont"/>
    <w:link w:val="Quote"/>
    <w:uiPriority w:val="29"/>
    <w:rsid w:val="00A13A1C"/>
    <w:rPr>
      <w:i/>
      <w:iCs/>
      <w:color w:val="404040" w:themeColor="text1" w:themeTint="BF"/>
    </w:rPr>
  </w:style>
  <w:style w:type="paragraph" w:styleId="ListParagraph">
    <w:name w:val="List Paragraph"/>
    <w:basedOn w:val="Normal"/>
    <w:uiPriority w:val="34"/>
    <w:qFormat/>
    <w:rsid w:val="00A13A1C"/>
    <w:pPr>
      <w:ind w:left="720"/>
      <w:contextualSpacing/>
    </w:pPr>
  </w:style>
  <w:style w:type="character" w:styleId="IntenseEmphasis">
    <w:name w:val="Intense Emphasis"/>
    <w:basedOn w:val="DefaultParagraphFont"/>
    <w:uiPriority w:val="21"/>
    <w:qFormat/>
    <w:rsid w:val="00A13A1C"/>
    <w:rPr>
      <w:i/>
      <w:iCs/>
      <w:color w:val="0F4761" w:themeColor="accent1" w:themeShade="BF"/>
    </w:rPr>
  </w:style>
  <w:style w:type="paragraph" w:styleId="IntenseQuote">
    <w:name w:val="Intense Quote"/>
    <w:basedOn w:val="Normal"/>
    <w:next w:val="Normal"/>
    <w:link w:val="IntenseQuoteChar"/>
    <w:uiPriority w:val="30"/>
    <w:qFormat/>
    <w:rsid w:val="00A13A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A1C"/>
    <w:rPr>
      <w:i/>
      <w:iCs/>
      <w:color w:val="0F4761" w:themeColor="accent1" w:themeShade="BF"/>
    </w:rPr>
  </w:style>
  <w:style w:type="character" w:styleId="IntenseReference">
    <w:name w:val="Intense Reference"/>
    <w:basedOn w:val="DefaultParagraphFont"/>
    <w:uiPriority w:val="32"/>
    <w:qFormat/>
    <w:rsid w:val="00A13A1C"/>
    <w:rPr>
      <w:b/>
      <w:bCs/>
      <w:smallCaps/>
      <w:color w:val="0F4761" w:themeColor="accent1" w:themeShade="BF"/>
      <w:spacing w:val="5"/>
    </w:rPr>
  </w:style>
  <w:style w:type="table" w:styleId="TableGrid">
    <w:name w:val="Table Grid"/>
    <w:basedOn w:val="TableNormal"/>
    <w:uiPriority w:val="39"/>
    <w:rsid w:val="006C7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ECC"/>
    <w:pPr>
      <w:spacing w:after="200" w:line="240" w:lineRule="auto"/>
    </w:pPr>
    <w:rPr>
      <w:i/>
      <w:iCs/>
      <w:color w:val="0E2841" w:themeColor="text2"/>
      <w:sz w:val="18"/>
      <w:szCs w:val="18"/>
    </w:rPr>
  </w:style>
  <w:style w:type="character" w:styleId="Hyperlink">
    <w:name w:val="Hyperlink"/>
    <w:basedOn w:val="DefaultParagraphFont"/>
    <w:uiPriority w:val="99"/>
    <w:unhideWhenUsed/>
    <w:rsid w:val="001A5A1A"/>
    <w:rPr>
      <w:color w:val="467886" w:themeColor="hyperlink"/>
      <w:u w:val="single"/>
    </w:rPr>
  </w:style>
  <w:style w:type="character" w:styleId="UnresolvedMention">
    <w:name w:val="Unresolved Mention"/>
    <w:basedOn w:val="DefaultParagraphFont"/>
    <w:uiPriority w:val="99"/>
    <w:semiHidden/>
    <w:unhideWhenUsed/>
    <w:rsid w:val="001A5A1A"/>
    <w:rPr>
      <w:color w:val="605E5C"/>
      <w:shd w:val="clear" w:color="auto" w:fill="E1DFDD"/>
    </w:rPr>
  </w:style>
  <w:style w:type="character" w:styleId="FollowedHyperlink">
    <w:name w:val="FollowedHyperlink"/>
    <w:basedOn w:val="DefaultParagraphFont"/>
    <w:uiPriority w:val="99"/>
    <w:semiHidden/>
    <w:unhideWhenUsed/>
    <w:rsid w:val="00E813FE"/>
    <w:rPr>
      <w:color w:val="96607D" w:themeColor="followedHyperlink"/>
      <w:u w:val="single"/>
    </w:rPr>
  </w:style>
  <w:style w:type="paragraph" w:styleId="Bibliography">
    <w:name w:val="Bibliography"/>
    <w:basedOn w:val="Normal"/>
    <w:next w:val="Normal"/>
    <w:uiPriority w:val="37"/>
    <w:unhideWhenUsed/>
    <w:rsid w:val="00FD76BB"/>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594">
      <w:bodyDiv w:val="1"/>
      <w:marLeft w:val="0"/>
      <w:marRight w:val="0"/>
      <w:marTop w:val="0"/>
      <w:marBottom w:val="0"/>
      <w:divBdr>
        <w:top w:val="none" w:sz="0" w:space="0" w:color="auto"/>
        <w:left w:val="none" w:sz="0" w:space="0" w:color="auto"/>
        <w:bottom w:val="none" w:sz="0" w:space="0" w:color="auto"/>
        <w:right w:val="none" w:sz="0" w:space="0" w:color="auto"/>
      </w:divBdr>
    </w:div>
    <w:div w:id="301925464">
      <w:bodyDiv w:val="1"/>
      <w:marLeft w:val="0"/>
      <w:marRight w:val="0"/>
      <w:marTop w:val="0"/>
      <w:marBottom w:val="0"/>
      <w:divBdr>
        <w:top w:val="none" w:sz="0" w:space="0" w:color="auto"/>
        <w:left w:val="none" w:sz="0" w:space="0" w:color="auto"/>
        <w:bottom w:val="none" w:sz="0" w:space="0" w:color="auto"/>
        <w:right w:val="none" w:sz="0" w:space="0" w:color="auto"/>
      </w:divBdr>
    </w:div>
    <w:div w:id="368385914">
      <w:bodyDiv w:val="1"/>
      <w:marLeft w:val="0"/>
      <w:marRight w:val="0"/>
      <w:marTop w:val="0"/>
      <w:marBottom w:val="0"/>
      <w:divBdr>
        <w:top w:val="none" w:sz="0" w:space="0" w:color="auto"/>
        <w:left w:val="none" w:sz="0" w:space="0" w:color="auto"/>
        <w:bottom w:val="none" w:sz="0" w:space="0" w:color="auto"/>
        <w:right w:val="none" w:sz="0" w:space="0" w:color="auto"/>
      </w:divBdr>
    </w:div>
    <w:div w:id="406346564">
      <w:bodyDiv w:val="1"/>
      <w:marLeft w:val="0"/>
      <w:marRight w:val="0"/>
      <w:marTop w:val="0"/>
      <w:marBottom w:val="0"/>
      <w:divBdr>
        <w:top w:val="none" w:sz="0" w:space="0" w:color="auto"/>
        <w:left w:val="none" w:sz="0" w:space="0" w:color="auto"/>
        <w:bottom w:val="none" w:sz="0" w:space="0" w:color="auto"/>
        <w:right w:val="none" w:sz="0" w:space="0" w:color="auto"/>
      </w:divBdr>
    </w:div>
    <w:div w:id="416753807">
      <w:bodyDiv w:val="1"/>
      <w:marLeft w:val="0"/>
      <w:marRight w:val="0"/>
      <w:marTop w:val="0"/>
      <w:marBottom w:val="0"/>
      <w:divBdr>
        <w:top w:val="none" w:sz="0" w:space="0" w:color="auto"/>
        <w:left w:val="none" w:sz="0" w:space="0" w:color="auto"/>
        <w:bottom w:val="none" w:sz="0" w:space="0" w:color="auto"/>
        <w:right w:val="none" w:sz="0" w:space="0" w:color="auto"/>
      </w:divBdr>
    </w:div>
    <w:div w:id="430977984">
      <w:bodyDiv w:val="1"/>
      <w:marLeft w:val="0"/>
      <w:marRight w:val="0"/>
      <w:marTop w:val="0"/>
      <w:marBottom w:val="0"/>
      <w:divBdr>
        <w:top w:val="none" w:sz="0" w:space="0" w:color="auto"/>
        <w:left w:val="none" w:sz="0" w:space="0" w:color="auto"/>
        <w:bottom w:val="none" w:sz="0" w:space="0" w:color="auto"/>
        <w:right w:val="none" w:sz="0" w:space="0" w:color="auto"/>
      </w:divBdr>
    </w:div>
    <w:div w:id="524094738">
      <w:bodyDiv w:val="1"/>
      <w:marLeft w:val="0"/>
      <w:marRight w:val="0"/>
      <w:marTop w:val="0"/>
      <w:marBottom w:val="0"/>
      <w:divBdr>
        <w:top w:val="none" w:sz="0" w:space="0" w:color="auto"/>
        <w:left w:val="none" w:sz="0" w:space="0" w:color="auto"/>
        <w:bottom w:val="none" w:sz="0" w:space="0" w:color="auto"/>
        <w:right w:val="none" w:sz="0" w:space="0" w:color="auto"/>
      </w:divBdr>
    </w:div>
    <w:div w:id="555971760">
      <w:bodyDiv w:val="1"/>
      <w:marLeft w:val="0"/>
      <w:marRight w:val="0"/>
      <w:marTop w:val="0"/>
      <w:marBottom w:val="0"/>
      <w:divBdr>
        <w:top w:val="none" w:sz="0" w:space="0" w:color="auto"/>
        <w:left w:val="none" w:sz="0" w:space="0" w:color="auto"/>
        <w:bottom w:val="none" w:sz="0" w:space="0" w:color="auto"/>
        <w:right w:val="none" w:sz="0" w:space="0" w:color="auto"/>
      </w:divBdr>
    </w:div>
    <w:div w:id="619917791">
      <w:bodyDiv w:val="1"/>
      <w:marLeft w:val="0"/>
      <w:marRight w:val="0"/>
      <w:marTop w:val="0"/>
      <w:marBottom w:val="0"/>
      <w:divBdr>
        <w:top w:val="none" w:sz="0" w:space="0" w:color="auto"/>
        <w:left w:val="none" w:sz="0" w:space="0" w:color="auto"/>
        <w:bottom w:val="none" w:sz="0" w:space="0" w:color="auto"/>
        <w:right w:val="none" w:sz="0" w:space="0" w:color="auto"/>
      </w:divBdr>
    </w:div>
    <w:div w:id="670840545">
      <w:bodyDiv w:val="1"/>
      <w:marLeft w:val="0"/>
      <w:marRight w:val="0"/>
      <w:marTop w:val="0"/>
      <w:marBottom w:val="0"/>
      <w:divBdr>
        <w:top w:val="none" w:sz="0" w:space="0" w:color="auto"/>
        <w:left w:val="none" w:sz="0" w:space="0" w:color="auto"/>
        <w:bottom w:val="none" w:sz="0" w:space="0" w:color="auto"/>
        <w:right w:val="none" w:sz="0" w:space="0" w:color="auto"/>
      </w:divBdr>
    </w:div>
    <w:div w:id="858004254">
      <w:bodyDiv w:val="1"/>
      <w:marLeft w:val="0"/>
      <w:marRight w:val="0"/>
      <w:marTop w:val="0"/>
      <w:marBottom w:val="0"/>
      <w:divBdr>
        <w:top w:val="none" w:sz="0" w:space="0" w:color="auto"/>
        <w:left w:val="none" w:sz="0" w:space="0" w:color="auto"/>
        <w:bottom w:val="none" w:sz="0" w:space="0" w:color="auto"/>
        <w:right w:val="none" w:sz="0" w:space="0" w:color="auto"/>
      </w:divBdr>
    </w:div>
    <w:div w:id="864369098">
      <w:bodyDiv w:val="1"/>
      <w:marLeft w:val="0"/>
      <w:marRight w:val="0"/>
      <w:marTop w:val="0"/>
      <w:marBottom w:val="0"/>
      <w:divBdr>
        <w:top w:val="none" w:sz="0" w:space="0" w:color="auto"/>
        <w:left w:val="none" w:sz="0" w:space="0" w:color="auto"/>
        <w:bottom w:val="none" w:sz="0" w:space="0" w:color="auto"/>
        <w:right w:val="none" w:sz="0" w:space="0" w:color="auto"/>
      </w:divBdr>
    </w:div>
    <w:div w:id="965502009">
      <w:bodyDiv w:val="1"/>
      <w:marLeft w:val="0"/>
      <w:marRight w:val="0"/>
      <w:marTop w:val="0"/>
      <w:marBottom w:val="0"/>
      <w:divBdr>
        <w:top w:val="none" w:sz="0" w:space="0" w:color="auto"/>
        <w:left w:val="none" w:sz="0" w:space="0" w:color="auto"/>
        <w:bottom w:val="none" w:sz="0" w:space="0" w:color="auto"/>
        <w:right w:val="none" w:sz="0" w:space="0" w:color="auto"/>
      </w:divBdr>
    </w:div>
    <w:div w:id="988242471">
      <w:bodyDiv w:val="1"/>
      <w:marLeft w:val="0"/>
      <w:marRight w:val="0"/>
      <w:marTop w:val="0"/>
      <w:marBottom w:val="0"/>
      <w:divBdr>
        <w:top w:val="none" w:sz="0" w:space="0" w:color="auto"/>
        <w:left w:val="none" w:sz="0" w:space="0" w:color="auto"/>
        <w:bottom w:val="none" w:sz="0" w:space="0" w:color="auto"/>
        <w:right w:val="none" w:sz="0" w:space="0" w:color="auto"/>
      </w:divBdr>
    </w:div>
    <w:div w:id="992295803">
      <w:bodyDiv w:val="1"/>
      <w:marLeft w:val="0"/>
      <w:marRight w:val="0"/>
      <w:marTop w:val="0"/>
      <w:marBottom w:val="0"/>
      <w:divBdr>
        <w:top w:val="none" w:sz="0" w:space="0" w:color="auto"/>
        <w:left w:val="none" w:sz="0" w:space="0" w:color="auto"/>
        <w:bottom w:val="none" w:sz="0" w:space="0" w:color="auto"/>
        <w:right w:val="none" w:sz="0" w:space="0" w:color="auto"/>
      </w:divBdr>
    </w:div>
    <w:div w:id="1048648207">
      <w:bodyDiv w:val="1"/>
      <w:marLeft w:val="0"/>
      <w:marRight w:val="0"/>
      <w:marTop w:val="0"/>
      <w:marBottom w:val="0"/>
      <w:divBdr>
        <w:top w:val="none" w:sz="0" w:space="0" w:color="auto"/>
        <w:left w:val="none" w:sz="0" w:space="0" w:color="auto"/>
        <w:bottom w:val="none" w:sz="0" w:space="0" w:color="auto"/>
        <w:right w:val="none" w:sz="0" w:space="0" w:color="auto"/>
      </w:divBdr>
    </w:div>
    <w:div w:id="1138568189">
      <w:bodyDiv w:val="1"/>
      <w:marLeft w:val="0"/>
      <w:marRight w:val="0"/>
      <w:marTop w:val="0"/>
      <w:marBottom w:val="0"/>
      <w:divBdr>
        <w:top w:val="none" w:sz="0" w:space="0" w:color="auto"/>
        <w:left w:val="none" w:sz="0" w:space="0" w:color="auto"/>
        <w:bottom w:val="none" w:sz="0" w:space="0" w:color="auto"/>
        <w:right w:val="none" w:sz="0" w:space="0" w:color="auto"/>
      </w:divBdr>
    </w:div>
    <w:div w:id="1161383125">
      <w:bodyDiv w:val="1"/>
      <w:marLeft w:val="0"/>
      <w:marRight w:val="0"/>
      <w:marTop w:val="0"/>
      <w:marBottom w:val="0"/>
      <w:divBdr>
        <w:top w:val="none" w:sz="0" w:space="0" w:color="auto"/>
        <w:left w:val="none" w:sz="0" w:space="0" w:color="auto"/>
        <w:bottom w:val="none" w:sz="0" w:space="0" w:color="auto"/>
        <w:right w:val="none" w:sz="0" w:space="0" w:color="auto"/>
      </w:divBdr>
    </w:div>
    <w:div w:id="1166942022">
      <w:bodyDiv w:val="1"/>
      <w:marLeft w:val="0"/>
      <w:marRight w:val="0"/>
      <w:marTop w:val="0"/>
      <w:marBottom w:val="0"/>
      <w:divBdr>
        <w:top w:val="none" w:sz="0" w:space="0" w:color="auto"/>
        <w:left w:val="none" w:sz="0" w:space="0" w:color="auto"/>
        <w:bottom w:val="none" w:sz="0" w:space="0" w:color="auto"/>
        <w:right w:val="none" w:sz="0" w:space="0" w:color="auto"/>
      </w:divBdr>
    </w:div>
    <w:div w:id="1258712196">
      <w:bodyDiv w:val="1"/>
      <w:marLeft w:val="0"/>
      <w:marRight w:val="0"/>
      <w:marTop w:val="0"/>
      <w:marBottom w:val="0"/>
      <w:divBdr>
        <w:top w:val="none" w:sz="0" w:space="0" w:color="auto"/>
        <w:left w:val="none" w:sz="0" w:space="0" w:color="auto"/>
        <w:bottom w:val="none" w:sz="0" w:space="0" w:color="auto"/>
        <w:right w:val="none" w:sz="0" w:space="0" w:color="auto"/>
      </w:divBdr>
    </w:div>
    <w:div w:id="1410612800">
      <w:bodyDiv w:val="1"/>
      <w:marLeft w:val="0"/>
      <w:marRight w:val="0"/>
      <w:marTop w:val="0"/>
      <w:marBottom w:val="0"/>
      <w:divBdr>
        <w:top w:val="none" w:sz="0" w:space="0" w:color="auto"/>
        <w:left w:val="none" w:sz="0" w:space="0" w:color="auto"/>
        <w:bottom w:val="none" w:sz="0" w:space="0" w:color="auto"/>
        <w:right w:val="none" w:sz="0" w:space="0" w:color="auto"/>
      </w:divBdr>
    </w:div>
    <w:div w:id="1457675077">
      <w:bodyDiv w:val="1"/>
      <w:marLeft w:val="0"/>
      <w:marRight w:val="0"/>
      <w:marTop w:val="0"/>
      <w:marBottom w:val="0"/>
      <w:divBdr>
        <w:top w:val="none" w:sz="0" w:space="0" w:color="auto"/>
        <w:left w:val="none" w:sz="0" w:space="0" w:color="auto"/>
        <w:bottom w:val="none" w:sz="0" w:space="0" w:color="auto"/>
        <w:right w:val="none" w:sz="0" w:space="0" w:color="auto"/>
      </w:divBdr>
    </w:div>
    <w:div w:id="1537619692">
      <w:bodyDiv w:val="1"/>
      <w:marLeft w:val="0"/>
      <w:marRight w:val="0"/>
      <w:marTop w:val="0"/>
      <w:marBottom w:val="0"/>
      <w:divBdr>
        <w:top w:val="none" w:sz="0" w:space="0" w:color="auto"/>
        <w:left w:val="none" w:sz="0" w:space="0" w:color="auto"/>
        <w:bottom w:val="none" w:sz="0" w:space="0" w:color="auto"/>
        <w:right w:val="none" w:sz="0" w:space="0" w:color="auto"/>
      </w:divBdr>
    </w:div>
    <w:div w:id="1607149686">
      <w:bodyDiv w:val="1"/>
      <w:marLeft w:val="0"/>
      <w:marRight w:val="0"/>
      <w:marTop w:val="0"/>
      <w:marBottom w:val="0"/>
      <w:divBdr>
        <w:top w:val="none" w:sz="0" w:space="0" w:color="auto"/>
        <w:left w:val="none" w:sz="0" w:space="0" w:color="auto"/>
        <w:bottom w:val="none" w:sz="0" w:space="0" w:color="auto"/>
        <w:right w:val="none" w:sz="0" w:space="0" w:color="auto"/>
      </w:divBdr>
      <w:divsChild>
        <w:div w:id="294214154">
          <w:marLeft w:val="0"/>
          <w:marRight w:val="0"/>
          <w:marTop w:val="0"/>
          <w:marBottom w:val="0"/>
          <w:divBdr>
            <w:top w:val="none" w:sz="0" w:space="0" w:color="auto"/>
            <w:left w:val="none" w:sz="0" w:space="0" w:color="auto"/>
            <w:bottom w:val="none" w:sz="0" w:space="0" w:color="auto"/>
            <w:right w:val="none" w:sz="0" w:space="0" w:color="auto"/>
          </w:divBdr>
          <w:divsChild>
            <w:div w:id="1691448893">
              <w:marLeft w:val="0"/>
              <w:marRight w:val="0"/>
              <w:marTop w:val="0"/>
              <w:marBottom w:val="0"/>
              <w:divBdr>
                <w:top w:val="none" w:sz="0" w:space="0" w:color="auto"/>
                <w:left w:val="none" w:sz="0" w:space="0" w:color="auto"/>
                <w:bottom w:val="none" w:sz="0" w:space="0" w:color="auto"/>
                <w:right w:val="none" w:sz="0" w:space="0" w:color="auto"/>
              </w:divBdr>
            </w:div>
            <w:div w:id="977760715">
              <w:marLeft w:val="0"/>
              <w:marRight w:val="0"/>
              <w:marTop w:val="0"/>
              <w:marBottom w:val="0"/>
              <w:divBdr>
                <w:top w:val="none" w:sz="0" w:space="0" w:color="auto"/>
                <w:left w:val="none" w:sz="0" w:space="0" w:color="auto"/>
                <w:bottom w:val="none" w:sz="0" w:space="0" w:color="auto"/>
                <w:right w:val="none" w:sz="0" w:space="0" w:color="auto"/>
              </w:divBdr>
            </w:div>
            <w:div w:id="412509591">
              <w:marLeft w:val="0"/>
              <w:marRight w:val="0"/>
              <w:marTop w:val="0"/>
              <w:marBottom w:val="0"/>
              <w:divBdr>
                <w:top w:val="none" w:sz="0" w:space="0" w:color="auto"/>
                <w:left w:val="none" w:sz="0" w:space="0" w:color="auto"/>
                <w:bottom w:val="none" w:sz="0" w:space="0" w:color="auto"/>
                <w:right w:val="none" w:sz="0" w:space="0" w:color="auto"/>
              </w:divBdr>
            </w:div>
            <w:div w:id="1882596684">
              <w:marLeft w:val="0"/>
              <w:marRight w:val="0"/>
              <w:marTop w:val="0"/>
              <w:marBottom w:val="0"/>
              <w:divBdr>
                <w:top w:val="none" w:sz="0" w:space="0" w:color="auto"/>
                <w:left w:val="none" w:sz="0" w:space="0" w:color="auto"/>
                <w:bottom w:val="none" w:sz="0" w:space="0" w:color="auto"/>
                <w:right w:val="none" w:sz="0" w:space="0" w:color="auto"/>
              </w:divBdr>
            </w:div>
            <w:div w:id="1582523556">
              <w:marLeft w:val="0"/>
              <w:marRight w:val="0"/>
              <w:marTop w:val="0"/>
              <w:marBottom w:val="0"/>
              <w:divBdr>
                <w:top w:val="none" w:sz="0" w:space="0" w:color="auto"/>
                <w:left w:val="none" w:sz="0" w:space="0" w:color="auto"/>
                <w:bottom w:val="none" w:sz="0" w:space="0" w:color="auto"/>
                <w:right w:val="none" w:sz="0" w:space="0" w:color="auto"/>
              </w:divBdr>
            </w:div>
            <w:div w:id="54351946">
              <w:marLeft w:val="0"/>
              <w:marRight w:val="0"/>
              <w:marTop w:val="0"/>
              <w:marBottom w:val="0"/>
              <w:divBdr>
                <w:top w:val="none" w:sz="0" w:space="0" w:color="auto"/>
                <w:left w:val="none" w:sz="0" w:space="0" w:color="auto"/>
                <w:bottom w:val="none" w:sz="0" w:space="0" w:color="auto"/>
                <w:right w:val="none" w:sz="0" w:space="0" w:color="auto"/>
              </w:divBdr>
            </w:div>
            <w:div w:id="551697478">
              <w:marLeft w:val="0"/>
              <w:marRight w:val="0"/>
              <w:marTop w:val="0"/>
              <w:marBottom w:val="0"/>
              <w:divBdr>
                <w:top w:val="none" w:sz="0" w:space="0" w:color="auto"/>
                <w:left w:val="none" w:sz="0" w:space="0" w:color="auto"/>
                <w:bottom w:val="none" w:sz="0" w:space="0" w:color="auto"/>
                <w:right w:val="none" w:sz="0" w:space="0" w:color="auto"/>
              </w:divBdr>
            </w:div>
            <w:div w:id="1366372963">
              <w:marLeft w:val="0"/>
              <w:marRight w:val="0"/>
              <w:marTop w:val="0"/>
              <w:marBottom w:val="0"/>
              <w:divBdr>
                <w:top w:val="none" w:sz="0" w:space="0" w:color="auto"/>
                <w:left w:val="none" w:sz="0" w:space="0" w:color="auto"/>
                <w:bottom w:val="none" w:sz="0" w:space="0" w:color="auto"/>
                <w:right w:val="none" w:sz="0" w:space="0" w:color="auto"/>
              </w:divBdr>
            </w:div>
            <w:div w:id="177693815">
              <w:marLeft w:val="0"/>
              <w:marRight w:val="0"/>
              <w:marTop w:val="0"/>
              <w:marBottom w:val="0"/>
              <w:divBdr>
                <w:top w:val="none" w:sz="0" w:space="0" w:color="auto"/>
                <w:left w:val="none" w:sz="0" w:space="0" w:color="auto"/>
                <w:bottom w:val="none" w:sz="0" w:space="0" w:color="auto"/>
                <w:right w:val="none" w:sz="0" w:space="0" w:color="auto"/>
              </w:divBdr>
            </w:div>
            <w:div w:id="1147548026">
              <w:marLeft w:val="0"/>
              <w:marRight w:val="0"/>
              <w:marTop w:val="0"/>
              <w:marBottom w:val="0"/>
              <w:divBdr>
                <w:top w:val="none" w:sz="0" w:space="0" w:color="auto"/>
                <w:left w:val="none" w:sz="0" w:space="0" w:color="auto"/>
                <w:bottom w:val="none" w:sz="0" w:space="0" w:color="auto"/>
                <w:right w:val="none" w:sz="0" w:space="0" w:color="auto"/>
              </w:divBdr>
            </w:div>
            <w:div w:id="1015225073">
              <w:marLeft w:val="0"/>
              <w:marRight w:val="0"/>
              <w:marTop w:val="0"/>
              <w:marBottom w:val="0"/>
              <w:divBdr>
                <w:top w:val="none" w:sz="0" w:space="0" w:color="auto"/>
                <w:left w:val="none" w:sz="0" w:space="0" w:color="auto"/>
                <w:bottom w:val="none" w:sz="0" w:space="0" w:color="auto"/>
                <w:right w:val="none" w:sz="0" w:space="0" w:color="auto"/>
              </w:divBdr>
            </w:div>
            <w:div w:id="567351495">
              <w:marLeft w:val="0"/>
              <w:marRight w:val="0"/>
              <w:marTop w:val="0"/>
              <w:marBottom w:val="0"/>
              <w:divBdr>
                <w:top w:val="none" w:sz="0" w:space="0" w:color="auto"/>
                <w:left w:val="none" w:sz="0" w:space="0" w:color="auto"/>
                <w:bottom w:val="none" w:sz="0" w:space="0" w:color="auto"/>
                <w:right w:val="none" w:sz="0" w:space="0" w:color="auto"/>
              </w:divBdr>
            </w:div>
            <w:div w:id="237640014">
              <w:marLeft w:val="0"/>
              <w:marRight w:val="0"/>
              <w:marTop w:val="0"/>
              <w:marBottom w:val="0"/>
              <w:divBdr>
                <w:top w:val="none" w:sz="0" w:space="0" w:color="auto"/>
                <w:left w:val="none" w:sz="0" w:space="0" w:color="auto"/>
                <w:bottom w:val="none" w:sz="0" w:space="0" w:color="auto"/>
                <w:right w:val="none" w:sz="0" w:space="0" w:color="auto"/>
              </w:divBdr>
            </w:div>
            <w:div w:id="1127698713">
              <w:marLeft w:val="0"/>
              <w:marRight w:val="0"/>
              <w:marTop w:val="0"/>
              <w:marBottom w:val="0"/>
              <w:divBdr>
                <w:top w:val="none" w:sz="0" w:space="0" w:color="auto"/>
                <w:left w:val="none" w:sz="0" w:space="0" w:color="auto"/>
                <w:bottom w:val="none" w:sz="0" w:space="0" w:color="auto"/>
                <w:right w:val="none" w:sz="0" w:space="0" w:color="auto"/>
              </w:divBdr>
            </w:div>
            <w:div w:id="15043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9964">
      <w:bodyDiv w:val="1"/>
      <w:marLeft w:val="0"/>
      <w:marRight w:val="0"/>
      <w:marTop w:val="0"/>
      <w:marBottom w:val="0"/>
      <w:divBdr>
        <w:top w:val="none" w:sz="0" w:space="0" w:color="auto"/>
        <w:left w:val="none" w:sz="0" w:space="0" w:color="auto"/>
        <w:bottom w:val="none" w:sz="0" w:space="0" w:color="auto"/>
        <w:right w:val="none" w:sz="0" w:space="0" w:color="auto"/>
      </w:divBdr>
    </w:div>
    <w:div w:id="1740011715">
      <w:bodyDiv w:val="1"/>
      <w:marLeft w:val="0"/>
      <w:marRight w:val="0"/>
      <w:marTop w:val="0"/>
      <w:marBottom w:val="0"/>
      <w:divBdr>
        <w:top w:val="none" w:sz="0" w:space="0" w:color="auto"/>
        <w:left w:val="none" w:sz="0" w:space="0" w:color="auto"/>
        <w:bottom w:val="none" w:sz="0" w:space="0" w:color="auto"/>
        <w:right w:val="none" w:sz="0" w:space="0" w:color="auto"/>
      </w:divBdr>
    </w:div>
    <w:div w:id="1879928827">
      <w:bodyDiv w:val="1"/>
      <w:marLeft w:val="0"/>
      <w:marRight w:val="0"/>
      <w:marTop w:val="0"/>
      <w:marBottom w:val="0"/>
      <w:divBdr>
        <w:top w:val="none" w:sz="0" w:space="0" w:color="auto"/>
        <w:left w:val="none" w:sz="0" w:space="0" w:color="auto"/>
        <w:bottom w:val="none" w:sz="0" w:space="0" w:color="auto"/>
        <w:right w:val="none" w:sz="0" w:space="0" w:color="auto"/>
      </w:divBdr>
      <w:divsChild>
        <w:div w:id="294220160">
          <w:marLeft w:val="0"/>
          <w:marRight w:val="0"/>
          <w:marTop w:val="0"/>
          <w:marBottom w:val="0"/>
          <w:divBdr>
            <w:top w:val="none" w:sz="0" w:space="0" w:color="auto"/>
            <w:left w:val="none" w:sz="0" w:space="0" w:color="auto"/>
            <w:bottom w:val="none" w:sz="0" w:space="0" w:color="auto"/>
            <w:right w:val="none" w:sz="0" w:space="0" w:color="auto"/>
          </w:divBdr>
          <w:divsChild>
            <w:div w:id="9483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599">
      <w:bodyDiv w:val="1"/>
      <w:marLeft w:val="0"/>
      <w:marRight w:val="0"/>
      <w:marTop w:val="0"/>
      <w:marBottom w:val="0"/>
      <w:divBdr>
        <w:top w:val="none" w:sz="0" w:space="0" w:color="auto"/>
        <w:left w:val="none" w:sz="0" w:space="0" w:color="auto"/>
        <w:bottom w:val="none" w:sz="0" w:space="0" w:color="auto"/>
        <w:right w:val="none" w:sz="0" w:space="0" w:color="auto"/>
      </w:divBdr>
    </w:div>
    <w:div w:id="1974560198">
      <w:bodyDiv w:val="1"/>
      <w:marLeft w:val="0"/>
      <w:marRight w:val="0"/>
      <w:marTop w:val="0"/>
      <w:marBottom w:val="0"/>
      <w:divBdr>
        <w:top w:val="none" w:sz="0" w:space="0" w:color="auto"/>
        <w:left w:val="none" w:sz="0" w:space="0" w:color="auto"/>
        <w:bottom w:val="none" w:sz="0" w:space="0" w:color="auto"/>
        <w:right w:val="none" w:sz="0" w:space="0" w:color="auto"/>
      </w:divBdr>
      <w:divsChild>
        <w:div w:id="1348212924">
          <w:marLeft w:val="0"/>
          <w:marRight w:val="0"/>
          <w:marTop w:val="0"/>
          <w:marBottom w:val="0"/>
          <w:divBdr>
            <w:top w:val="none" w:sz="0" w:space="0" w:color="auto"/>
            <w:left w:val="none" w:sz="0" w:space="0" w:color="auto"/>
            <w:bottom w:val="none" w:sz="0" w:space="0" w:color="auto"/>
            <w:right w:val="none" w:sz="0" w:space="0" w:color="auto"/>
          </w:divBdr>
          <w:divsChild>
            <w:div w:id="1817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489">
      <w:bodyDiv w:val="1"/>
      <w:marLeft w:val="0"/>
      <w:marRight w:val="0"/>
      <w:marTop w:val="0"/>
      <w:marBottom w:val="0"/>
      <w:divBdr>
        <w:top w:val="none" w:sz="0" w:space="0" w:color="auto"/>
        <w:left w:val="none" w:sz="0" w:space="0" w:color="auto"/>
        <w:bottom w:val="none" w:sz="0" w:space="0" w:color="auto"/>
        <w:right w:val="none" w:sz="0" w:space="0" w:color="auto"/>
      </w:divBdr>
    </w:div>
    <w:div w:id="2068262941">
      <w:bodyDiv w:val="1"/>
      <w:marLeft w:val="0"/>
      <w:marRight w:val="0"/>
      <w:marTop w:val="0"/>
      <w:marBottom w:val="0"/>
      <w:divBdr>
        <w:top w:val="none" w:sz="0" w:space="0" w:color="auto"/>
        <w:left w:val="none" w:sz="0" w:space="0" w:color="auto"/>
        <w:bottom w:val="none" w:sz="0" w:space="0" w:color="auto"/>
        <w:right w:val="none" w:sz="0" w:space="0" w:color="auto"/>
      </w:divBdr>
      <w:divsChild>
        <w:div w:id="1929774674">
          <w:marLeft w:val="0"/>
          <w:marRight w:val="0"/>
          <w:marTop w:val="0"/>
          <w:marBottom w:val="0"/>
          <w:divBdr>
            <w:top w:val="none" w:sz="0" w:space="0" w:color="auto"/>
            <w:left w:val="none" w:sz="0" w:space="0" w:color="auto"/>
            <w:bottom w:val="none" w:sz="0" w:space="0" w:color="auto"/>
            <w:right w:val="none" w:sz="0" w:space="0" w:color="auto"/>
          </w:divBdr>
          <w:divsChild>
            <w:div w:id="388843393">
              <w:marLeft w:val="0"/>
              <w:marRight w:val="0"/>
              <w:marTop w:val="0"/>
              <w:marBottom w:val="0"/>
              <w:divBdr>
                <w:top w:val="none" w:sz="0" w:space="0" w:color="auto"/>
                <w:left w:val="none" w:sz="0" w:space="0" w:color="auto"/>
                <w:bottom w:val="none" w:sz="0" w:space="0" w:color="auto"/>
                <w:right w:val="none" w:sz="0" w:space="0" w:color="auto"/>
              </w:divBdr>
            </w:div>
            <w:div w:id="1237057599">
              <w:marLeft w:val="0"/>
              <w:marRight w:val="0"/>
              <w:marTop w:val="0"/>
              <w:marBottom w:val="0"/>
              <w:divBdr>
                <w:top w:val="none" w:sz="0" w:space="0" w:color="auto"/>
                <w:left w:val="none" w:sz="0" w:space="0" w:color="auto"/>
                <w:bottom w:val="none" w:sz="0" w:space="0" w:color="auto"/>
                <w:right w:val="none" w:sz="0" w:space="0" w:color="auto"/>
              </w:divBdr>
            </w:div>
            <w:div w:id="24407497">
              <w:marLeft w:val="0"/>
              <w:marRight w:val="0"/>
              <w:marTop w:val="0"/>
              <w:marBottom w:val="0"/>
              <w:divBdr>
                <w:top w:val="none" w:sz="0" w:space="0" w:color="auto"/>
                <w:left w:val="none" w:sz="0" w:space="0" w:color="auto"/>
                <w:bottom w:val="none" w:sz="0" w:space="0" w:color="auto"/>
                <w:right w:val="none" w:sz="0" w:space="0" w:color="auto"/>
              </w:divBdr>
            </w:div>
            <w:div w:id="1347171110">
              <w:marLeft w:val="0"/>
              <w:marRight w:val="0"/>
              <w:marTop w:val="0"/>
              <w:marBottom w:val="0"/>
              <w:divBdr>
                <w:top w:val="none" w:sz="0" w:space="0" w:color="auto"/>
                <w:left w:val="none" w:sz="0" w:space="0" w:color="auto"/>
                <w:bottom w:val="none" w:sz="0" w:space="0" w:color="auto"/>
                <w:right w:val="none" w:sz="0" w:space="0" w:color="auto"/>
              </w:divBdr>
            </w:div>
            <w:div w:id="1605914584">
              <w:marLeft w:val="0"/>
              <w:marRight w:val="0"/>
              <w:marTop w:val="0"/>
              <w:marBottom w:val="0"/>
              <w:divBdr>
                <w:top w:val="none" w:sz="0" w:space="0" w:color="auto"/>
                <w:left w:val="none" w:sz="0" w:space="0" w:color="auto"/>
                <w:bottom w:val="none" w:sz="0" w:space="0" w:color="auto"/>
                <w:right w:val="none" w:sz="0" w:space="0" w:color="auto"/>
              </w:divBdr>
            </w:div>
            <w:div w:id="906263973">
              <w:marLeft w:val="0"/>
              <w:marRight w:val="0"/>
              <w:marTop w:val="0"/>
              <w:marBottom w:val="0"/>
              <w:divBdr>
                <w:top w:val="none" w:sz="0" w:space="0" w:color="auto"/>
                <w:left w:val="none" w:sz="0" w:space="0" w:color="auto"/>
                <w:bottom w:val="none" w:sz="0" w:space="0" w:color="auto"/>
                <w:right w:val="none" w:sz="0" w:space="0" w:color="auto"/>
              </w:divBdr>
            </w:div>
            <w:div w:id="1298948369">
              <w:marLeft w:val="0"/>
              <w:marRight w:val="0"/>
              <w:marTop w:val="0"/>
              <w:marBottom w:val="0"/>
              <w:divBdr>
                <w:top w:val="none" w:sz="0" w:space="0" w:color="auto"/>
                <w:left w:val="none" w:sz="0" w:space="0" w:color="auto"/>
                <w:bottom w:val="none" w:sz="0" w:space="0" w:color="auto"/>
                <w:right w:val="none" w:sz="0" w:space="0" w:color="auto"/>
              </w:divBdr>
            </w:div>
            <w:div w:id="1659918745">
              <w:marLeft w:val="0"/>
              <w:marRight w:val="0"/>
              <w:marTop w:val="0"/>
              <w:marBottom w:val="0"/>
              <w:divBdr>
                <w:top w:val="none" w:sz="0" w:space="0" w:color="auto"/>
                <w:left w:val="none" w:sz="0" w:space="0" w:color="auto"/>
                <w:bottom w:val="none" w:sz="0" w:space="0" w:color="auto"/>
                <w:right w:val="none" w:sz="0" w:space="0" w:color="auto"/>
              </w:divBdr>
            </w:div>
            <w:div w:id="1748185835">
              <w:marLeft w:val="0"/>
              <w:marRight w:val="0"/>
              <w:marTop w:val="0"/>
              <w:marBottom w:val="0"/>
              <w:divBdr>
                <w:top w:val="none" w:sz="0" w:space="0" w:color="auto"/>
                <w:left w:val="none" w:sz="0" w:space="0" w:color="auto"/>
                <w:bottom w:val="none" w:sz="0" w:space="0" w:color="auto"/>
                <w:right w:val="none" w:sz="0" w:space="0" w:color="auto"/>
              </w:divBdr>
            </w:div>
            <w:div w:id="1907642007">
              <w:marLeft w:val="0"/>
              <w:marRight w:val="0"/>
              <w:marTop w:val="0"/>
              <w:marBottom w:val="0"/>
              <w:divBdr>
                <w:top w:val="none" w:sz="0" w:space="0" w:color="auto"/>
                <w:left w:val="none" w:sz="0" w:space="0" w:color="auto"/>
                <w:bottom w:val="none" w:sz="0" w:space="0" w:color="auto"/>
                <w:right w:val="none" w:sz="0" w:space="0" w:color="auto"/>
              </w:divBdr>
            </w:div>
            <w:div w:id="517739736">
              <w:marLeft w:val="0"/>
              <w:marRight w:val="0"/>
              <w:marTop w:val="0"/>
              <w:marBottom w:val="0"/>
              <w:divBdr>
                <w:top w:val="none" w:sz="0" w:space="0" w:color="auto"/>
                <w:left w:val="none" w:sz="0" w:space="0" w:color="auto"/>
                <w:bottom w:val="none" w:sz="0" w:space="0" w:color="auto"/>
                <w:right w:val="none" w:sz="0" w:space="0" w:color="auto"/>
              </w:divBdr>
            </w:div>
            <w:div w:id="522747452">
              <w:marLeft w:val="0"/>
              <w:marRight w:val="0"/>
              <w:marTop w:val="0"/>
              <w:marBottom w:val="0"/>
              <w:divBdr>
                <w:top w:val="none" w:sz="0" w:space="0" w:color="auto"/>
                <w:left w:val="none" w:sz="0" w:space="0" w:color="auto"/>
                <w:bottom w:val="none" w:sz="0" w:space="0" w:color="auto"/>
                <w:right w:val="none" w:sz="0" w:space="0" w:color="auto"/>
              </w:divBdr>
            </w:div>
            <w:div w:id="1758790091">
              <w:marLeft w:val="0"/>
              <w:marRight w:val="0"/>
              <w:marTop w:val="0"/>
              <w:marBottom w:val="0"/>
              <w:divBdr>
                <w:top w:val="none" w:sz="0" w:space="0" w:color="auto"/>
                <w:left w:val="none" w:sz="0" w:space="0" w:color="auto"/>
                <w:bottom w:val="none" w:sz="0" w:space="0" w:color="auto"/>
                <w:right w:val="none" w:sz="0" w:space="0" w:color="auto"/>
              </w:divBdr>
            </w:div>
            <w:div w:id="1293512892">
              <w:marLeft w:val="0"/>
              <w:marRight w:val="0"/>
              <w:marTop w:val="0"/>
              <w:marBottom w:val="0"/>
              <w:divBdr>
                <w:top w:val="none" w:sz="0" w:space="0" w:color="auto"/>
                <w:left w:val="none" w:sz="0" w:space="0" w:color="auto"/>
                <w:bottom w:val="none" w:sz="0" w:space="0" w:color="auto"/>
                <w:right w:val="none" w:sz="0" w:space="0" w:color="auto"/>
              </w:divBdr>
            </w:div>
            <w:div w:id="1947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552</TotalTime>
  <Pages>16</Pages>
  <Words>11546</Words>
  <Characters>65818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116</cp:revision>
  <dcterms:created xsi:type="dcterms:W3CDTF">2025-03-23T17:55:00Z</dcterms:created>
  <dcterms:modified xsi:type="dcterms:W3CDTF">2025-07-10T05:58:00Z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id="qmmfjSrC"/&gt;&lt;style id="http://www.zotero.org/styles/apa" locale="en-US" hasBibliography="1" bibliographyStyleHasBeenSet="1"/&gt;&lt;prefs&gt;&lt;pref name="fieldType" value="Field"/&gt;&lt;/prefs&gt;&lt;/data&gt;</vt:lpwstr>
  </property>
</Properties>
</file>