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A535" w14:textId="77777777" w:rsidR="00164FB3" w:rsidRDefault="00164FB3">
      <w:pPr>
        <w:rPr>
          <w:lang w:val="sl-SI"/>
        </w:rPr>
      </w:pPr>
    </w:p>
    <w:p w14:paraId="797A89EF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>Ustreznost zasnove naslova: preširoko zastavljen</w:t>
      </w:r>
    </w:p>
    <w:p w14:paraId="6D0A86F7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>- terminolgija: Early Childhood Education and care?</w:t>
      </w:r>
    </w:p>
    <w:p w14:paraId="47E8965C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 w:rsidRPr="004F071C">
        <w:rPr>
          <w:rFonts w:ascii="Times New Roman" w:eastAsia="Times New Roman" w:hAnsi="Times New Roman"/>
          <w:sz w:val="24"/>
          <w:szCs w:val="24"/>
          <w:lang w:val="sl-SI" w:eastAsia="sl-SI"/>
        </w:rPr>
        <w:t>-</w:t>
      </w:r>
      <w:r>
        <w:rPr>
          <w:rFonts w:ascii="Times New Roman" w:eastAsia="Times New Roman" w:hAnsi="Times New Roman"/>
          <w:sz w:val="24"/>
          <w:szCs w:val="24"/>
          <w:lang w:val="sl-SI" w:eastAsia="sl-SI"/>
        </w:rPr>
        <w:t xml:space="preserve"> instrument je že validiran, </w:t>
      </w:r>
    </w:p>
    <w:p w14:paraId="40DD1F2A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>- Paradigm Variations?</w:t>
      </w:r>
    </w:p>
    <w:p w14:paraId="7E015CA1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 xml:space="preserve">Ustreznost povzetka: </w:t>
      </w:r>
    </w:p>
    <w:p w14:paraId="154B8C8B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 w:rsidRPr="004F071C">
        <w:rPr>
          <w:rFonts w:ascii="Times New Roman" w:eastAsia="Times New Roman" w:hAnsi="Times New Roman"/>
          <w:sz w:val="24"/>
          <w:szCs w:val="24"/>
          <w:lang w:val="sl-SI" w:eastAsia="sl-SI"/>
        </w:rPr>
        <w:t>-</w:t>
      </w:r>
      <w:r>
        <w:rPr>
          <w:rFonts w:ascii="Times New Roman" w:eastAsia="Times New Roman" w:hAnsi="Times New Roman"/>
          <w:sz w:val="24"/>
          <w:szCs w:val="24"/>
          <w:lang w:val="sl-SI" w:eastAsia="sl-SI"/>
        </w:rPr>
        <w:t xml:space="preserve"> </w:t>
      </w:r>
      <w:r w:rsidRPr="003F6B11">
        <w:rPr>
          <w:rFonts w:ascii="Times New Roman" w:eastAsia="Times New Roman" w:hAnsi="Times New Roman"/>
          <w:sz w:val="24"/>
          <w:szCs w:val="24"/>
          <w:u w:val="single"/>
          <w:lang w:val="sl-SI" w:eastAsia="sl-SI"/>
        </w:rPr>
        <w:t>starševske odločitve</w:t>
      </w:r>
      <w:r>
        <w:rPr>
          <w:rFonts w:ascii="Times New Roman" w:eastAsia="Times New Roman" w:hAnsi="Times New Roman"/>
          <w:sz w:val="24"/>
          <w:szCs w:val="24"/>
          <w:lang w:val="sl-SI" w:eastAsia="sl-SI"/>
        </w:rPr>
        <w:t xml:space="preserve"> glede vključitve v VIZ? </w:t>
      </w:r>
    </w:p>
    <w:p w14:paraId="0E5B744F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>- ponovljeno navedena področja otrokovega razvoja,</w:t>
      </w:r>
    </w:p>
    <w:p w14:paraId="6589BCEF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 xml:space="preserve">- </w:t>
      </w:r>
      <w:r w:rsidRPr="003F6B11">
        <w:rPr>
          <w:rFonts w:ascii="Times New Roman" w:eastAsia="Times New Roman" w:hAnsi="Times New Roman"/>
          <w:sz w:val="24"/>
          <w:szCs w:val="24"/>
          <w:u w:val="single"/>
          <w:lang w:val="sl-SI" w:eastAsia="sl-SI"/>
        </w:rPr>
        <w:t>vidiki vključevanja</w:t>
      </w:r>
      <w:r>
        <w:rPr>
          <w:rFonts w:ascii="Times New Roman" w:eastAsia="Times New Roman" w:hAnsi="Times New Roman"/>
          <w:sz w:val="24"/>
          <w:szCs w:val="24"/>
          <w:lang w:val="sl-SI" w:eastAsia="sl-SI"/>
        </w:rPr>
        <w:t xml:space="preserve"> otrok v vrtec? </w:t>
      </w:r>
    </w:p>
    <w:p w14:paraId="70220C8A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 xml:space="preserve">- zaznani </w:t>
      </w:r>
      <w:r w:rsidRPr="003F6B11">
        <w:rPr>
          <w:rFonts w:ascii="Times New Roman" w:eastAsia="Times New Roman" w:hAnsi="Times New Roman"/>
          <w:sz w:val="24"/>
          <w:szCs w:val="24"/>
          <w:u w:val="single"/>
          <w:lang w:val="sl-SI" w:eastAsia="sl-SI"/>
        </w:rPr>
        <w:t>vpliv vrtca</w:t>
      </w:r>
      <w:r>
        <w:rPr>
          <w:rFonts w:ascii="Times New Roman" w:eastAsia="Times New Roman" w:hAnsi="Times New Roman"/>
          <w:sz w:val="24"/>
          <w:szCs w:val="24"/>
          <w:lang w:val="sl-SI" w:eastAsia="sl-SI"/>
        </w:rPr>
        <w:t xml:space="preserve"> na otrokov razvoj ali </w:t>
      </w:r>
      <w:r w:rsidRPr="003F6B11">
        <w:rPr>
          <w:rFonts w:ascii="Times New Roman" w:eastAsia="Times New Roman" w:hAnsi="Times New Roman"/>
          <w:sz w:val="24"/>
          <w:szCs w:val="24"/>
          <w:u w:val="single"/>
          <w:lang w:val="sl-SI" w:eastAsia="sl-SI"/>
        </w:rPr>
        <w:t>pričakovanja staršev</w:t>
      </w:r>
      <w:r>
        <w:rPr>
          <w:rFonts w:ascii="Times New Roman" w:eastAsia="Times New Roman" w:hAnsi="Times New Roman"/>
          <w:sz w:val="24"/>
          <w:szCs w:val="24"/>
          <w:lang w:val="sl-SI" w:eastAsia="sl-SI"/>
        </w:rPr>
        <w:t>?</w:t>
      </w:r>
    </w:p>
    <w:p w14:paraId="654803AA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>- morda rezultati razkrivajo, da lahko VVZ upošteva relevantne dejavnike pri VIZ delu oz. so smernica za delo vzgojiteljev?</w:t>
      </w:r>
    </w:p>
    <w:p w14:paraId="053E2A97" w14:textId="77777777" w:rsidR="003900F2" w:rsidRDefault="003900F2" w:rsidP="003900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</w:p>
    <w:p w14:paraId="73FF7074" w14:textId="77777777" w:rsidR="003900F2" w:rsidRDefault="003900F2" w:rsidP="003900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</w:p>
    <w:p w14:paraId="5893F9A2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>Early Childhood Education and care?</w:t>
      </w:r>
    </w:p>
    <w:p w14:paraId="3FDCA6C6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>Expectations-opinions-perception-aspects?</w:t>
      </w:r>
    </w:p>
    <w:p w14:paraId="2EE36341" w14:textId="0EF6DB7D" w:rsidR="003900F2" w:rsidRDefault="003900F2" w:rsidP="003900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>Prevodi posameznih področij kurikula?</w:t>
      </w:r>
    </w:p>
    <w:p w14:paraId="6061A125" w14:textId="77777777" w:rsidR="003900F2" w:rsidRDefault="003900F2" w:rsidP="003900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</w:p>
    <w:p w14:paraId="6793BFA7" w14:textId="77777777" w:rsidR="003900F2" w:rsidRDefault="003900F2" w:rsidP="003900F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sl-SI" w:eastAsia="sl-SI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 xml:space="preserve">Ustreznost vsebine glede na podnaslove? </w:t>
      </w:r>
    </w:p>
    <w:p w14:paraId="0D11C145" w14:textId="2A2C63BA" w:rsidR="003900F2" w:rsidRDefault="003900F2" w:rsidP="003900F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14:ligatures w14:val="none"/>
        </w:rPr>
      </w:pPr>
      <w:r>
        <w:rPr>
          <w:rFonts w:ascii="Times New Roman" w:eastAsia="Times New Roman" w:hAnsi="Times New Roman"/>
          <w:sz w:val="24"/>
          <w:szCs w:val="24"/>
          <w:lang w:val="sl-SI" w:eastAsia="sl-SI"/>
        </w:rPr>
        <w:t>1.3 se nadaljuje z 1. (curriculum activities for movement in sledeči podnaslovi opisujejo razumevanje vsebin in pomena posameznih področij kurikula, faktorje na otrokov razvoj v okviru posameznih področij kurikula ter potrebne pristope. Pri vsakem različno.)</w:t>
      </w:r>
    </w:p>
    <w:p w14:paraId="3BE495FB" w14:textId="77777777" w:rsidR="00CB7E72" w:rsidRDefault="00CB7E72" w:rsidP="00CB7E72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14:ligatures w14:val="none"/>
        </w:rPr>
      </w:pPr>
    </w:p>
    <w:p w14:paraId="6FBBB646" w14:textId="118C83E9" w:rsidR="00164FB3" w:rsidRDefault="00164FB3" w:rsidP="00CB7E72">
      <w:pPr>
        <w:rPr>
          <w:lang w:val="sl-SI"/>
        </w:rPr>
      </w:pPr>
    </w:p>
    <w:tbl>
      <w:tblPr>
        <w:tblStyle w:val="Tabela-mrea1"/>
        <w:tblW w:w="4851" w:type="pct"/>
        <w:tblLook w:val="04A0" w:firstRow="1" w:lastRow="0" w:firstColumn="1" w:lastColumn="0" w:noHBand="0" w:noVBand="1"/>
      </w:tblPr>
      <w:tblGrid>
        <w:gridCol w:w="3106"/>
        <w:gridCol w:w="2580"/>
        <w:gridCol w:w="3106"/>
      </w:tblGrid>
      <w:tr w:rsidR="00DF3C46" w:rsidRPr="008D7B40" w14:paraId="2B64348E" w14:textId="77777777" w:rsidTr="00CE6E76">
        <w:trPr>
          <w:gridAfter w:val="1"/>
          <w:wAfter w:w="3106" w:type="dxa"/>
          <w:trHeight w:val="624"/>
        </w:trPr>
        <w:tc>
          <w:tcPr>
            <w:tcW w:w="5686" w:type="dxa"/>
            <w:gridSpan w:val="2"/>
            <w:shd w:val="pct10" w:color="auto" w:fill="auto"/>
            <w:vAlign w:val="center"/>
          </w:tcPr>
          <w:p w14:paraId="46E07137" w14:textId="77777777" w:rsidR="00DF3C46" w:rsidRPr="008D7B40" w:rsidRDefault="00DF3C46" w:rsidP="00CE6E76">
            <w:pPr>
              <w:widowControl w:val="0"/>
              <w:rPr>
                <w:rFonts w:eastAsia="Times New Roman"/>
                <w:b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b/>
                <w:sz w:val="24"/>
                <w:szCs w:val="24"/>
                <w:lang w:val="sl-SI"/>
              </w:rPr>
              <w:t>Recenzentski obrazec</w:t>
            </w:r>
          </w:p>
        </w:tc>
      </w:tr>
      <w:tr w:rsidR="00DF3C46" w:rsidRPr="008D7B40" w14:paraId="7B1787A1" w14:textId="77777777" w:rsidTr="00CE6E76">
        <w:trPr>
          <w:trHeight w:val="624"/>
        </w:trPr>
        <w:tc>
          <w:tcPr>
            <w:tcW w:w="3106" w:type="dxa"/>
            <w:shd w:val="pct10" w:color="auto" w:fill="auto"/>
            <w:vAlign w:val="center"/>
          </w:tcPr>
          <w:p w14:paraId="3E4102CE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sz w:val="24"/>
                <w:szCs w:val="24"/>
                <w:lang w:val="sl-SI"/>
              </w:rPr>
              <w:t>Naslov seminarske naloge</w:t>
            </w:r>
          </w:p>
        </w:tc>
        <w:tc>
          <w:tcPr>
            <w:tcW w:w="5686" w:type="dxa"/>
            <w:gridSpan w:val="2"/>
            <w:shd w:val="pct10" w:color="auto" w:fill="auto"/>
            <w:vAlign w:val="center"/>
          </w:tcPr>
          <w:p w14:paraId="5F155CCB" w14:textId="77777777" w:rsidR="00DF3C46" w:rsidRPr="00C973A8" w:rsidRDefault="00DF3C46" w:rsidP="00CE6E76">
            <w:pPr>
              <w:pStyle w:val="paragraph"/>
              <w:spacing w:before="0" w:beforeAutospacing="0" w:after="160" w:afterAutospacing="0"/>
              <w:jc w:val="both"/>
              <w:textAlignment w:val="baseline"/>
            </w:pPr>
            <w:r w:rsidRPr="00C973A8">
              <w:rPr>
                <w:rStyle w:val="normaltextrun"/>
                <w:lang w:val="en-GB"/>
              </w:rPr>
              <w:t>Parental Expectations of Child Development in Early Childhood Education and care: Instrument, Paradigm Variations, and Environmental Influences</w:t>
            </w:r>
            <w:r w:rsidRPr="00C973A8">
              <w:rPr>
                <w:rStyle w:val="eop"/>
              </w:rPr>
              <w:t> </w:t>
            </w:r>
          </w:p>
          <w:p w14:paraId="5195CE48" w14:textId="77777777" w:rsidR="00DF3C46" w:rsidRPr="00C973A8" w:rsidRDefault="00DF3C46" w:rsidP="00CE6E76">
            <w:pPr>
              <w:widowControl w:val="0"/>
              <w:rPr>
                <w:sz w:val="22"/>
                <w:szCs w:val="22"/>
                <w:lang w:val="sl-SI"/>
              </w:rPr>
            </w:pPr>
          </w:p>
        </w:tc>
      </w:tr>
      <w:tr w:rsidR="00DF3C46" w:rsidRPr="008D7B40" w14:paraId="6E5FDA7B" w14:textId="77777777" w:rsidTr="00CE6E76">
        <w:trPr>
          <w:trHeight w:val="624"/>
        </w:trPr>
        <w:tc>
          <w:tcPr>
            <w:tcW w:w="3106" w:type="dxa"/>
            <w:shd w:val="pct10" w:color="auto" w:fill="auto"/>
            <w:vAlign w:val="center"/>
          </w:tcPr>
          <w:p w14:paraId="50BB25C5" w14:textId="77777777" w:rsidR="00DF3C46" w:rsidRPr="008D7B40" w:rsidRDefault="00DF3C46" w:rsidP="00CE6E76">
            <w:pPr>
              <w:widowControl w:val="0"/>
              <w:rPr>
                <w:rFonts w:eastAsia="Times New Roman"/>
                <w:b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b/>
                <w:sz w:val="24"/>
                <w:szCs w:val="24"/>
                <w:lang w:val="sl-SI"/>
              </w:rPr>
              <w:t>Kriterij</w:t>
            </w:r>
          </w:p>
        </w:tc>
        <w:tc>
          <w:tcPr>
            <w:tcW w:w="5686" w:type="dxa"/>
            <w:gridSpan w:val="2"/>
            <w:shd w:val="pct10" w:color="auto" w:fill="auto"/>
            <w:vAlign w:val="center"/>
          </w:tcPr>
          <w:p w14:paraId="36A4E131" w14:textId="77777777" w:rsidR="00DF3C46" w:rsidRPr="008D7B40" w:rsidRDefault="00DF3C46" w:rsidP="00CE6E76">
            <w:pPr>
              <w:widowControl w:val="0"/>
              <w:rPr>
                <w:rFonts w:eastAsia="Times New Roman"/>
                <w:b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b/>
                <w:sz w:val="24"/>
                <w:szCs w:val="24"/>
                <w:lang w:val="sl-SI"/>
              </w:rPr>
              <w:t xml:space="preserve">Komentar </w:t>
            </w:r>
          </w:p>
        </w:tc>
      </w:tr>
      <w:tr w:rsidR="00DF3C46" w:rsidRPr="008D7B40" w14:paraId="5A7B9E34" w14:textId="77777777" w:rsidTr="00CE6E76">
        <w:trPr>
          <w:trHeight w:val="624"/>
        </w:trPr>
        <w:tc>
          <w:tcPr>
            <w:tcW w:w="3106" w:type="dxa"/>
            <w:shd w:val="clear" w:color="auto" w:fill="auto"/>
            <w:vAlign w:val="center"/>
          </w:tcPr>
          <w:p w14:paraId="6E4D9E09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sz w:val="24"/>
                <w:szCs w:val="24"/>
                <w:lang w:val="sl-SI"/>
              </w:rPr>
              <w:t xml:space="preserve">Skladnost vsebine prispevka s </w:t>
            </w:r>
            <w:r>
              <w:rPr>
                <w:rFonts w:eastAsia="Times New Roman"/>
                <w:sz w:val="24"/>
                <w:szCs w:val="24"/>
                <w:lang w:val="sl-SI"/>
              </w:rPr>
              <w:t>področjem edukacijskih ved/zgodnjega učenja in poučevanja</w:t>
            </w:r>
          </w:p>
        </w:tc>
        <w:tc>
          <w:tcPr>
            <w:tcW w:w="5686" w:type="dxa"/>
            <w:gridSpan w:val="2"/>
            <w:shd w:val="clear" w:color="auto" w:fill="auto"/>
            <w:vAlign w:val="center"/>
          </w:tcPr>
          <w:p w14:paraId="32B4BB21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>
              <w:rPr>
                <w:rFonts w:eastAsia="Times New Roman"/>
                <w:sz w:val="24"/>
                <w:szCs w:val="24"/>
                <w:lang w:val="sl-SI"/>
              </w:rPr>
              <w:t xml:space="preserve">Prispevek je sicer skladen z področjem zgodnjega učenja in poučevanja, a je opaziti, da avtor članka ne pozna področja predšolske vzgoje. </w:t>
            </w:r>
          </w:p>
        </w:tc>
      </w:tr>
      <w:tr w:rsidR="00DF3C46" w:rsidRPr="008D7B40" w14:paraId="4569D449" w14:textId="77777777" w:rsidTr="00CE6E76">
        <w:trPr>
          <w:trHeight w:val="624"/>
        </w:trPr>
        <w:tc>
          <w:tcPr>
            <w:tcW w:w="3106" w:type="dxa"/>
            <w:shd w:val="clear" w:color="auto" w:fill="auto"/>
            <w:vAlign w:val="center"/>
          </w:tcPr>
          <w:p w14:paraId="53711A17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sz w:val="24"/>
                <w:szCs w:val="24"/>
                <w:lang w:val="sl-SI"/>
              </w:rPr>
              <w:t>Ustreznost zasnove naslova, povzetka in ključnih besed</w:t>
            </w:r>
          </w:p>
        </w:tc>
        <w:tc>
          <w:tcPr>
            <w:tcW w:w="5686" w:type="dxa"/>
            <w:gridSpan w:val="2"/>
            <w:shd w:val="clear" w:color="auto" w:fill="auto"/>
            <w:vAlign w:val="center"/>
          </w:tcPr>
          <w:p w14:paraId="3502BF18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>
              <w:rPr>
                <w:rFonts w:eastAsia="Times New Roman"/>
                <w:sz w:val="24"/>
                <w:szCs w:val="24"/>
                <w:lang w:val="sl-SI"/>
              </w:rPr>
              <w:t xml:space="preserve">V naslovu avtor navaja Pričakovanja staršev glede otrokovega razvoja, v povzetku navaja avtor vidike zakaj se starši odločijo za vpis v predšolsko vzgojo, starševske poglede na različne vidike vpisa. </w:t>
            </w:r>
          </w:p>
        </w:tc>
      </w:tr>
      <w:tr w:rsidR="00DF3C46" w:rsidRPr="008D7B40" w14:paraId="5159E42C" w14:textId="77777777" w:rsidTr="00CE6E76">
        <w:trPr>
          <w:trHeight w:val="624"/>
        </w:trPr>
        <w:tc>
          <w:tcPr>
            <w:tcW w:w="3106" w:type="dxa"/>
            <w:shd w:val="clear" w:color="auto" w:fill="auto"/>
            <w:vAlign w:val="center"/>
          </w:tcPr>
          <w:p w14:paraId="0801C2D3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sz w:val="24"/>
                <w:szCs w:val="24"/>
                <w:lang w:val="sl-SI"/>
              </w:rPr>
              <w:t>Ustreznost zasnove in izpeljave teme, uporabe znanstvenega aparata in metodološka ustreznost</w:t>
            </w:r>
          </w:p>
        </w:tc>
        <w:tc>
          <w:tcPr>
            <w:tcW w:w="5686" w:type="dxa"/>
            <w:gridSpan w:val="2"/>
            <w:shd w:val="clear" w:color="auto" w:fill="auto"/>
            <w:vAlign w:val="center"/>
          </w:tcPr>
          <w:p w14:paraId="469BC503" w14:textId="77777777" w:rsidR="00DF3C46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>
              <w:rPr>
                <w:rFonts w:eastAsia="Times New Roman"/>
                <w:sz w:val="24"/>
                <w:szCs w:val="24"/>
                <w:lang w:val="sl-SI"/>
              </w:rPr>
              <w:t>Meni osebno preveč tuje literature, ki ne sovpada z vzgojno izobraževalnim sistemom predšolske vzgoje v slovenskem prostoru. V slovenskem prostoru imamo kar nekaj dobrih znanstvenih prispevkov na temo predšolske vzgoje, ki so povezani z tematiko tega prispevka (Marjanovič Umek, Rutar, Ferbežar, Vodopivec Lipičnik, Fekonja, idr.)</w:t>
            </w:r>
          </w:p>
          <w:p w14:paraId="60E1CBF2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</w:p>
        </w:tc>
      </w:tr>
      <w:tr w:rsidR="00DF3C46" w:rsidRPr="008D7B40" w14:paraId="391E2B88" w14:textId="77777777" w:rsidTr="00CE6E76">
        <w:trPr>
          <w:trHeight w:val="624"/>
        </w:trPr>
        <w:tc>
          <w:tcPr>
            <w:tcW w:w="3106" w:type="dxa"/>
            <w:shd w:val="clear" w:color="auto" w:fill="auto"/>
            <w:vAlign w:val="center"/>
          </w:tcPr>
          <w:p w14:paraId="00933CFC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sz w:val="24"/>
                <w:szCs w:val="24"/>
                <w:lang w:val="sl-SI"/>
              </w:rPr>
              <w:lastRenderedPageBreak/>
              <w:t>Terminološka ustreznost</w:t>
            </w:r>
          </w:p>
        </w:tc>
        <w:tc>
          <w:tcPr>
            <w:tcW w:w="5686" w:type="dxa"/>
            <w:gridSpan w:val="2"/>
            <w:shd w:val="clear" w:color="auto" w:fill="auto"/>
            <w:vAlign w:val="center"/>
          </w:tcPr>
          <w:p w14:paraId="2B975096" w14:textId="77777777" w:rsidR="00DF3C46" w:rsidRPr="00B833AC" w:rsidRDefault="00DF3C46" w:rsidP="00CE6E76">
            <w:pPr>
              <w:pStyle w:val="paragraph"/>
              <w:spacing w:before="0" w:beforeAutospacing="0" w:after="0" w:afterAutospacing="0"/>
              <w:ind w:left="720" w:hanging="720"/>
              <w:jc w:val="both"/>
              <w:textAlignment w:val="baseline"/>
            </w:pPr>
            <w:r w:rsidRPr="004F19C2">
              <w:t>Termini v poglavju 1.3. ne sovpadajo z temini v Kurikulumu (1999), po kurikulumu za predšolsko vzgojo imamo šest področij in sicer GIBANJE, JEZIK, DRUŽBA, NARAVA, UMETNOST (ki se deli na likovno, glasbeno, ples,..) in MATEMATIKA</w:t>
            </w:r>
            <w:r>
              <w:t xml:space="preserve">. Termini v angleškem jeziku so ustrezno uporabljeni v članku </w:t>
            </w:r>
            <w:r w:rsidRPr="00B833AC">
              <w:t xml:space="preserve">avtorjev </w:t>
            </w:r>
            <w:proofErr w:type="spellStart"/>
            <w:r w:rsidRPr="00B833AC">
              <w:rPr>
                <w:rStyle w:val="normaltextrun"/>
                <w:lang w:val="en-GB"/>
              </w:rPr>
              <w:t>Čotar</w:t>
            </w:r>
            <w:proofErr w:type="spellEnd"/>
            <w:r w:rsidRPr="00B833AC">
              <w:rPr>
                <w:rStyle w:val="normaltextrun"/>
                <w:lang w:val="en-GB"/>
              </w:rPr>
              <w:t xml:space="preserve"> Konrad, S., </w:t>
            </w:r>
            <w:proofErr w:type="spellStart"/>
            <w:r w:rsidRPr="00B833AC">
              <w:rPr>
                <w:rStyle w:val="normaltextrun"/>
                <w:lang w:val="en-GB"/>
              </w:rPr>
              <w:t>Drljić</w:t>
            </w:r>
            <w:proofErr w:type="spellEnd"/>
            <w:r w:rsidRPr="00B833AC">
              <w:rPr>
                <w:rStyle w:val="normaltextrun"/>
                <w:lang w:val="en-GB"/>
              </w:rPr>
              <w:t xml:space="preserve">, K., Rutar, S., Simčič, B., &amp; Štemberger, T. (2025). Parents’ Perspective on the Role of Preschool Education: A Validation Study. </w:t>
            </w:r>
            <w:proofErr w:type="spellStart"/>
            <w:r w:rsidRPr="00B833AC">
              <w:rPr>
                <w:rStyle w:val="normaltextrun"/>
                <w:i/>
                <w:iCs/>
                <w:lang w:val="en-GB"/>
              </w:rPr>
              <w:t>Pedagoška</w:t>
            </w:r>
            <w:proofErr w:type="spellEnd"/>
            <w:r w:rsidRPr="00B833AC">
              <w:rPr>
                <w:rStyle w:val="normaltextrun"/>
                <w:i/>
                <w:iCs/>
                <w:lang w:val="en-GB"/>
              </w:rPr>
              <w:t xml:space="preserve"> </w:t>
            </w:r>
            <w:proofErr w:type="spellStart"/>
            <w:r w:rsidRPr="00B833AC">
              <w:rPr>
                <w:rStyle w:val="normaltextrun"/>
                <w:i/>
                <w:iCs/>
                <w:lang w:val="en-GB"/>
              </w:rPr>
              <w:t>Obzorja</w:t>
            </w:r>
            <w:proofErr w:type="spellEnd"/>
            <w:r w:rsidRPr="00B833AC">
              <w:rPr>
                <w:rStyle w:val="normaltextrun"/>
                <w:lang w:val="en-GB"/>
              </w:rPr>
              <w:t xml:space="preserve">, </w:t>
            </w:r>
            <w:r w:rsidRPr="00B833AC">
              <w:rPr>
                <w:rStyle w:val="normaltextrun"/>
                <w:i/>
                <w:iCs/>
                <w:lang w:val="en-GB"/>
              </w:rPr>
              <w:t>40</w:t>
            </w:r>
            <w:r w:rsidRPr="00B833AC">
              <w:rPr>
                <w:rStyle w:val="normaltextrun"/>
                <w:lang w:val="en-GB"/>
              </w:rPr>
              <w:t>(1), 109–123. https://doi.org/10.55707/ds-po.v40i1.168</w:t>
            </w:r>
            <w:r w:rsidRPr="00B833AC">
              <w:rPr>
                <w:rStyle w:val="eop"/>
              </w:rPr>
              <w:t> iz katerega je tudi avtor tega članka črpal informacija.</w:t>
            </w:r>
          </w:p>
          <w:p w14:paraId="66FB5771" w14:textId="77777777" w:rsidR="00DF3C46" w:rsidRDefault="00DF3C46" w:rsidP="00CE6E76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F19C2">
              <w:rPr>
                <w:rFonts w:eastAsia="Times New Roman"/>
                <w:sz w:val="24"/>
                <w:szCs w:val="24"/>
              </w:rPr>
              <w:t xml:space="preserve">V </w:t>
            </w:r>
            <w:r>
              <w:rPr>
                <w:rFonts w:eastAsia="Times New Roman"/>
                <w:sz w:val="24"/>
                <w:szCs w:val="24"/>
              </w:rPr>
              <w:t>S</w:t>
            </w:r>
            <w:r w:rsidRPr="004F19C2">
              <w:rPr>
                <w:rFonts w:eastAsia="Times New Roman"/>
                <w:sz w:val="24"/>
                <w:szCs w:val="24"/>
              </w:rPr>
              <w:t>loveniji imamo koncept predšolske vzgoje in izobraževanja in ne koncept predšolske vzgoje in varstva.</w:t>
            </w:r>
          </w:p>
          <w:p w14:paraId="5356844C" w14:textId="77777777" w:rsidR="00DF3C46" w:rsidRPr="004F19C2" w:rsidRDefault="00DF3C46" w:rsidP="00CE6E76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 Sloveniji ni učni načrt za vrtce ampak Kurikulum za vrtce</w:t>
            </w:r>
          </w:p>
        </w:tc>
      </w:tr>
      <w:tr w:rsidR="00DF3C46" w:rsidRPr="008D7B40" w14:paraId="2BA24AD4" w14:textId="77777777" w:rsidTr="00CE6E76">
        <w:trPr>
          <w:trHeight w:val="624"/>
        </w:trPr>
        <w:tc>
          <w:tcPr>
            <w:tcW w:w="3106" w:type="dxa"/>
            <w:shd w:val="clear" w:color="auto" w:fill="auto"/>
            <w:vAlign w:val="center"/>
          </w:tcPr>
          <w:p w14:paraId="5578C4AA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sz w:val="24"/>
                <w:szCs w:val="24"/>
                <w:lang w:val="sl-SI"/>
              </w:rPr>
              <w:t>Ustreznost uporabljenih virov</w:t>
            </w:r>
          </w:p>
        </w:tc>
        <w:tc>
          <w:tcPr>
            <w:tcW w:w="5686" w:type="dxa"/>
            <w:gridSpan w:val="2"/>
            <w:shd w:val="clear" w:color="auto" w:fill="auto"/>
            <w:vAlign w:val="center"/>
          </w:tcPr>
          <w:p w14:paraId="151D99CF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>
              <w:rPr>
                <w:rFonts w:eastAsia="Times New Roman"/>
                <w:sz w:val="24"/>
                <w:szCs w:val="24"/>
                <w:lang w:val="sl-SI"/>
              </w:rPr>
              <w:t xml:space="preserve">Uporabljenih je veliko virov, pogrešam tudi navedbo nekaterih virov v samem prispevku (kot npr. v določenih delih je povzet Kurikulum (1999) pa ni označen v samem prispevku.  Pričakovala bi prispevek v slovenskem jeziku (tako je bilo tudi navodila na predavanjih, da so prispevki v slovenskem jeziku), predvsem bi pričakovala več slovenskih virov (imamo kar nekaj dobrih prispevkov na temo predšolske vzgoje priznanih avtorjev) iz katerih bi avtor črpal saj je sam prispevek usmerjen izključno v slovenski prostor. </w:t>
            </w:r>
          </w:p>
        </w:tc>
      </w:tr>
      <w:tr w:rsidR="00DF3C46" w:rsidRPr="008D7B40" w14:paraId="55565BEA" w14:textId="77777777" w:rsidTr="00CE6E76">
        <w:trPr>
          <w:trHeight w:val="624"/>
        </w:trPr>
        <w:tc>
          <w:tcPr>
            <w:tcW w:w="3106" w:type="dxa"/>
            <w:shd w:val="clear" w:color="auto" w:fill="auto"/>
            <w:vAlign w:val="center"/>
          </w:tcPr>
          <w:p w14:paraId="0C1D7C70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sz w:val="24"/>
                <w:szCs w:val="24"/>
                <w:lang w:val="sl-SI"/>
              </w:rPr>
              <w:t>Sporočilna jasnost besedila</w:t>
            </w:r>
          </w:p>
        </w:tc>
        <w:tc>
          <w:tcPr>
            <w:tcW w:w="5686" w:type="dxa"/>
            <w:gridSpan w:val="2"/>
            <w:shd w:val="clear" w:color="auto" w:fill="auto"/>
            <w:vAlign w:val="center"/>
          </w:tcPr>
          <w:p w14:paraId="623B8ADC" w14:textId="77777777" w:rsidR="00DF3C46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>
              <w:rPr>
                <w:rFonts w:eastAsia="Times New Roman"/>
                <w:sz w:val="24"/>
                <w:szCs w:val="24"/>
                <w:lang w:val="sl-SI"/>
              </w:rPr>
              <w:t xml:space="preserve">Iz poglavja Razprava ni razvidno kaj so konkretne ugotovitve glede pričakovanj pričakovanja staršev glede otrokove razvoja v predšolskem obdobju. </w:t>
            </w:r>
          </w:p>
          <w:p w14:paraId="214B0047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>
              <w:rPr>
                <w:rFonts w:eastAsia="Times New Roman"/>
                <w:sz w:val="24"/>
                <w:szCs w:val="24"/>
                <w:lang w:val="sl-SI"/>
              </w:rPr>
              <w:t xml:space="preserve">Med samim besedilom so tematike nejasne in nepovezane tematsko med seboj. </w:t>
            </w:r>
          </w:p>
        </w:tc>
      </w:tr>
      <w:tr w:rsidR="00DF3C46" w:rsidRPr="008D7B40" w14:paraId="6B654498" w14:textId="77777777" w:rsidTr="00CE6E76">
        <w:trPr>
          <w:trHeight w:val="624"/>
        </w:trPr>
        <w:tc>
          <w:tcPr>
            <w:tcW w:w="3106" w:type="dxa"/>
            <w:shd w:val="clear" w:color="auto" w:fill="auto"/>
            <w:vAlign w:val="center"/>
          </w:tcPr>
          <w:p w14:paraId="6D10FBB8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sz w:val="24"/>
                <w:szCs w:val="24"/>
                <w:lang w:val="sl-SI"/>
              </w:rPr>
              <w:t>Teoretska in praktična relevantnost</w:t>
            </w:r>
          </w:p>
        </w:tc>
        <w:tc>
          <w:tcPr>
            <w:tcW w:w="5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95A845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>
              <w:rPr>
                <w:rFonts w:eastAsia="Times New Roman"/>
                <w:sz w:val="24"/>
                <w:szCs w:val="24"/>
                <w:lang w:val="sl-SI"/>
              </w:rPr>
              <w:t xml:space="preserve">Težko ocenim ker že sama terminologija v delih prispevka ni ustrezna. Prispevka kot celote niti dobro ne razumem kaj želi sporočiti. To presojo prepuščam drugim. </w:t>
            </w:r>
          </w:p>
        </w:tc>
      </w:tr>
      <w:tr w:rsidR="00DF3C46" w:rsidRPr="008D7B40" w14:paraId="3F6D2D73" w14:textId="77777777" w:rsidTr="00CE6E76">
        <w:trPr>
          <w:trHeight w:val="58"/>
        </w:trPr>
        <w:tc>
          <w:tcPr>
            <w:tcW w:w="3106" w:type="dxa"/>
            <w:shd w:val="clear" w:color="auto" w:fill="auto"/>
            <w:vAlign w:val="center"/>
          </w:tcPr>
          <w:p w14:paraId="270559C8" w14:textId="77777777" w:rsidR="00DF3C46" w:rsidRPr="008D7B40" w:rsidRDefault="00DF3C46" w:rsidP="00CE6E76">
            <w:pPr>
              <w:widowControl w:val="0"/>
              <w:rPr>
                <w:rFonts w:eastAsia="Times New Roman"/>
                <w:b/>
                <w:sz w:val="24"/>
                <w:szCs w:val="24"/>
                <w:lang w:val="sl-SI"/>
              </w:rPr>
            </w:pPr>
            <w:r>
              <w:rPr>
                <w:rFonts w:eastAsia="Times New Roman"/>
                <w:b/>
                <w:sz w:val="24"/>
                <w:szCs w:val="24"/>
                <w:lang w:val="sl-SI"/>
              </w:rPr>
              <w:t>Vrednotenje seminarske naloge</w:t>
            </w:r>
          </w:p>
          <w:p w14:paraId="13520A20" w14:textId="77777777" w:rsidR="00DF3C46" w:rsidRPr="008D7B40" w:rsidRDefault="00DF3C46" w:rsidP="00CE6E76">
            <w:pPr>
              <w:widowControl w:val="0"/>
              <w:rPr>
                <w:rFonts w:eastAsia="Times New Roman"/>
                <w:sz w:val="24"/>
                <w:szCs w:val="24"/>
                <w:lang w:val="sl-SI"/>
              </w:rPr>
            </w:pPr>
            <w:r w:rsidRPr="008D7B40">
              <w:rPr>
                <w:rFonts w:eastAsia="Times New Roman"/>
                <w:sz w:val="24"/>
                <w:szCs w:val="24"/>
                <w:lang w:val="sl-SI"/>
              </w:rPr>
              <w:t>(ustrezno označite oziroma izbrišite neustrezne možnosti)</w:t>
            </w:r>
          </w:p>
        </w:tc>
        <w:tc>
          <w:tcPr>
            <w:tcW w:w="5686" w:type="dxa"/>
            <w:gridSpan w:val="2"/>
            <w:shd w:val="clear" w:color="auto" w:fill="auto"/>
            <w:vAlign w:val="center"/>
          </w:tcPr>
          <w:p w14:paraId="4D5B3781" w14:textId="77777777" w:rsidR="00DF3C46" w:rsidRPr="00C973A8" w:rsidRDefault="00DF3C46" w:rsidP="00CE6E76">
            <w:pPr>
              <w:widowControl w:val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Pri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tem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bom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distancirala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kajti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če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sem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pravilno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razbrala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Bor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ni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edini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avtor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prispevka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.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presojo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prepuščam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prof. dr. Štemberger, ki je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najbolj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kompetentna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tovrstne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presoje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na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tem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področju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. </w:t>
            </w:r>
          </w:p>
        </w:tc>
      </w:tr>
    </w:tbl>
    <w:p w14:paraId="74A707BA" w14:textId="77777777" w:rsidR="00DF3C46" w:rsidRPr="008D7B40" w:rsidRDefault="00DF3C46" w:rsidP="00CB7E72">
      <w:pPr>
        <w:rPr>
          <w:lang w:val="sl-SI"/>
        </w:rPr>
      </w:pPr>
    </w:p>
    <w:sectPr w:rsidR="00DF3C46" w:rsidRPr="008D7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BCA"/>
    <w:multiLevelType w:val="hybridMultilevel"/>
    <w:tmpl w:val="E68E5E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778"/>
    <w:multiLevelType w:val="hybridMultilevel"/>
    <w:tmpl w:val="0840E6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E20A4"/>
    <w:multiLevelType w:val="hybridMultilevel"/>
    <w:tmpl w:val="630E6AC6"/>
    <w:lvl w:ilvl="0" w:tplc="DDDE07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72BA0"/>
    <w:multiLevelType w:val="hybridMultilevel"/>
    <w:tmpl w:val="AE1E51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00522">
    <w:abstractNumId w:val="3"/>
  </w:num>
  <w:num w:numId="2" w16cid:durableId="82266042">
    <w:abstractNumId w:val="1"/>
  </w:num>
  <w:num w:numId="3" w16cid:durableId="455219216">
    <w:abstractNumId w:val="0"/>
  </w:num>
  <w:num w:numId="4" w16cid:durableId="503515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40"/>
    <w:rsid w:val="001527A7"/>
    <w:rsid w:val="00164FB3"/>
    <w:rsid w:val="001722E4"/>
    <w:rsid w:val="002B26FD"/>
    <w:rsid w:val="003900F2"/>
    <w:rsid w:val="003D0FE7"/>
    <w:rsid w:val="003D3ED5"/>
    <w:rsid w:val="003D4A07"/>
    <w:rsid w:val="00443BA5"/>
    <w:rsid w:val="004504A3"/>
    <w:rsid w:val="00483377"/>
    <w:rsid w:val="0054081F"/>
    <w:rsid w:val="005D392F"/>
    <w:rsid w:val="00791CB5"/>
    <w:rsid w:val="007A6EBA"/>
    <w:rsid w:val="007B2AAC"/>
    <w:rsid w:val="00881E53"/>
    <w:rsid w:val="008D47BE"/>
    <w:rsid w:val="008D7B40"/>
    <w:rsid w:val="009E7E48"/>
    <w:rsid w:val="00A73D7D"/>
    <w:rsid w:val="00B35948"/>
    <w:rsid w:val="00B46B13"/>
    <w:rsid w:val="00B510CF"/>
    <w:rsid w:val="00C85B0B"/>
    <w:rsid w:val="00CB7E72"/>
    <w:rsid w:val="00D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043E5"/>
  <w15:chartTrackingRefBased/>
  <w15:docId w15:val="{09F36F52-42BC-4605-8900-58FE8EA0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E72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40"/>
    <w:pPr>
      <w:suppressAutoHyphens/>
      <w:spacing w:after="200" w:line="360" w:lineRule="auto"/>
      <w:ind w:left="720"/>
      <w:contextualSpacing/>
      <w:jc w:val="both"/>
    </w:pPr>
    <w:rPr>
      <w:kern w:val="0"/>
      <w:lang w:val="sl-SI"/>
      <w14:ligatures w14:val="none"/>
    </w:rPr>
  </w:style>
  <w:style w:type="table" w:customStyle="1" w:styleId="Tabela-mrea1">
    <w:name w:val="Tabela - mreža1"/>
    <w:basedOn w:val="TableNormal"/>
    <w:rsid w:val="008D7B40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F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l-SI" w:eastAsia="sl-SI"/>
      <w14:ligatures w14:val="none"/>
    </w:rPr>
  </w:style>
  <w:style w:type="character" w:customStyle="1" w:styleId="normaltextrun">
    <w:name w:val="normaltextrun"/>
    <w:basedOn w:val="DefaultParagraphFont"/>
    <w:rsid w:val="00DF3C46"/>
  </w:style>
  <w:style w:type="character" w:customStyle="1" w:styleId="eop">
    <w:name w:val="eop"/>
    <w:basedOn w:val="DefaultParagraphFont"/>
    <w:rsid w:val="00DF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TŠ</dc:creator>
  <cp:keywords/>
  <dc:description/>
  <cp:lastModifiedBy>Bor Bregant</cp:lastModifiedBy>
  <cp:revision>20</cp:revision>
  <dcterms:created xsi:type="dcterms:W3CDTF">2025-05-15T09:40:00Z</dcterms:created>
  <dcterms:modified xsi:type="dcterms:W3CDTF">2025-05-21T18:06:00Z</dcterms:modified>
</cp:coreProperties>
</file>