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After that,</w:t>
      </w:r>
      <w:r w:rsidR="00077384">
        <w:t xml:space="preserve"> I will dive into the explanation of the sof</w:t>
      </w:r>
      <w:r w:rsidR="004307D8">
        <w:t xml:space="preserve">tware's </w:t>
      </w:r>
      <w:r w:rsidR="00077384">
        <w:t>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w:t>
      </w:r>
      <w:r w:rsidRPr="000B1EC3">
        <w:rPr>
          <w:i/>
        </w:rPr>
        <w:lastRenderedPageBreak/>
        <w:t>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lastRenderedPageBreak/>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E67B7B">
      <w:pPr>
        <w:spacing w:after="0" w:line="240" w:lineRule="auto"/>
        <w:jc w:val="both"/>
      </w:pP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t>Design plan:</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By opening the valuation definition dialog, it should allow edit the background without closing itself, should not close itself unless explicitly clicked on its Close button. This was after multiple symbols searches it remains and dont need to be opened over and over. It makes entering different company valuations into the screen easier. By clicking Add button it should execute the basic mathematical operations displayed in its right field. Should be freely movable across the screen.</w:t>
      </w:r>
    </w:p>
    <w:p w:rsidR="00CC415E" w:rsidRDefault="00CC415E" w:rsidP="00F11419">
      <w:pPr>
        <w:pStyle w:val="Listaszerbekezds"/>
        <w:numPr>
          <w:ilvl w:val="0"/>
          <w:numId w:val="2"/>
        </w:numPr>
        <w:spacing w:after="0" w:line="240" w:lineRule="auto"/>
        <w:jc w:val="both"/>
      </w:pPr>
      <w:r>
        <w:t>Search field with autocomplete, shoud provide all (101) searchable symblols. By writing a symbol letter into it, it should only display relevant symbols, such as the ones that are containing the supplied letters in them. Should execute search when selecting a company ticker and enter has been hit.</w:t>
      </w:r>
    </w:p>
    <w:p w:rsidR="00CA3919" w:rsidRDefault="00CA3919" w:rsidP="00CA3919">
      <w:pPr>
        <w:spacing w:after="0" w:line="240" w:lineRule="auto"/>
        <w:ind w:left="360"/>
        <w:jc w:val="both"/>
      </w:pPr>
    </w:p>
    <w:p w:rsidR="00CA3919" w:rsidRDefault="007D490D" w:rsidP="00861945">
      <w:pPr>
        <w:spacing w:after="0" w:line="240" w:lineRule="auto"/>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CA3919">
      <w:pPr>
        <w:spacing w:after="0" w:line="240" w:lineRule="auto"/>
        <w:ind w:left="360"/>
        <w:jc w:val="both"/>
      </w:pP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lastRenderedPageBreak/>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lastRenderedPageBreak/>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lastRenderedPageBreak/>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lastRenderedPageBreak/>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p>
    <w:p w:rsidR="002D7286" w:rsidRDefault="002D7286" w:rsidP="00934596">
      <w:pPr>
        <w:spacing w:after="0" w:line="240" w:lineRule="auto"/>
        <w:jc w:val="both"/>
        <w:rPr>
          <w:rFonts w:cstheme="minorHAnsi"/>
        </w:rPr>
      </w:pPr>
    </w:p>
    <w:p w:rsidR="002D7286" w:rsidRDefault="002D18EC" w:rsidP="00934596">
      <w:pPr>
        <w:spacing w:after="0" w:line="240" w:lineRule="auto"/>
        <w:jc w:val="both"/>
        <w:rPr>
          <w:rFonts w:cstheme="minorHAnsi"/>
        </w:rPr>
      </w:pPr>
      <w:r>
        <w:rPr>
          <w:rFonts w:cstheme="minorHAnsi"/>
        </w:rPr>
        <w:t>E</w:t>
      </w:r>
      <w:r w:rsidR="002D7286">
        <w:rPr>
          <w:rFonts w:cstheme="minorHAnsi"/>
        </w:rPr>
        <w:t>nvironment</w:t>
      </w:r>
      <w:r>
        <w:rPr>
          <w:rFonts w:cstheme="minorHAnsi"/>
        </w:rPr>
        <w:t xml:space="preserve"> setup</w:t>
      </w:r>
    </w:p>
    <w:p w:rsidR="002D7286" w:rsidRDefault="002D7286" w:rsidP="00934596">
      <w:pPr>
        <w:spacing w:after="0" w:line="240" w:lineRule="auto"/>
        <w:jc w:val="both"/>
        <w:rPr>
          <w:rFonts w:cstheme="minorHAnsi"/>
        </w:rPr>
      </w:pP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lastRenderedPageBreak/>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lastRenderedPageBreak/>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lastRenderedPageBreak/>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3308C"/>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13405"/>
    <w:rsid w:val="00620469"/>
    <w:rsid w:val="0062053C"/>
    <w:rsid w:val="00620E92"/>
    <w:rsid w:val="00621950"/>
    <w:rsid w:val="00624075"/>
    <w:rsid w:val="00627BF5"/>
    <w:rsid w:val="00634005"/>
    <w:rsid w:val="00637C95"/>
    <w:rsid w:val="00642941"/>
    <w:rsid w:val="00645588"/>
    <w:rsid w:val="00645E7F"/>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F72"/>
    <w:rsid w:val="006C7D69"/>
    <w:rsid w:val="006D1D0D"/>
    <w:rsid w:val="006D272B"/>
    <w:rsid w:val="006D4018"/>
    <w:rsid w:val="006E3286"/>
    <w:rsid w:val="006E6D77"/>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56D3"/>
    <w:rsid w:val="007C06F6"/>
    <w:rsid w:val="007C1224"/>
    <w:rsid w:val="007C7EE4"/>
    <w:rsid w:val="007D26CF"/>
    <w:rsid w:val="007D490D"/>
    <w:rsid w:val="007D5C99"/>
    <w:rsid w:val="007D6BBE"/>
    <w:rsid w:val="007F1E34"/>
    <w:rsid w:val="007F7FFD"/>
    <w:rsid w:val="0080397A"/>
    <w:rsid w:val="00810572"/>
    <w:rsid w:val="00813557"/>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605FF"/>
    <w:rsid w:val="00860C64"/>
    <w:rsid w:val="00861945"/>
    <w:rsid w:val="00862C74"/>
    <w:rsid w:val="00864BE0"/>
    <w:rsid w:val="00866F00"/>
    <w:rsid w:val="00872DED"/>
    <w:rsid w:val="0087380B"/>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4F3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7701"/>
    <w:rsid w:val="00C80E5E"/>
    <w:rsid w:val="00C86165"/>
    <w:rsid w:val="00C8685D"/>
    <w:rsid w:val="00C8705F"/>
    <w:rsid w:val="00C90F2E"/>
    <w:rsid w:val="00C91D3A"/>
    <w:rsid w:val="00C92AB3"/>
    <w:rsid w:val="00C96272"/>
    <w:rsid w:val="00C97CD2"/>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60AC"/>
    <w:rsid w:val="00CD7C5E"/>
    <w:rsid w:val="00CE4090"/>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0385D"/>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5D67"/>
    <w:rsid w:val="00E66B44"/>
    <w:rsid w:val="00E66C75"/>
    <w:rsid w:val="00E671B7"/>
    <w:rsid w:val="00E67B7B"/>
    <w:rsid w:val="00E67DBD"/>
    <w:rsid w:val="00E70878"/>
    <w:rsid w:val="00E77CD0"/>
    <w:rsid w:val="00E831BE"/>
    <w:rsid w:val="00E85CC9"/>
    <w:rsid w:val="00E85EA0"/>
    <w:rsid w:val="00E92F26"/>
    <w:rsid w:val="00E9303C"/>
    <w:rsid w:val="00E95BE9"/>
    <w:rsid w:val="00EA3DF4"/>
    <w:rsid w:val="00EA652F"/>
    <w:rsid w:val="00EB1D07"/>
    <w:rsid w:val="00EB4E64"/>
    <w:rsid w:val="00EB5EB7"/>
    <w:rsid w:val="00EB6608"/>
    <w:rsid w:val="00EC0FC1"/>
    <w:rsid w:val="00EC2BF4"/>
    <w:rsid w:val="00EC7082"/>
    <w:rsid w:val="00ED11F8"/>
    <w:rsid w:val="00ED13E7"/>
    <w:rsid w:val="00ED15B5"/>
    <w:rsid w:val="00ED16A7"/>
    <w:rsid w:val="00ED1F06"/>
    <w:rsid w:val="00ED1FB0"/>
    <w:rsid w:val="00ED31F6"/>
    <w:rsid w:val="00EE1831"/>
    <w:rsid w:val="00EE3CE2"/>
    <w:rsid w:val="00EF7A19"/>
    <w:rsid w:val="00F03757"/>
    <w:rsid w:val="00F06023"/>
    <w:rsid w:val="00F06CC3"/>
    <w:rsid w:val="00F11419"/>
    <w:rsid w:val="00F114E6"/>
    <w:rsid w:val="00F14DB1"/>
    <w:rsid w:val="00F16B30"/>
    <w:rsid w:val="00F170FC"/>
    <w:rsid w:val="00F21474"/>
    <w:rsid w:val="00F277F2"/>
    <w:rsid w:val="00F34BB7"/>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71689</TotalTime>
  <Pages>24</Pages>
  <Words>8507</Words>
  <Characters>50534</Characters>
  <Application>Microsoft Office Word</Application>
  <DocSecurity>0</DocSecurity>
  <Lines>1098</Lines>
  <Paragraphs>487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1406</cp:revision>
  <dcterms:created xsi:type="dcterms:W3CDTF">2021-08-30T07:30:00Z</dcterms:created>
  <dcterms:modified xsi:type="dcterms:W3CDTF">2022-05-25T01:18:00Z</dcterms:modified>
</cp:coreProperties>
</file>