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0C84" w14:textId="3A0E087D" w:rsidR="00792408" w:rsidRDefault="00792408" w:rsidP="00792408">
      <w:pPr>
        <w:pStyle w:val="Titre2"/>
      </w:pPr>
      <w:r>
        <w:t>Question 1</w:t>
      </w:r>
      <w:r w:rsidRPr="00792408">
        <w:rPr>
          <w:rFonts w:ascii="Calibri" w:hAnsi="Calibri" w:cs="Calibri"/>
        </w:rPr>
        <w:t xml:space="preserve"> </w:t>
      </w:r>
      <w:r w:rsidRPr="00792408">
        <w:t>–</w:t>
      </w:r>
      <w:r>
        <w:t xml:space="preserve"> </w:t>
      </w:r>
      <w:r w:rsidRPr="00792408">
        <w:t xml:space="preserve">Descriptive </w:t>
      </w:r>
      <w:proofErr w:type="spellStart"/>
      <w:r w:rsidRPr="00792408">
        <w:t>statistics</w:t>
      </w:r>
      <w:proofErr w:type="spellEnd"/>
      <w:r w:rsidRPr="00792408">
        <w:t>.</w:t>
      </w:r>
    </w:p>
    <w:p w14:paraId="284AE70A" w14:textId="77777777" w:rsidR="00792408" w:rsidRPr="00792408" w:rsidRDefault="00792408" w:rsidP="00792408"/>
    <w:p w14:paraId="2090B2E5" w14:textId="466D19D1" w:rsidR="00301100" w:rsidRPr="00E165DD" w:rsidRDefault="000428B7" w:rsidP="00E165DD">
      <w:pPr>
        <w:pStyle w:val="Paragraphedeliste"/>
        <w:numPr>
          <w:ilvl w:val="0"/>
          <w:numId w:val="5"/>
        </w:numPr>
        <w:jc w:val="both"/>
        <w:rPr>
          <w:rFonts w:asciiTheme="minorHAnsi" w:hAnsiTheme="minorHAnsi"/>
          <w:b/>
          <w:bCs/>
          <w:color w:val="000000" w:themeColor="text1"/>
          <w:u w:val="single"/>
          <w:lang w:val="en-US"/>
        </w:rPr>
      </w:pPr>
      <w:r w:rsidRPr="00E165DD">
        <w:rPr>
          <w:rFonts w:asciiTheme="minorHAnsi" w:hAnsiTheme="minorHAnsi"/>
          <w:b/>
          <w:bCs/>
          <w:color w:val="000000" w:themeColor="text1"/>
          <w:u w:val="single"/>
          <w:lang w:val="en-US"/>
        </w:rPr>
        <w:t xml:space="preserve">Why is </w:t>
      </w:r>
      <w:r w:rsidR="00E165DD">
        <w:rPr>
          <w:rFonts w:asciiTheme="minorHAnsi" w:hAnsiTheme="minorHAnsi"/>
          <w:b/>
          <w:bCs/>
          <w:color w:val="000000" w:themeColor="text1"/>
          <w:u w:val="single"/>
          <w:lang w:val="en-US"/>
        </w:rPr>
        <w:t>A</w:t>
      </w:r>
      <w:r w:rsidRPr="00E165DD">
        <w:rPr>
          <w:rFonts w:asciiTheme="minorHAnsi" w:hAnsiTheme="minorHAnsi"/>
          <w:b/>
          <w:bCs/>
          <w:color w:val="000000" w:themeColor="text1"/>
          <w:u w:val="single"/>
          <w:lang w:val="en-US"/>
        </w:rPr>
        <w:t xml:space="preserve">ssessing the </w:t>
      </w:r>
      <w:r w:rsidR="00E165DD">
        <w:rPr>
          <w:rFonts w:asciiTheme="minorHAnsi" w:hAnsiTheme="minorHAnsi"/>
          <w:b/>
          <w:bCs/>
          <w:color w:val="000000" w:themeColor="text1"/>
          <w:u w:val="single"/>
          <w:lang w:val="en-US"/>
        </w:rPr>
        <w:t>Q</w:t>
      </w:r>
      <w:r w:rsidRPr="00E165DD">
        <w:rPr>
          <w:rFonts w:asciiTheme="minorHAnsi" w:hAnsiTheme="minorHAnsi"/>
          <w:b/>
          <w:bCs/>
          <w:color w:val="000000" w:themeColor="text1"/>
          <w:u w:val="single"/>
          <w:lang w:val="en-US"/>
        </w:rPr>
        <w:t xml:space="preserve">uality of </w:t>
      </w:r>
      <w:r w:rsidR="00E165DD">
        <w:rPr>
          <w:rFonts w:asciiTheme="minorHAnsi" w:hAnsiTheme="minorHAnsi"/>
          <w:b/>
          <w:bCs/>
          <w:color w:val="000000" w:themeColor="text1"/>
          <w:u w:val="single"/>
          <w:lang w:val="en-US"/>
        </w:rPr>
        <w:t>F</w:t>
      </w:r>
      <w:r w:rsidRPr="00E165DD">
        <w:rPr>
          <w:rFonts w:asciiTheme="minorHAnsi" w:hAnsiTheme="minorHAnsi"/>
          <w:b/>
          <w:bCs/>
          <w:color w:val="000000" w:themeColor="text1"/>
          <w:u w:val="single"/>
          <w:lang w:val="en-US"/>
        </w:rPr>
        <w:t xml:space="preserve">inancial </w:t>
      </w:r>
      <w:r w:rsidR="00E165DD">
        <w:rPr>
          <w:rFonts w:asciiTheme="minorHAnsi" w:hAnsiTheme="minorHAnsi"/>
          <w:b/>
          <w:bCs/>
          <w:color w:val="000000" w:themeColor="text1"/>
          <w:u w:val="single"/>
          <w:lang w:val="en-US"/>
        </w:rPr>
        <w:t>A</w:t>
      </w:r>
      <w:r w:rsidRPr="00E165DD">
        <w:rPr>
          <w:rFonts w:asciiTheme="minorHAnsi" w:hAnsiTheme="minorHAnsi"/>
          <w:b/>
          <w:bCs/>
          <w:color w:val="000000" w:themeColor="text1"/>
          <w:u w:val="single"/>
          <w:lang w:val="en-US"/>
        </w:rPr>
        <w:t xml:space="preserve">dvice </w:t>
      </w:r>
      <w:r w:rsidR="00E165DD">
        <w:rPr>
          <w:rFonts w:asciiTheme="minorHAnsi" w:hAnsiTheme="minorHAnsi"/>
          <w:b/>
          <w:bCs/>
          <w:color w:val="000000" w:themeColor="text1"/>
          <w:u w:val="single"/>
          <w:lang w:val="en-US"/>
        </w:rPr>
        <w:t>D</w:t>
      </w:r>
      <w:r w:rsidRPr="00E165DD">
        <w:rPr>
          <w:rFonts w:asciiTheme="minorHAnsi" w:hAnsiTheme="minorHAnsi"/>
          <w:b/>
          <w:bCs/>
          <w:color w:val="000000" w:themeColor="text1"/>
          <w:u w:val="single"/>
          <w:lang w:val="en-US"/>
        </w:rPr>
        <w:t>ifficult?</w:t>
      </w:r>
    </w:p>
    <w:p w14:paraId="23A9AF4E" w14:textId="77777777" w:rsidR="000428B7" w:rsidRDefault="000428B7" w:rsidP="00643D67">
      <w:pPr>
        <w:jc w:val="both"/>
        <w:rPr>
          <w:rFonts w:asciiTheme="minorHAnsi" w:hAnsiTheme="minorHAnsi"/>
          <w:color w:val="000000" w:themeColor="text1"/>
          <w:lang w:val="en-US"/>
        </w:rPr>
      </w:pPr>
    </w:p>
    <w:p w14:paraId="13AF95BF" w14:textId="77777777" w:rsidR="000428B7" w:rsidRPr="000428B7" w:rsidRDefault="000428B7" w:rsidP="00643D67">
      <w:pPr>
        <w:jc w:val="both"/>
        <w:rPr>
          <w:rFonts w:asciiTheme="minorHAnsi" w:hAnsiTheme="minorHAnsi"/>
          <w:b/>
          <w:bCs/>
          <w:color w:val="000000" w:themeColor="text1"/>
          <w:lang w:val="en-US"/>
        </w:rPr>
      </w:pPr>
      <w:r w:rsidRPr="000428B7">
        <w:rPr>
          <w:rFonts w:asciiTheme="minorHAnsi" w:hAnsiTheme="minorHAnsi"/>
          <w:b/>
          <w:bCs/>
          <w:color w:val="000000" w:themeColor="text1"/>
          <w:lang w:val="en-US"/>
        </w:rPr>
        <w:t>Theoretical (Conceptual) Challenges in Assessing Financial Advice Quality</w:t>
      </w:r>
    </w:p>
    <w:p w14:paraId="08E0A83B" w14:textId="77777777" w:rsidR="000428B7" w:rsidRDefault="000428B7" w:rsidP="00643D67">
      <w:pPr>
        <w:jc w:val="both"/>
        <w:rPr>
          <w:rFonts w:asciiTheme="minorHAnsi" w:hAnsiTheme="minorHAnsi"/>
          <w:color w:val="000000" w:themeColor="text1"/>
          <w:lang w:val="en-US"/>
        </w:rPr>
      </w:pPr>
    </w:p>
    <w:p w14:paraId="52106E78" w14:textId="11CD37C1" w:rsidR="000428B7" w:rsidRPr="000428B7" w:rsidRDefault="000428B7" w:rsidP="00643D67">
      <w:pPr>
        <w:jc w:val="both"/>
        <w:rPr>
          <w:rFonts w:asciiTheme="minorHAnsi" w:hAnsiTheme="minorHAnsi"/>
          <w:color w:val="000000" w:themeColor="text1"/>
          <w:lang w:val="en-US"/>
        </w:rPr>
      </w:pPr>
      <w:r w:rsidRPr="000428B7">
        <w:rPr>
          <w:rFonts w:asciiTheme="minorHAnsi" w:hAnsiTheme="minorHAnsi"/>
          <w:color w:val="000000" w:themeColor="text1"/>
          <w:lang w:val="en-US"/>
        </w:rPr>
        <w:t>Assessing financial advice quality is challenging due to the subjective nature of financial goals and risk tolerance. "High-quality" advice varies widely, as advisors must align recommendations with unique client objectives and risk preferences, making standardization difficult. For instance, low-risk advice may suit conservative clients but be suboptimal for those with high-risk tolerance and long-term goals (</w:t>
      </w:r>
      <w:proofErr w:type="spellStart"/>
      <w:r w:rsidRPr="000428B7">
        <w:rPr>
          <w:rFonts w:asciiTheme="minorHAnsi" w:hAnsiTheme="minorHAnsi"/>
          <w:color w:val="000000" w:themeColor="text1"/>
          <w:lang w:val="en-US"/>
        </w:rPr>
        <w:t>d'Astous</w:t>
      </w:r>
      <w:proofErr w:type="spellEnd"/>
      <w:r w:rsidRPr="000428B7">
        <w:rPr>
          <w:rFonts w:asciiTheme="minorHAnsi" w:hAnsiTheme="minorHAnsi"/>
          <w:color w:val="000000" w:themeColor="text1"/>
          <w:lang w:val="en-US"/>
        </w:rPr>
        <w:t xml:space="preserve"> et al., 2024).</w:t>
      </w:r>
    </w:p>
    <w:p w14:paraId="4EA0CCE0" w14:textId="77777777" w:rsidR="000428B7" w:rsidRPr="000428B7" w:rsidRDefault="000428B7" w:rsidP="00643D67">
      <w:pPr>
        <w:jc w:val="both"/>
        <w:rPr>
          <w:rFonts w:asciiTheme="minorHAnsi" w:hAnsiTheme="minorHAnsi"/>
          <w:color w:val="000000" w:themeColor="text1"/>
          <w:lang w:val="en-US"/>
        </w:rPr>
      </w:pPr>
    </w:p>
    <w:p w14:paraId="4AD572B3" w14:textId="2B1D454C" w:rsidR="000428B7" w:rsidRDefault="000428B7" w:rsidP="00643D67">
      <w:pPr>
        <w:jc w:val="both"/>
        <w:rPr>
          <w:rFonts w:asciiTheme="minorHAnsi" w:hAnsiTheme="minorHAnsi"/>
          <w:lang w:val="en-US"/>
        </w:rPr>
      </w:pPr>
      <w:r w:rsidRPr="000428B7">
        <w:rPr>
          <w:rFonts w:asciiTheme="minorHAnsi" w:hAnsiTheme="minorHAnsi"/>
          <w:color w:val="000000" w:themeColor="text1"/>
          <w:lang w:val="en-US"/>
        </w:rPr>
        <w:t xml:space="preserve">Additionally, conflicts of interest </w:t>
      </w:r>
      <w:r>
        <w:rPr>
          <w:rFonts w:asciiTheme="minorHAnsi" w:hAnsiTheme="minorHAnsi"/>
          <w:color w:val="000000" w:themeColor="text1"/>
          <w:lang w:val="en-US"/>
        </w:rPr>
        <w:t xml:space="preserve">can </w:t>
      </w:r>
      <w:r w:rsidRPr="000428B7">
        <w:rPr>
          <w:rFonts w:asciiTheme="minorHAnsi" w:hAnsiTheme="minorHAnsi"/>
          <w:color w:val="000000" w:themeColor="text1"/>
          <w:lang w:val="en-US"/>
        </w:rPr>
        <w:t xml:space="preserve">arise when advisors recommend products </w:t>
      </w:r>
      <w:r>
        <w:rPr>
          <w:rFonts w:asciiTheme="minorHAnsi" w:hAnsiTheme="minorHAnsi"/>
          <w:color w:val="000000" w:themeColor="text1"/>
          <w:lang w:val="en-US"/>
        </w:rPr>
        <w:t>based on their compensation structure</w:t>
      </w:r>
      <w:r w:rsidR="00151584">
        <w:rPr>
          <w:rFonts w:asciiTheme="minorHAnsi" w:hAnsiTheme="minorHAnsi"/>
          <w:color w:val="000000" w:themeColor="text1"/>
          <w:lang w:val="en-US"/>
        </w:rPr>
        <w:t>, for example including commissions,</w:t>
      </w:r>
      <w:r>
        <w:rPr>
          <w:rFonts w:asciiTheme="minorHAnsi" w:hAnsiTheme="minorHAnsi"/>
          <w:color w:val="000000" w:themeColor="text1"/>
          <w:lang w:val="en-US"/>
        </w:rPr>
        <w:t xml:space="preserve"> even if it is not optimal for the client</w:t>
      </w:r>
      <w:r w:rsidRPr="000428B7">
        <w:rPr>
          <w:rFonts w:asciiTheme="minorHAnsi" w:hAnsiTheme="minorHAnsi"/>
          <w:color w:val="000000" w:themeColor="text1"/>
          <w:lang w:val="en-US"/>
        </w:rPr>
        <w:t>.</w:t>
      </w:r>
      <w:r w:rsidR="00151584">
        <w:rPr>
          <w:rFonts w:asciiTheme="minorHAnsi" w:hAnsiTheme="minorHAnsi"/>
          <w:color w:val="000000" w:themeColor="text1"/>
          <w:lang w:val="en-US"/>
        </w:rPr>
        <w:t xml:space="preserve"> Indeed, a</w:t>
      </w:r>
      <w:r w:rsidR="00151584" w:rsidRPr="00151584">
        <w:rPr>
          <w:rFonts w:asciiTheme="minorHAnsi" w:hAnsiTheme="minorHAnsi"/>
          <w:color w:val="000000" w:themeColor="text1"/>
          <w:lang w:val="en-US"/>
        </w:rPr>
        <w:t xml:space="preserve">dvisors may recommend an underperforming fund if it offers higher compensation, </w:t>
      </w:r>
      <w:proofErr w:type="gramStart"/>
      <w:r w:rsidR="00151584" w:rsidRPr="00151584">
        <w:rPr>
          <w:rFonts w:asciiTheme="minorHAnsi" w:hAnsiTheme="minorHAnsi"/>
          <w:color w:val="000000" w:themeColor="text1"/>
          <w:lang w:val="en-US"/>
        </w:rPr>
        <w:t>as long as</w:t>
      </w:r>
      <w:proofErr w:type="gramEnd"/>
      <w:r w:rsidR="00151584" w:rsidRPr="00151584">
        <w:rPr>
          <w:rFonts w:asciiTheme="minorHAnsi" w:hAnsiTheme="minorHAnsi"/>
          <w:color w:val="000000" w:themeColor="text1"/>
          <w:lang w:val="en-US"/>
        </w:rPr>
        <w:t xml:space="preserve"> they are not limited by regulations or the risk of losing future business. Expecting advisors to act solely in the client’s best interest is often neither practical nor economically efficient</w:t>
      </w:r>
      <w:r w:rsidR="00151584" w:rsidRPr="00151584">
        <w:rPr>
          <w:rFonts w:asciiTheme="minorHAnsi" w:hAnsiTheme="minorHAnsi"/>
          <w:color w:val="000000" w:themeColor="text1"/>
          <w:lang w:val="en-US"/>
        </w:rPr>
        <w:t xml:space="preserve"> (</w:t>
      </w:r>
      <w:r w:rsidR="00151584">
        <w:rPr>
          <w:rFonts w:asciiTheme="minorHAnsi" w:hAnsiTheme="minorHAnsi"/>
          <w:color w:val="000000" w:themeColor="text1"/>
          <w:lang w:val="en-US"/>
        </w:rPr>
        <w:t>Finke, 2013)</w:t>
      </w:r>
      <w:r w:rsidR="00151584" w:rsidRPr="00151584">
        <w:rPr>
          <w:rFonts w:asciiTheme="minorHAnsi" w:hAnsiTheme="minorHAnsi"/>
          <w:color w:val="000000" w:themeColor="text1"/>
          <w:lang w:val="en-US"/>
        </w:rPr>
        <w:t>.</w:t>
      </w:r>
      <w:r w:rsidR="00151584">
        <w:rPr>
          <w:rFonts w:asciiTheme="minorHAnsi" w:hAnsiTheme="minorHAnsi"/>
          <w:color w:val="000000" w:themeColor="text1"/>
          <w:lang w:val="en-US"/>
        </w:rPr>
        <w:t xml:space="preserve"> </w:t>
      </w:r>
      <w:r w:rsidRPr="00607DB3">
        <w:rPr>
          <w:rFonts w:asciiTheme="minorHAnsi" w:hAnsiTheme="minorHAnsi"/>
          <w:lang w:val="en-US"/>
        </w:rPr>
        <w:t>Such biases are difficult to detect and control in observational data</w:t>
      </w:r>
      <w:r w:rsidRPr="00A33396">
        <w:rPr>
          <w:rFonts w:asciiTheme="minorHAnsi" w:hAnsiTheme="minorHAnsi"/>
          <w:lang w:val="en-US"/>
        </w:rPr>
        <w:t xml:space="preserve"> (</w:t>
      </w:r>
      <w:proofErr w:type="spellStart"/>
      <w:r w:rsidRPr="00A33396">
        <w:rPr>
          <w:rFonts w:asciiTheme="minorHAnsi" w:hAnsiTheme="minorHAnsi"/>
          <w:lang w:val="en-US"/>
        </w:rPr>
        <w:t>Inderst</w:t>
      </w:r>
      <w:proofErr w:type="spellEnd"/>
      <w:r w:rsidRPr="00A33396">
        <w:rPr>
          <w:rFonts w:asciiTheme="minorHAnsi" w:hAnsiTheme="minorHAnsi"/>
          <w:lang w:val="en-US"/>
        </w:rPr>
        <w:t xml:space="preserve"> &amp; Ottaviani, 2012).</w:t>
      </w:r>
    </w:p>
    <w:p w14:paraId="43A054A3" w14:textId="77777777" w:rsidR="000428B7" w:rsidRDefault="000428B7" w:rsidP="00643D67">
      <w:pPr>
        <w:jc w:val="both"/>
        <w:rPr>
          <w:rFonts w:asciiTheme="minorHAnsi" w:hAnsiTheme="minorHAnsi"/>
          <w:color w:val="000000" w:themeColor="text1"/>
          <w:lang w:val="en-US"/>
        </w:rPr>
      </w:pPr>
    </w:p>
    <w:p w14:paraId="095EF03D" w14:textId="391363E6" w:rsidR="000428B7" w:rsidRPr="000428B7" w:rsidRDefault="000428B7" w:rsidP="00643D67">
      <w:pPr>
        <w:jc w:val="both"/>
        <w:rPr>
          <w:rFonts w:asciiTheme="minorHAnsi" w:hAnsiTheme="minorHAnsi"/>
          <w:color w:val="000000" w:themeColor="text1"/>
          <w:lang w:val="en-US"/>
        </w:rPr>
      </w:pPr>
      <w:r>
        <w:rPr>
          <w:rFonts w:asciiTheme="minorHAnsi" w:hAnsiTheme="minorHAnsi"/>
          <w:color w:val="000000" w:themeColor="text1"/>
          <w:lang w:val="en-US"/>
        </w:rPr>
        <w:t>A</w:t>
      </w:r>
      <w:r w:rsidRPr="000428B7">
        <w:rPr>
          <w:rFonts w:asciiTheme="minorHAnsi" w:hAnsiTheme="minorHAnsi"/>
          <w:color w:val="000000" w:themeColor="text1"/>
          <w:lang w:val="en-US"/>
        </w:rPr>
        <w:t>dvisor familiarity with certain products can</w:t>
      </w:r>
      <w:r>
        <w:rPr>
          <w:rFonts w:asciiTheme="minorHAnsi" w:hAnsiTheme="minorHAnsi"/>
          <w:color w:val="000000" w:themeColor="text1"/>
          <w:lang w:val="en-US"/>
        </w:rPr>
        <w:t xml:space="preserve"> also</w:t>
      </w:r>
      <w:r w:rsidRPr="000428B7">
        <w:rPr>
          <w:rFonts w:asciiTheme="minorHAnsi" w:hAnsiTheme="minorHAnsi"/>
          <w:color w:val="000000" w:themeColor="text1"/>
          <w:lang w:val="en-US"/>
        </w:rPr>
        <w:t xml:space="preserve"> bias recommendations, leading advisors to favor products they know well, such as mutual funds, even if these choices may not align with the client's best interests. Studies indicate that this familiarity bias can result in over-recommending specific products based on advisor preference rather than client welfare (Foerster et al., 2017).</w:t>
      </w:r>
    </w:p>
    <w:p w14:paraId="7A3ECFF1" w14:textId="77777777" w:rsidR="000428B7" w:rsidRPr="000428B7" w:rsidRDefault="000428B7" w:rsidP="00643D67">
      <w:pPr>
        <w:jc w:val="both"/>
        <w:rPr>
          <w:rFonts w:asciiTheme="minorHAnsi" w:hAnsiTheme="minorHAnsi"/>
          <w:color w:val="000000" w:themeColor="text1"/>
          <w:lang w:val="en-US"/>
        </w:rPr>
      </w:pPr>
    </w:p>
    <w:p w14:paraId="295EE644" w14:textId="77777777" w:rsidR="000428B7" w:rsidRPr="000428B7" w:rsidRDefault="000428B7" w:rsidP="00643D67">
      <w:pPr>
        <w:jc w:val="both"/>
        <w:rPr>
          <w:rFonts w:asciiTheme="minorHAnsi" w:hAnsiTheme="minorHAnsi"/>
          <w:color w:val="000000" w:themeColor="text1"/>
          <w:lang w:val="en-US"/>
        </w:rPr>
      </w:pPr>
      <w:r w:rsidRPr="000428B7">
        <w:rPr>
          <w:rFonts w:asciiTheme="minorHAnsi" w:hAnsiTheme="minorHAnsi"/>
          <w:color w:val="000000" w:themeColor="text1"/>
          <w:lang w:val="en-US"/>
        </w:rPr>
        <w:t>Finally, client involvement complicates assessment. Clients who inquire about specific products can influence advisors to recommend those, regardless of better options, which may distort the perceived quality of advice (</w:t>
      </w:r>
      <w:proofErr w:type="spellStart"/>
      <w:r w:rsidRPr="000428B7">
        <w:rPr>
          <w:rFonts w:asciiTheme="minorHAnsi" w:hAnsiTheme="minorHAnsi"/>
          <w:color w:val="000000" w:themeColor="text1"/>
          <w:lang w:val="en-US"/>
        </w:rPr>
        <w:t>d'Astous</w:t>
      </w:r>
      <w:proofErr w:type="spellEnd"/>
      <w:r w:rsidRPr="000428B7">
        <w:rPr>
          <w:rFonts w:asciiTheme="minorHAnsi" w:hAnsiTheme="minorHAnsi"/>
          <w:color w:val="000000" w:themeColor="text1"/>
          <w:lang w:val="en-US"/>
        </w:rPr>
        <w:t xml:space="preserve"> et al., 2024). This variability makes it hard to evaluate advice in a consistent, objective manner.</w:t>
      </w:r>
    </w:p>
    <w:p w14:paraId="314E9A2F" w14:textId="77777777" w:rsidR="000428B7" w:rsidRPr="000428B7" w:rsidRDefault="000428B7" w:rsidP="00643D67">
      <w:pPr>
        <w:jc w:val="both"/>
        <w:rPr>
          <w:rFonts w:asciiTheme="minorHAnsi" w:hAnsiTheme="minorHAnsi"/>
          <w:color w:val="000000" w:themeColor="text1"/>
          <w:lang w:val="en-US"/>
        </w:rPr>
      </w:pPr>
    </w:p>
    <w:p w14:paraId="38B49851" w14:textId="77777777" w:rsidR="000428B7" w:rsidRPr="000428B7" w:rsidRDefault="000428B7" w:rsidP="00643D67">
      <w:pPr>
        <w:jc w:val="both"/>
        <w:rPr>
          <w:rFonts w:asciiTheme="minorHAnsi" w:hAnsiTheme="minorHAnsi"/>
          <w:b/>
          <w:bCs/>
          <w:color w:val="000000" w:themeColor="text1"/>
          <w:lang w:val="en-US"/>
        </w:rPr>
      </w:pPr>
      <w:r w:rsidRPr="000428B7">
        <w:rPr>
          <w:rFonts w:asciiTheme="minorHAnsi" w:hAnsiTheme="minorHAnsi"/>
          <w:b/>
          <w:bCs/>
          <w:color w:val="000000" w:themeColor="text1"/>
          <w:lang w:val="en-US"/>
        </w:rPr>
        <w:t>Econometric Challenges in Assessing Financial Advice Quality</w:t>
      </w:r>
    </w:p>
    <w:p w14:paraId="00C00035" w14:textId="77777777" w:rsidR="00D559EE" w:rsidRDefault="00D559EE" w:rsidP="00643D67">
      <w:pPr>
        <w:jc w:val="both"/>
        <w:rPr>
          <w:rFonts w:asciiTheme="minorHAnsi" w:hAnsiTheme="minorHAnsi"/>
          <w:color w:val="000000" w:themeColor="text1"/>
          <w:lang w:val="en-US"/>
        </w:rPr>
      </w:pPr>
    </w:p>
    <w:p w14:paraId="56D7C2A1" w14:textId="548094E3" w:rsidR="009E46CD" w:rsidRDefault="000428B7" w:rsidP="00643D67">
      <w:pPr>
        <w:jc w:val="both"/>
        <w:rPr>
          <w:rFonts w:asciiTheme="minorHAnsi" w:hAnsiTheme="minorHAnsi"/>
          <w:lang w:val="en-US"/>
        </w:rPr>
      </w:pPr>
      <w:r w:rsidRPr="000428B7">
        <w:rPr>
          <w:rFonts w:asciiTheme="minorHAnsi" w:hAnsiTheme="minorHAnsi"/>
          <w:color w:val="000000" w:themeColor="text1"/>
          <w:lang w:val="en-US"/>
        </w:rPr>
        <w:t>Self-selection bias poses a major econometric challenge, as clients seeking advice often differ in financial literacy and motivation.</w:t>
      </w:r>
      <w:r w:rsidR="00D559EE">
        <w:rPr>
          <w:rFonts w:asciiTheme="minorHAnsi" w:hAnsiTheme="minorHAnsi"/>
          <w:color w:val="000000" w:themeColor="text1"/>
          <w:lang w:val="en-US"/>
        </w:rPr>
        <w:t xml:space="preserve"> It has been demonstrated that o</w:t>
      </w:r>
      <w:r w:rsidR="00D559EE" w:rsidRPr="00D559EE">
        <w:rPr>
          <w:rFonts w:asciiTheme="minorHAnsi" w:hAnsiTheme="minorHAnsi"/>
          <w:color w:val="000000" w:themeColor="text1"/>
          <w:lang w:val="en-US"/>
        </w:rPr>
        <w:t xml:space="preserve">lder, wealthier, risk averse, and female investors </w:t>
      </w:r>
      <w:r w:rsidR="00D559EE">
        <w:rPr>
          <w:rFonts w:asciiTheme="minorHAnsi" w:hAnsiTheme="minorHAnsi"/>
          <w:color w:val="000000" w:themeColor="text1"/>
          <w:lang w:val="en-US"/>
        </w:rPr>
        <w:t>are</w:t>
      </w:r>
      <w:r w:rsidR="00D559EE" w:rsidRPr="00D559EE">
        <w:rPr>
          <w:rFonts w:asciiTheme="minorHAnsi" w:hAnsiTheme="minorHAnsi"/>
          <w:color w:val="000000" w:themeColor="text1"/>
          <w:lang w:val="en-US"/>
        </w:rPr>
        <w:t xml:space="preserve"> more inclined to seek advice</w:t>
      </w:r>
      <w:r w:rsidR="00D559EE">
        <w:rPr>
          <w:rFonts w:asciiTheme="minorHAnsi" w:hAnsiTheme="minorHAnsi"/>
          <w:color w:val="000000" w:themeColor="text1"/>
          <w:lang w:val="en-US"/>
        </w:rPr>
        <w:t xml:space="preserve"> (</w:t>
      </w:r>
      <w:proofErr w:type="spellStart"/>
      <w:r w:rsidR="00D559EE">
        <w:rPr>
          <w:rFonts w:asciiTheme="minorHAnsi" w:hAnsiTheme="minorHAnsi"/>
          <w:color w:val="000000" w:themeColor="text1"/>
          <w:lang w:val="en-US"/>
        </w:rPr>
        <w:t>Montmarquette</w:t>
      </w:r>
      <w:proofErr w:type="spellEnd"/>
      <w:r w:rsidR="00D559EE">
        <w:rPr>
          <w:rFonts w:asciiTheme="minorHAnsi" w:hAnsiTheme="minorHAnsi"/>
          <w:color w:val="000000" w:themeColor="text1"/>
          <w:lang w:val="en-US"/>
        </w:rPr>
        <w:t xml:space="preserve"> et al., 2015). </w:t>
      </w:r>
      <w:r w:rsidR="009E46CD">
        <w:rPr>
          <w:rFonts w:asciiTheme="minorHAnsi" w:hAnsiTheme="minorHAnsi"/>
          <w:color w:val="000000" w:themeColor="text1"/>
          <w:lang w:val="en-US"/>
        </w:rPr>
        <w:t xml:space="preserve"> </w:t>
      </w:r>
      <w:r w:rsidR="004141D8">
        <w:rPr>
          <w:rFonts w:asciiTheme="minorHAnsi" w:hAnsiTheme="minorHAnsi"/>
          <w:lang w:val="en-US"/>
        </w:rPr>
        <w:t>T</w:t>
      </w:r>
      <w:r w:rsidR="009E46CD" w:rsidRPr="00413EDC">
        <w:rPr>
          <w:rFonts w:asciiTheme="minorHAnsi" w:hAnsiTheme="minorHAnsi"/>
          <w:lang w:val="en-US"/>
        </w:rPr>
        <w:t>hose who could benefit most from financial advice—typically less financially literate clients—often do not seek it</w:t>
      </w:r>
      <w:r w:rsidR="004141D8">
        <w:rPr>
          <w:rFonts w:asciiTheme="minorHAnsi" w:hAnsiTheme="minorHAnsi"/>
          <w:lang w:val="en-US"/>
        </w:rPr>
        <w:t xml:space="preserve"> (</w:t>
      </w:r>
      <w:proofErr w:type="spellStart"/>
      <w:r w:rsidR="004141D8">
        <w:rPr>
          <w:rFonts w:asciiTheme="minorHAnsi" w:hAnsiTheme="minorHAnsi"/>
          <w:lang w:val="en-US"/>
        </w:rPr>
        <w:t>Reyers</w:t>
      </w:r>
      <w:proofErr w:type="spellEnd"/>
      <w:r w:rsidR="004141D8">
        <w:rPr>
          <w:rFonts w:asciiTheme="minorHAnsi" w:hAnsiTheme="minorHAnsi"/>
          <w:lang w:val="en-US"/>
        </w:rPr>
        <w:t>, 2016)</w:t>
      </w:r>
      <w:r w:rsidR="009E46CD" w:rsidRPr="00413EDC">
        <w:rPr>
          <w:rFonts w:asciiTheme="minorHAnsi" w:hAnsiTheme="minorHAnsi"/>
          <w:lang w:val="en-US"/>
        </w:rPr>
        <w:t>.</w:t>
      </w:r>
      <w:r w:rsidRPr="000428B7">
        <w:rPr>
          <w:rFonts w:asciiTheme="minorHAnsi" w:hAnsiTheme="minorHAnsi"/>
          <w:color w:val="000000" w:themeColor="text1"/>
          <w:lang w:val="en-US"/>
        </w:rPr>
        <w:t xml:space="preserve"> This limits generalizability, as observational data may not represent the broader population effectively</w:t>
      </w:r>
      <w:r w:rsidR="009E46CD">
        <w:rPr>
          <w:rFonts w:asciiTheme="minorHAnsi" w:hAnsiTheme="minorHAnsi"/>
          <w:color w:val="000000" w:themeColor="text1"/>
          <w:lang w:val="en-US"/>
        </w:rPr>
        <w:t xml:space="preserve">. </w:t>
      </w:r>
      <w:r w:rsidRPr="000428B7">
        <w:rPr>
          <w:rFonts w:asciiTheme="minorHAnsi" w:hAnsiTheme="minorHAnsi"/>
          <w:color w:val="000000" w:themeColor="text1"/>
          <w:lang w:val="en-US"/>
        </w:rPr>
        <w:t>Additionally, observational datasets often lack detailed information on client preferences and advisor interactions</w:t>
      </w:r>
      <w:r w:rsidR="009E46CD">
        <w:rPr>
          <w:rFonts w:asciiTheme="minorHAnsi" w:hAnsiTheme="minorHAnsi"/>
          <w:color w:val="000000" w:themeColor="text1"/>
          <w:lang w:val="en-US"/>
        </w:rPr>
        <w:t>.</w:t>
      </w:r>
      <w:r w:rsidR="009E46CD" w:rsidRPr="00413EDC">
        <w:rPr>
          <w:rFonts w:asciiTheme="minorHAnsi" w:hAnsiTheme="minorHAnsi"/>
          <w:lang w:val="en-US"/>
        </w:rPr>
        <w:t xml:space="preserve"> </w:t>
      </w:r>
      <w:r w:rsidR="00D559EE" w:rsidRPr="000428B7">
        <w:rPr>
          <w:rFonts w:asciiTheme="minorHAnsi" w:hAnsiTheme="minorHAnsi"/>
          <w:color w:val="000000" w:themeColor="text1"/>
          <w:lang w:val="en-US"/>
        </w:rPr>
        <w:t xml:space="preserve">The lack of random </w:t>
      </w:r>
      <w:r w:rsidR="00D559EE" w:rsidRPr="000428B7">
        <w:rPr>
          <w:rFonts w:asciiTheme="minorHAnsi" w:hAnsiTheme="minorHAnsi"/>
          <w:color w:val="000000" w:themeColor="text1"/>
          <w:lang w:val="en-US"/>
        </w:rPr>
        <w:lastRenderedPageBreak/>
        <w:t>assignment in real-world data also prevents controlled assessment, as clients have unique, non-random inquiries</w:t>
      </w:r>
      <w:r w:rsidR="00D559EE">
        <w:rPr>
          <w:rFonts w:asciiTheme="minorHAnsi" w:hAnsiTheme="minorHAnsi"/>
          <w:color w:val="000000" w:themeColor="text1"/>
          <w:lang w:val="en-US"/>
        </w:rPr>
        <w:t xml:space="preserve"> and preferences</w:t>
      </w:r>
      <w:r w:rsidR="00D559EE" w:rsidRPr="000428B7">
        <w:rPr>
          <w:rFonts w:asciiTheme="minorHAnsi" w:hAnsiTheme="minorHAnsi"/>
          <w:color w:val="000000" w:themeColor="text1"/>
          <w:lang w:val="en-US"/>
        </w:rPr>
        <w:t xml:space="preserve"> that affect </w:t>
      </w:r>
      <w:proofErr w:type="spellStart"/>
      <w:r w:rsidR="00D559EE" w:rsidRPr="000428B7">
        <w:rPr>
          <w:rFonts w:asciiTheme="minorHAnsi" w:hAnsiTheme="minorHAnsi"/>
          <w:color w:val="000000" w:themeColor="text1"/>
          <w:lang w:val="en-US"/>
        </w:rPr>
        <w:t>recommendations.</w:t>
      </w:r>
      <w:r w:rsidR="00D559EE">
        <w:rPr>
          <w:rFonts w:asciiTheme="minorHAnsi" w:hAnsiTheme="minorHAnsi"/>
          <w:color w:val="000000" w:themeColor="text1"/>
          <w:lang w:val="en-US"/>
        </w:rPr>
        <w:t xml:space="preserve"> </w:t>
      </w:r>
      <w:r w:rsidR="009E46CD" w:rsidRPr="00413EDC">
        <w:rPr>
          <w:rFonts w:asciiTheme="minorHAnsi" w:hAnsiTheme="minorHAnsi"/>
          <w:lang w:val="en-US"/>
        </w:rPr>
        <w:t>Mullainatha</w:t>
      </w:r>
      <w:proofErr w:type="spellEnd"/>
      <w:r w:rsidR="009E46CD" w:rsidRPr="00413EDC">
        <w:rPr>
          <w:rFonts w:asciiTheme="minorHAnsi" w:hAnsiTheme="minorHAnsi"/>
          <w:lang w:val="en-US"/>
        </w:rPr>
        <w:t>n et al. (2012) suggest that audit studies, where "mystery shoppers" are used to simulate client interactions with financial advisors, offer an alternative method, but these are challenging to scale and ethically complex to implement.</w:t>
      </w:r>
    </w:p>
    <w:p w14:paraId="06ED403D" w14:textId="77777777" w:rsidR="000428B7" w:rsidRPr="000428B7" w:rsidRDefault="000428B7" w:rsidP="00643D67">
      <w:pPr>
        <w:jc w:val="both"/>
        <w:rPr>
          <w:rFonts w:asciiTheme="minorHAnsi" w:hAnsiTheme="minorHAnsi"/>
          <w:color w:val="000000" w:themeColor="text1"/>
          <w:lang w:val="en-US"/>
        </w:rPr>
      </w:pPr>
    </w:p>
    <w:p w14:paraId="6C20B356" w14:textId="27D78267" w:rsidR="000428B7" w:rsidRPr="000428B7" w:rsidRDefault="000428B7" w:rsidP="00643D67">
      <w:pPr>
        <w:jc w:val="both"/>
        <w:rPr>
          <w:rFonts w:asciiTheme="minorHAnsi" w:hAnsiTheme="minorHAnsi"/>
          <w:color w:val="000000" w:themeColor="text1"/>
          <w:lang w:val="en-US"/>
        </w:rPr>
      </w:pPr>
      <w:r w:rsidRPr="000428B7">
        <w:rPr>
          <w:rFonts w:asciiTheme="minorHAnsi" w:hAnsiTheme="minorHAnsi"/>
          <w:color w:val="000000" w:themeColor="text1"/>
          <w:lang w:val="en-US"/>
        </w:rPr>
        <w:t xml:space="preserve">Endogeneity further complicates analysis, as client traits like wealth or education may influence outcomes independently of advice quality, making it difficult to isolate the advisor’s impact (Foerster et al., 2017). Establishing causality requires counterfactuals—knowing what a client would do without advice. </w:t>
      </w:r>
      <w:r w:rsidR="009E46CD" w:rsidRPr="00413EDC">
        <w:rPr>
          <w:rFonts w:asciiTheme="minorHAnsi" w:hAnsiTheme="minorHAnsi"/>
          <w:lang w:val="en-US"/>
        </w:rPr>
        <w:t>This is essential for evaluating advice quality since an effective assessment would ideally compare outcomes with and without advisor intervention. Chalmers and Reuter (2020) argue that without a clear counterfactual, it</w:t>
      </w:r>
      <w:r w:rsidR="009E46CD">
        <w:rPr>
          <w:rFonts w:asciiTheme="minorHAnsi" w:hAnsiTheme="minorHAnsi"/>
          <w:lang w:val="en-US"/>
        </w:rPr>
        <w:t xml:space="preserve"> is</w:t>
      </w:r>
      <w:r w:rsidR="009E46CD" w:rsidRPr="00413EDC">
        <w:rPr>
          <w:rFonts w:asciiTheme="minorHAnsi" w:hAnsiTheme="minorHAnsi"/>
          <w:lang w:val="en-US"/>
        </w:rPr>
        <w:t xml:space="preserve"> challenging to isolate the advisor's influence on client outcomes from other external factors.</w:t>
      </w:r>
      <w:r w:rsidR="009E46CD">
        <w:rPr>
          <w:rFonts w:asciiTheme="minorHAnsi" w:hAnsiTheme="minorHAnsi"/>
          <w:lang w:val="en-US"/>
        </w:rPr>
        <w:t xml:space="preserve"> </w:t>
      </w:r>
      <w:r w:rsidRPr="000428B7">
        <w:rPr>
          <w:rFonts w:asciiTheme="minorHAnsi" w:hAnsiTheme="minorHAnsi"/>
          <w:color w:val="000000" w:themeColor="text1"/>
          <w:lang w:val="en-US"/>
        </w:rPr>
        <w:t>However, observational studies rarely provide this, complicating efforts to determine whether advice directly influences outcomes.</w:t>
      </w:r>
    </w:p>
    <w:p w14:paraId="09AACCB3" w14:textId="77777777" w:rsidR="000428B7" w:rsidRPr="000428B7" w:rsidRDefault="000428B7" w:rsidP="00643D67">
      <w:pPr>
        <w:jc w:val="both"/>
        <w:rPr>
          <w:rFonts w:asciiTheme="minorHAnsi" w:hAnsiTheme="minorHAnsi"/>
          <w:color w:val="000000" w:themeColor="text1"/>
          <w:lang w:val="en-US"/>
        </w:rPr>
      </w:pPr>
    </w:p>
    <w:p w14:paraId="3D8CDDB6" w14:textId="5CAEC264" w:rsidR="000428B7" w:rsidRDefault="009E46CD" w:rsidP="00643D67">
      <w:pPr>
        <w:jc w:val="both"/>
        <w:rPr>
          <w:rFonts w:asciiTheme="minorHAnsi" w:hAnsiTheme="minorHAnsi"/>
          <w:color w:val="000000" w:themeColor="text1"/>
          <w:lang w:val="en-US"/>
        </w:rPr>
      </w:pPr>
      <w:r>
        <w:rPr>
          <w:rFonts w:asciiTheme="minorHAnsi" w:hAnsiTheme="minorHAnsi"/>
          <w:color w:val="000000" w:themeColor="text1"/>
          <w:lang w:val="en-US"/>
        </w:rPr>
        <w:t>E</w:t>
      </w:r>
      <w:r w:rsidR="000428B7" w:rsidRPr="000428B7">
        <w:rPr>
          <w:rFonts w:asciiTheme="minorHAnsi" w:hAnsiTheme="minorHAnsi"/>
          <w:color w:val="000000" w:themeColor="text1"/>
          <w:lang w:val="en-US"/>
        </w:rPr>
        <w:t>thical and legal constraints</w:t>
      </w:r>
      <w:r>
        <w:rPr>
          <w:rFonts w:asciiTheme="minorHAnsi" w:hAnsiTheme="minorHAnsi"/>
          <w:color w:val="000000" w:themeColor="text1"/>
          <w:lang w:val="en-US"/>
        </w:rPr>
        <w:t xml:space="preserve"> </w:t>
      </w:r>
      <w:r w:rsidR="000428B7" w:rsidRPr="000428B7">
        <w:rPr>
          <w:rFonts w:asciiTheme="minorHAnsi" w:hAnsiTheme="minorHAnsi"/>
          <w:color w:val="000000" w:themeColor="text1"/>
          <w:lang w:val="en-US"/>
        </w:rPr>
        <w:t xml:space="preserve">limit data collection, particularly in direct client-advisor interactions, further complicating the measurement of advice quality (Huber &amp; </w:t>
      </w:r>
      <w:proofErr w:type="spellStart"/>
      <w:r w:rsidR="000428B7" w:rsidRPr="000428B7">
        <w:rPr>
          <w:rFonts w:asciiTheme="minorHAnsi" w:hAnsiTheme="minorHAnsi"/>
          <w:color w:val="000000" w:themeColor="text1"/>
          <w:lang w:val="en-US"/>
        </w:rPr>
        <w:t>Kirchler</w:t>
      </w:r>
      <w:proofErr w:type="spellEnd"/>
      <w:r w:rsidR="000428B7" w:rsidRPr="000428B7">
        <w:rPr>
          <w:rFonts w:asciiTheme="minorHAnsi" w:hAnsiTheme="minorHAnsi"/>
          <w:color w:val="000000" w:themeColor="text1"/>
          <w:lang w:val="en-US"/>
        </w:rPr>
        <w:t>, 2023).</w:t>
      </w:r>
    </w:p>
    <w:p w14:paraId="39378A0B" w14:textId="77777777" w:rsidR="009E46CD" w:rsidRPr="000428B7" w:rsidRDefault="009E46CD" w:rsidP="00643D67">
      <w:pPr>
        <w:jc w:val="both"/>
        <w:rPr>
          <w:rFonts w:asciiTheme="minorHAnsi" w:hAnsiTheme="minorHAnsi"/>
          <w:color w:val="000000" w:themeColor="text1"/>
          <w:lang w:val="en-US"/>
        </w:rPr>
      </w:pPr>
    </w:p>
    <w:p w14:paraId="60225613" w14:textId="56BE38F4" w:rsidR="000428B7" w:rsidRPr="000428B7" w:rsidRDefault="000428B7" w:rsidP="00643D67">
      <w:pPr>
        <w:jc w:val="both"/>
        <w:rPr>
          <w:rFonts w:asciiTheme="minorHAnsi" w:hAnsiTheme="minorHAnsi"/>
          <w:color w:val="000000" w:themeColor="text1"/>
          <w:lang w:val="en-US"/>
        </w:rPr>
      </w:pPr>
      <w:r w:rsidRPr="000428B7">
        <w:rPr>
          <w:rFonts w:asciiTheme="minorHAnsi" w:hAnsiTheme="minorHAnsi"/>
          <w:color w:val="000000" w:themeColor="text1"/>
          <w:lang w:val="en-US"/>
        </w:rPr>
        <w:t>Longitudinal data is needed to measure long-term effects, but tracking clients over time is challenging due to advisor changes and evolving client goals. Without it, studies risk focusing on short-term outcomes, which may not reflect the true quality of advice</w:t>
      </w:r>
      <w:r w:rsidR="009E46CD">
        <w:rPr>
          <w:rFonts w:asciiTheme="minorHAnsi" w:hAnsiTheme="minorHAnsi"/>
          <w:color w:val="000000" w:themeColor="text1"/>
          <w:lang w:val="en-US"/>
        </w:rPr>
        <w:t xml:space="preserve">. </w:t>
      </w:r>
      <w:r w:rsidR="009E46CD" w:rsidRPr="005F6FA6">
        <w:rPr>
          <w:rFonts w:asciiTheme="minorHAnsi" w:hAnsiTheme="minorHAnsi"/>
          <w:lang w:val="en-US"/>
        </w:rPr>
        <w:t>Long-term studies are</w:t>
      </w:r>
      <w:r w:rsidR="009E46CD">
        <w:rPr>
          <w:rFonts w:asciiTheme="minorHAnsi" w:hAnsiTheme="minorHAnsi"/>
          <w:lang w:val="en-US"/>
        </w:rPr>
        <w:t xml:space="preserve"> therefor</w:t>
      </w:r>
      <w:r w:rsidR="007E60B2">
        <w:rPr>
          <w:rFonts w:asciiTheme="minorHAnsi" w:hAnsiTheme="minorHAnsi"/>
          <w:lang w:val="en-US"/>
        </w:rPr>
        <w:t>e</w:t>
      </w:r>
      <w:r w:rsidR="009E46CD" w:rsidRPr="005F6FA6">
        <w:rPr>
          <w:rFonts w:asciiTheme="minorHAnsi" w:hAnsiTheme="minorHAnsi"/>
          <w:lang w:val="en-US"/>
        </w:rPr>
        <w:t xml:space="preserve"> essential for evaluating advice effectiveness, especially for outcomes like retirement savings</w:t>
      </w:r>
      <w:r w:rsidR="009E46CD">
        <w:rPr>
          <w:rFonts w:asciiTheme="minorHAnsi" w:hAnsiTheme="minorHAnsi"/>
          <w:lang w:val="en-US"/>
        </w:rPr>
        <w:t>.</w:t>
      </w:r>
      <w:r w:rsidRPr="000428B7">
        <w:rPr>
          <w:rFonts w:asciiTheme="minorHAnsi" w:hAnsiTheme="minorHAnsi"/>
          <w:color w:val="000000" w:themeColor="text1"/>
          <w:lang w:val="en-US"/>
        </w:rPr>
        <w:t xml:space="preserve"> (</w:t>
      </w:r>
      <w:proofErr w:type="spellStart"/>
      <w:r w:rsidRPr="000428B7">
        <w:rPr>
          <w:rFonts w:asciiTheme="minorHAnsi" w:hAnsiTheme="minorHAnsi"/>
          <w:color w:val="000000" w:themeColor="text1"/>
          <w:lang w:val="en-US"/>
        </w:rPr>
        <w:t>Linnainmaa</w:t>
      </w:r>
      <w:proofErr w:type="spellEnd"/>
      <w:r w:rsidRPr="000428B7">
        <w:rPr>
          <w:rFonts w:asciiTheme="minorHAnsi" w:hAnsiTheme="minorHAnsi"/>
          <w:color w:val="000000" w:themeColor="text1"/>
          <w:lang w:val="en-US"/>
        </w:rPr>
        <w:t xml:space="preserve"> et al., 2021; Huber &amp; </w:t>
      </w:r>
      <w:proofErr w:type="spellStart"/>
      <w:r w:rsidRPr="000428B7">
        <w:rPr>
          <w:rFonts w:asciiTheme="minorHAnsi" w:hAnsiTheme="minorHAnsi"/>
          <w:color w:val="000000" w:themeColor="text1"/>
          <w:lang w:val="en-US"/>
        </w:rPr>
        <w:t>Kirchler</w:t>
      </w:r>
      <w:proofErr w:type="spellEnd"/>
      <w:r w:rsidRPr="000428B7">
        <w:rPr>
          <w:rFonts w:asciiTheme="minorHAnsi" w:hAnsiTheme="minorHAnsi"/>
          <w:color w:val="000000" w:themeColor="text1"/>
          <w:lang w:val="en-US"/>
        </w:rPr>
        <w:t>, 2023).</w:t>
      </w:r>
    </w:p>
    <w:p w14:paraId="6E9C5C61" w14:textId="77777777" w:rsidR="000428B7" w:rsidRDefault="000428B7" w:rsidP="00643D67">
      <w:pPr>
        <w:jc w:val="both"/>
        <w:rPr>
          <w:rFonts w:asciiTheme="minorHAnsi" w:hAnsiTheme="minorHAnsi"/>
          <w:color w:val="000000" w:themeColor="text1"/>
          <w:lang w:val="en-US"/>
        </w:rPr>
      </w:pPr>
    </w:p>
    <w:p w14:paraId="4F838A59" w14:textId="50A1D654" w:rsidR="009E46CD" w:rsidRPr="00E165DD" w:rsidRDefault="009E46CD" w:rsidP="00E165DD">
      <w:pPr>
        <w:pStyle w:val="Paragraphedeliste"/>
        <w:numPr>
          <w:ilvl w:val="0"/>
          <w:numId w:val="5"/>
        </w:numPr>
        <w:jc w:val="both"/>
        <w:rPr>
          <w:rFonts w:asciiTheme="minorHAnsi" w:hAnsiTheme="minorHAnsi"/>
          <w:color w:val="000000" w:themeColor="text1"/>
          <w:u w:val="single"/>
          <w:lang w:val="en-US"/>
        </w:rPr>
      </w:pPr>
      <w:r w:rsidRPr="00E165DD">
        <w:rPr>
          <w:rFonts w:asciiTheme="minorHAnsi" w:hAnsiTheme="minorHAnsi"/>
          <w:b/>
          <w:bCs/>
          <w:u w:val="single"/>
          <w:lang w:val="en-US"/>
        </w:rPr>
        <w:t xml:space="preserve">What </w:t>
      </w:r>
      <w:r w:rsidRPr="00E165DD">
        <w:rPr>
          <w:rFonts w:asciiTheme="minorHAnsi" w:hAnsiTheme="minorHAnsi"/>
          <w:b/>
          <w:bCs/>
          <w:u w:val="single"/>
          <w:lang w:val="en-US"/>
        </w:rPr>
        <w:t>is the purpose of an experiment in this context and how does it help address the difficulty you pointed out in question a.?</w:t>
      </w:r>
    </w:p>
    <w:p w14:paraId="454F7ECE" w14:textId="77777777" w:rsidR="009E46CD" w:rsidRDefault="009E46CD" w:rsidP="00643D67">
      <w:pPr>
        <w:jc w:val="both"/>
        <w:rPr>
          <w:rFonts w:asciiTheme="minorHAnsi" w:hAnsiTheme="minorHAnsi"/>
          <w:color w:val="FF0000"/>
          <w:lang w:val="en-US"/>
        </w:rPr>
      </w:pPr>
    </w:p>
    <w:p w14:paraId="75D0A4A9" w14:textId="77777777" w:rsidR="009E46CD" w:rsidRPr="009E46CD" w:rsidRDefault="009E46CD" w:rsidP="00643D67">
      <w:pPr>
        <w:jc w:val="both"/>
        <w:rPr>
          <w:rFonts w:asciiTheme="minorHAnsi" w:hAnsiTheme="minorHAnsi"/>
          <w:b/>
          <w:bCs/>
          <w:color w:val="000000" w:themeColor="text1"/>
          <w:lang w:val="en-US"/>
        </w:rPr>
      </w:pPr>
      <w:r w:rsidRPr="009E46CD">
        <w:rPr>
          <w:rFonts w:asciiTheme="minorHAnsi" w:hAnsiTheme="minorHAnsi"/>
          <w:b/>
          <w:bCs/>
          <w:color w:val="000000" w:themeColor="text1"/>
          <w:lang w:val="en-US"/>
        </w:rPr>
        <w:t>Purpose of an Experiment in Assessing Financial Advice Quality</w:t>
      </w:r>
    </w:p>
    <w:p w14:paraId="6049EECA" w14:textId="68B6B57E" w:rsidR="009E46CD" w:rsidRPr="009E46CD" w:rsidRDefault="009E46CD" w:rsidP="00643D67">
      <w:pPr>
        <w:jc w:val="both"/>
        <w:rPr>
          <w:rFonts w:asciiTheme="minorHAnsi" w:hAnsiTheme="minorHAnsi"/>
          <w:color w:val="000000" w:themeColor="text1"/>
          <w:lang w:val="en-US"/>
        </w:rPr>
      </w:pPr>
      <w:r w:rsidRPr="009E46CD">
        <w:rPr>
          <w:rFonts w:asciiTheme="minorHAnsi" w:hAnsiTheme="minorHAnsi"/>
          <w:color w:val="000000" w:themeColor="text1"/>
          <w:lang w:val="en-US"/>
        </w:rPr>
        <w:t xml:space="preserve">Experiments provide a controlled setting that allows researchers to manipulate </w:t>
      </w:r>
      <w:r w:rsidR="001C492D">
        <w:rPr>
          <w:rFonts w:asciiTheme="minorHAnsi" w:hAnsiTheme="minorHAnsi"/>
          <w:color w:val="000000" w:themeColor="text1"/>
          <w:lang w:val="en-US"/>
        </w:rPr>
        <w:t xml:space="preserve">and isolate </w:t>
      </w:r>
      <w:r w:rsidRPr="009E46CD">
        <w:rPr>
          <w:rFonts w:asciiTheme="minorHAnsi" w:hAnsiTheme="minorHAnsi"/>
          <w:color w:val="000000" w:themeColor="text1"/>
          <w:lang w:val="en-US"/>
        </w:rPr>
        <w:t>variables like client characteristics</w:t>
      </w:r>
      <w:r w:rsidR="001C492D">
        <w:rPr>
          <w:rFonts w:asciiTheme="minorHAnsi" w:hAnsiTheme="minorHAnsi"/>
          <w:color w:val="000000" w:themeColor="text1"/>
          <w:lang w:val="en-US"/>
        </w:rPr>
        <w:t xml:space="preserve">, </w:t>
      </w:r>
      <w:r w:rsidRPr="009E46CD">
        <w:rPr>
          <w:rFonts w:asciiTheme="minorHAnsi" w:hAnsiTheme="minorHAnsi"/>
          <w:color w:val="000000" w:themeColor="text1"/>
          <w:lang w:val="en-US"/>
        </w:rPr>
        <w:t>advisor incentives</w:t>
      </w:r>
      <w:r w:rsidR="001C492D">
        <w:rPr>
          <w:rFonts w:asciiTheme="minorHAnsi" w:hAnsiTheme="minorHAnsi"/>
          <w:color w:val="000000" w:themeColor="text1"/>
          <w:lang w:val="en-US"/>
        </w:rPr>
        <w:t xml:space="preserve"> and product features</w:t>
      </w:r>
      <w:r w:rsidRPr="009E46CD">
        <w:rPr>
          <w:rFonts w:asciiTheme="minorHAnsi" w:hAnsiTheme="minorHAnsi"/>
          <w:color w:val="000000" w:themeColor="text1"/>
          <w:lang w:val="en-US"/>
        </w:rPr>
        <w:t>, moving beyond correlation to identify causation. This controlled environment addresses complexities that observational studies cannot, offering clearer insights into the factors influencing financial advice quality.</w:t>
      </w:r>
    </w:p>
    <w:p w14:paraId="0F5A9DEB" w14:textId="77777777" w:rsidR="009E46CD" w:rsidRPr="009E46CD" w:rsidRDefault="009E46CD" w:rsidP="00643D67">
      <w:pPr>
        <w:jc w:val="both"/>
        <w:rPr>
          <w:rFonts w:asciiTheme="minorHAnsi" w:hAnsiTheme="minorHAnsi"/>
          <w:color w:val="000000" w:themeColor="text1"/>
          <w:lang w:val="en-US"/>
        </w:rPr>
      </w:pPr>
    </w:p>
    <w:p w14:paraId="501C35B7" w14:textId="146C611E" w:rsidR="00643D67" w:rsidRDefault="009E46CD" w:rsidP="00643D67">
      <w:pPr>
        <w:jc w:val="both"/>
        <w:rPr>
          <w:rFonts w:asciiTheme="minorHAnsi" w:hAnsiTheme="minorHAnsi"/>
          <w:b/>
          <w:bCs/>
          <w:color w:val="000000" w:themeColor="text1"/>
          <w:lang w:val="en-US"/>
        </w:rPr>
      </w:pPr>
      <w:r w:rsidRPr="009E46CD">
        <w:rPr>
          <w:rFonts w:asciiTheme="minorHAnsi" w:hAnsiTheme="minorHAnsi"/>
          <w:b/>
          <w:bCs/>
          <w:color w:val="000000" w:themeColor="text1"/>
          <w:lang w:val="en-US"/>
        </w:rPr>
        <w:t>How Experiments Address These Challenges</w:t>
      </w:r>
    </w:p>
    <w:p w14:paraId="2DDEAA79" w14:textId="77777777" w:rsidR="00643D67" w:rsidRDefault="00643D67" w:rsidP="00643D67">
      <w:pPr>
        <w:jc w:val="both"/>
        <w:rPr>
          <w:rFonts w:asciiTheme="minorHAnsi" w:hAnsiTheme="minorHAnsi"/>
          <w:color w:val="000000" w:themeColor="text1"/>
          <w:u w:val="single"/>
          <w:lang w:val="en-US"/>
        </w:rPr>
      </w:pPr>
      <w:r>
        <w:rPr>
          <w:rFonts w:asciiTheme="minorHAnsi" w:hAnsiTheme="minorHAnsi"/>
          <w:color w:val="000000" w:themeColor="text1"/>
          <w:u w:val="single"/>
          <w:lang w:val="en-US"/>
        </w:rPr>
        <w:t>Vignettes to Address Subjective Financial Goals</w:t>
      </w:r>
    </w:p>
    <w:p w14:paraId="39704EED" w14:textId="6D9E75B0" w:rsidR="00643D67" w:rsidRPr="009E46CD" w:rsidRDefault="00643D67" w:rsidP="00643D67">
      <w:pPr>
        <w:jc w:val="both"/>
        <w:rPr>
          <w:rFonts w:asciiTheme="minorHAnsi" w:hAnsiTheme="minorHAnsi"/>
          <w:b/>
          <w:bCs/>
          <w:color w:val="000000" w:themeColor="text1"/>
          <w:lang w:val="en-US"/>
        </w:rPr>
      </w:pPr>
      <w:r>
        <w:rPr>
          <w:rFonts w:asciiTheme="minorHAnsi" w:hAnsiTheme="minorHAnsi"/>
          <w:color w:val="000000" w:themeColor="text1"/>
          <w:lang w:val="en-US"/>
        </w:rPr>
        <w:t xml:space="preserve">The experiment </w:t>
      </w:r>
      <w:r w:rsidRPr="00643D67">
        <w:rPr>
          <w:rFonts w:asciiTheme="minorHAnsi" w:hAnsiTheme="minorHAnsi"/>
          <w:color w:val="000000" w:themeColor="text1"/>
          <w:lang w:val="en-US"/>
        </w:rPr>
        <w:t>address</w:t>
      </w:r>
      <w:r>
        <w:rPr>
          <w:rFonts w:asciiTheme="minorHAnsi" w:hAnsiTheme="minorHAnsi"/>
          <w:color w:val="000000" w:themeColor="text1"/>
          <w:lang w:val="en-US"/>
        </w:rPr>
        <w:t>es</w:t>
      </w:r>
      <w:r w:rsidRPr="00643D67">
        <w:rPr>
          <w:rFonts w:asciiTheme="minorHAnsi" w:hAnsiTheme="minorHAnsi"/>
          <w:color w:val="000000" w:themeColor="text1"/>
          <w:lang w:val="en-US"/>
        </w:rPr>
        <w:t xml:space="preserve"> the variability in financial goals by using standardized vignettes representing different client objectives, like retirement or long-term care</w:t>
      </w:r>
      <w:r>
        <w:rPr>
          <w:rFonts w:asciiTheme="minorHAnsi" w:hAnsiTheme="minorHAnsi"/>
          <w:color w:val="000000" w:themeColor="text1"/>
          <w:lang w:val="en-US"/>
        </w:rPr>
        <w:t xml:space="preserve"> </w:t>
      </w:r>
      <w:r w:rsidRPr="000428B7">
        <w:rPr>
          <w:rFonts w:asciiTheme="minorHAnsi" w:hAnsiTheme="minorHAnsi"/>
          <w:color w:val="000000" w:themeColor="text1"/>
          <w:lang w:val="en-US"/>
        </w:rPr>
        <w:t>(</w:t>
      </w:r>
      <w:proofErr w:type="spellStart"/>
      <w:r w:rsidRPr="000428B7">
        <w:rPr>
          <w:rFonts w:asciiTheme="minorHAnsi" w:hAnsiTheme="minorHAnsi"/>
          <w:color w:val="000000" w:themeColor="text1"/>
          <w:lang w:val="en-US"/>
        </w:rPr>
        <w:t>d'Astous</w:t>
      </w:r>
      <w:proofErr w:type="spellEnd"/>
      <w:r w:rsidRPr="000428B7">
        <w:rPr>
          <w:rFonts w:asciiTheme="minorHAnsi" w:hAnsiTheme="minorHAnsi"/>
          <w:color w:val="000000" w:themeColor="text1"/>
          <w:lang w:val="en-US"/>
        </w:rPr>
        <w:t xml:space="preserve"> et al., 2024)</w:t>
      </w:r>
      <w:r w:rsidRPr="00643D67">
        <w:rPr>
          <w:rFonts w:asciiTheme="minorHAnsi" w:hAnsiTheme="minorHAnsi"/>
          <w:color w:val="000000" w:themeColor="text1"/>
          <w:lang w:val="en-US"/>
        </w:rPr>
        <w:t>. While this method controls for specific financial goals and risk profiles, it cannot capture the full range of individualized objectives present in real-</w:t>
      </w:r>
      <w:r w:rsidRPr="00643D67">
        <w:rPr>
          <w:rFonts w:asciiTheme="minorHAnsi" w:hAnsiTheme="minorHAnsi"/>
          <w:color w:val="000000" w:themeColor="text1"/>
          <w:lang w:val="en-US"/>
        </w:rPr>
        <w:lastRenderedPageBreak/>
        <w:t>life advisory settings, offering only a partial view of how well advisors align with diverse client needs.</w:t>
      </w:r>
      <w:r>
        <w:rPr>
          <w:rFonts w:asciiTheme="minorHAnsi" w:hAnsiTheme="minorHAnsi"/>
          <w:color w:val="000000" w:themeColor="text1"/>
          <w:lang w:val="en-US"/>
        </w:rPr>
        <w:t xml:space="preserve"> </w:t>
      </w:r>
    </w:p>
    <w:p w14:paraId="0F060161" w14:textId="77777777" w:rsidR="001C492D" w:rsidRDefault="001C492D" w:rsidP="00643D67">
      <w:pPr>
        <w:jc w:val="both"/>
        <w:rPr>
          <w:rFonts w:asciiTheme="minorHAnsi" w:hAnsiTheme="minorHAnsi"/>
          <w:color w:val="000000" w:themeColor="text1"/>
          <w:u w:val="single"/>
          <w:lang w:val="en-US"/>
        </w:rPr>
      </w:pPr>
    </w:p>
    <w:p w14:paraId="2E8DC6F2" w14:textId="33C7B20A" w:rsidR="009E46CD" w:rsidRPr="001C492D" w:rsidRDefault="009E46CD" w:rsidP="00643D67">
      <w:pPr>
        <w:jc w:val="both"/>
        <w:rPr>
          <w:rFonts w:asciiTheme="minorHAnsi" w:hAnsiTheme="minorHAnsi"/>
          <w:color w:val="000000" w:themeColor="text1"/>
          <w:u w:val="single"/>
          <w:lang w:val="en-US"/>
        </w:rPr>
      </w:pPr>
      <w:r w:rsidRPr="001C492D">
        <w:rPr>
          <w:rFonts w:asciiTheme="minorHAnsi" w:hAnsiTheme="minorHAnsi"/>
          <w:color w:val="000000" w:themeColor="text1"/>
          <w:u w:val="single"/>
          <w:lang w:val="en-US"/>
        </w:rPr>
        <w:t>Randomization to Isolate Influences and Measure Biases</w:t>
      </w:r>
    </w:p>
    <w:p w14:paraId="1016053D" w14:textId="642D825E" w:rsidR="009E46CD" w:rsidRPr="001C492D" w:rsidRDefault="009E46CD" w:rsidP="00643D67">
      <w:pPr>
        <w:jc w:val="both"/>
        <w:rPr>
          <w:rFonts w:asciiTheme="minorHAnsi" w:hAnsiTheme="minorHAnsi"/>
          <w:b/>
          <w:bCs/>
          <w:lang w:val="en-US"/>
        </w:rPr>
      </w:pPr>
      <w:r w:rsidRPr="009E46CD">
        <w:rPr>
          <w:rFonts w:asciiTheme="minorHAnsi" w:hAnsiTheme="minorHAnsi"/>
          <w:color w:val="000000" w:themeColor="text1"/>
          <w:lang w:val="en-US"/>
        </w:rPr>
        <w:t>By randomizing client characteristics and advisor incentives, experiments reduce biases inherent in observational data, enabling researchers to isolate each factor's impact on recommendations. For example, randomized commission structures reveal if advisors promote certain products due to compensation incentives (Chalmers &amp; Reuter, 2020). Experiments can also test advisor biases, like preference for familiar products, by presenting advisors with both familiar and unfamiliar options, which helps measure the extent to which familiarity shapes recommendations (</w:t>
      </w:r>
      <w:proofErr w:type="spellStart"/>
      <w:r w:rsidRPr="009E46CD">
        <w:rPr>
          <w:rFonts w:asciiTheme="minorHAnsi" w:hAnsiTheme="minorHAnsi"/>
          <w:color w:val="000000" w:themeColor="text1"/>
          <w:lang w:val="en-US"/>
        </w:rPr>
        <w:t>Hackethal</w:t>
      </w:r>
      <w:proofErr w:type="spellEnd"/>
      <w:r w:rsidRPr="009E46CD">
        <w:rPr>
          <w:rFonts w:asciiTheme="minorHAnsi" w:hAnsiTheme="minorHAnsi"/>
          <w:color w:val="000000" w:themeColor="text1"/>
          <w:lang w:val="en-US"/>
        </w:rPr>
        <w:t xml:space="preserve"> et al., 2018).</w:t>
      </w:r>
      <w:r w:rsidR="001C492D">
        <w:rPr>
          <w:rFonts w:asciiTheme="minorHAnsi" w:hAnsiTheme="minorHAnsi"/>
          <w:color w:val="000000" w:themeColor="text1"/>
          <w:lang w:val="en-US"/>
        </w:rPr>
        <w:t xml:space="preserve"> </w:t>
      </w:r>
      <w:r w:rsidR="001C492D" w:rsidRPr="00607DB3">
        <w:rPr>
          <w:rFonts w:asciiTheme="minorHAnsi" w:hAnsiTheme="minorHAnsi"/>
          <w:lang w:val="en-US"/>
        </w:rPr>
        <w:t>This controlled approach helps reveal the behaviors and contexts that influence financial advice quality, which are often hard to disentangle in observational data.</w:t>
      </w:r>
    </w:p>
    <w:p w14:paraId="37D3A80A" w14:textId="77777777" w:rsidR="009E46CD" w:rsidRPr="009E46CD" w:rsidRDefault="009E46CD" w:rsidP="00643D67">
      <w:pPr>
        <w:jc w:val="both"/>
        <w:rPr>
          <w:rFonts w:asciiTheme="minorHAnsi" w:hAnsiTheme="minorHAnsi"/>
          <w:color w:val="000000" w:themeColor="text1"/>
          <w:lang w:val="en-US"/>
        </w:rPr>
      </w:pPr>
    </w:p>
    <w:p w14:paraId="4DE247EC" w14:textId="77777777" w:rsidR="009E46CD" w:rsidRPr="001C492D" w:rsidRDefault="009E46CD" w:rsidP="00643D67">
      <w:pPr>
        <w:jc w:val="both"/>
        <w:rPr>
          <w:rFonts w:asciiTheme="minorHAnsi" w:hAnsiTheme="minorHAnsi"/>
          <w:color w:val="000000" w:themeColor="text1"/>
          <w:u w:val="single"/>
          <w:lang w:val="en-US"/>
        </w:rPr>
      </w:pPr>
      <w:r w:rsidRPr="001C492D">
        <w:rPr>
          <w:rFonts w:asciiTheme="minorHAnsi" w:hAnsiTheme="minorHAnsi"/>
          <w:color w:val="000000" w:themeColor="text1"/>
          <w:u w:val="single"/>
          <w:lang w:val="en-US"/>
        </w:rPr>
        <w:t>Avoiding Self-Selection Bias</w:t>
      </w:r>
    </w:p>
    <w:p w14:paraId="3685EE68" w14:textId="77777777" w:rsidR="001C492D" w:rsidRPr="00527A15" w:rsidRDefault="001C492D" w:rsidP="00643D67">
      <w:pPr>
        <w:jc w:val="both"/>
        <w:rPr>
          <w:rFonts w:asciiTheme="minorHAnsi" w:hAnsiTheme="minorHAnsi"/>
          <w:lang w:val="en-US"/>
        </w:rPr>
      </w:pPr>
      <w:r w:rsidRPr="002D1D01">
        <w:rPr>
          <w:rFonts w:asciiTheme="minorHAnsi" w:hAnsiTheme="minorHAnsi"/>
          <w:lang w:val="en-US"/>
        </w:rPr>
        <w:t>Self-selection bias skews observational studies because clients who seek advice often differ in financial literacy and motivation. Experiments counter this by using standardized scenarios for advisors, ensuring results reflect a consistent client profile rather than a self-selected subset. This approach makes findings more generalizable and applicable to a broader population</w:t>
      </w:r>
      <w:r>
        <w:rPr>
          <w:rFonts w:asciiTheme="minorHAnsi" w:hAnsiTheme="minorHAnsi"/>
          <w:lang w:val="en-US"/>
        </w:rPr>
        <w:t xml:space="preserve"> </w:t>
      </w:r>
      <w:r w:rsidRPr="00527A15">
        <w:rPr>
          <w:rFonts w:asciiTheme="minorHAnsi" w:hAnsiTheme="minorHAnsi"/>
          <w:lang w:val="en-US"/>
        </w:rPr>
        <w:t>by capturing advice quality in a controlle</w:t>
      </w:r>
      <w:r>
        <w:rPr>
          <w:rFonts w:asciiTheme="minorHAnsi" w:hAnsiTheme="minorHAnsi"/>
          <w:lang w:val="en-US"/>
        </w:rPr>
        <w:t>d</w:t>
      </w:r>
      <w:r w:rsidRPr="00527A15">
        <w:rPr>
          <w:rFonts w:asciiTheme="minorHAnsi" w:hAnsiTheme="minorHAnsi"/>
          <w:lang w:val="en-US"/>
        </w:rPr>
        <w:t xml:space="preserve"> environment</w:t>
      </w:r>
      <w:r w:rsidRPr="002D1D01">
        <w:rPr>
          <w:rFonts w:asciiTheme="minorHAnsi" w:hAnsiTheme="minorHAnsi"/>
          <w:lang w:val="en-US"/>
        </w:rPr>
        <w:t xml:space="preserve"> (Mullainathan</w:t>
      </w:r>
      <w:r>
        <w:rPr>
          <w:rFonts w:asciiTheme="minorHAnsi" w:hAnsiTheme="minorHAnsi"/>
          <w:lang w:val="en-US"/>
        </w:rPr>
        <w:t xml:space="preserve"> et al.</w:t>
      </w:r>
      <w:r w:rsidRPr="002D1D01">
        <w:rPr>
          <w:rFonts w:asciiTheme="minorHAnsi" w:hAnsiTheme="minorHAnsi"/>
          <w:lang w:val="en-US"/>
        </w:rPr>
        <w:t>, 2012).</w:t>
      </w:r>
    </w:p>
    <w:p w14:paraId="51055D29" w14:textId="77777777" w:rsidR="009E46CD" w:rsidRPr="009E46CD" w:rsidRDefault="009E46CD" w:rsidP="00643D67">
      <w:pPr>
        <w:jc w:val="both"/>
        <w:rPr>
          <w:rFonts w:asciiTheme="minorHAnsi" w:hAnsiTheme="minorHAnsi"/>
          <w:color w:val="000000" w:themeColor="text1"/>
          <w:lang w:val="en-US"/>
        </w:rPr>
      </w:pPr>
    </w:p>
    <w:p w14:paraId="55D3D5D2" w14:textId="77777777" w:rsidR="009E46CD" w:rsidRPr="001C492D" w:rsidRDefault="009E46CD" w:rsidP="00643D67">
      <w:pPr>
        <w:jc w:val="both"/>
        <w:rPr>
          <w:rFonts w:asciiTheme="minorHAnsi" w:hAnsiTheme="minorHAnsi"/>
          <w:color w:val="000000" w:themeColor="text1"/>
          <w:u w:val="single"/>
          <w:lang w:val="en-US"/>
        </w:rPr>
      </w:pPr>
      <w:r w:rsidRPr="001C492D">
        <w:rPr>
          <w:rFonts w:asciiTheme="minorHAnsi" w:hAnsiTheme="minorHAnsi"/>
          <w:color w:val="000000" w:themeColor="text1"/>
          <w:u w:val="single"/>
          <w:lang w:val="en-US"/>
        </w:rPr>
        <w:t>Establishing Counterfactuals to Measure Causal Impact</w:t>
      </w:r>
    </w:p>
    <w:p w14:paraId="3ABEB0A8" w14:textId="0FE7F881" w:rsidR="009E46CD" w:rsidRDefault="009E46CD" w:rsidP="00643D67">
      <w:pPr>
        <w:jc w:val="both"/>
        <w:rPr>
          <w:rFonts w:asciiTheme="minorHAnsi" w:hAnsiTheme="minorHAnsi"/>
          <w:color w:val="000000" w:themeColor="text1"/>
          <w:lang w:val="en-US"/>
        </w:rPr>
      </w:pPr>
      <w:r w:rsidRPr="009E46CD">
        <w:rPr>
          <w:rFonts w:asciiTheme="minorHAnsi" w:hAnsiTheme="minorHAnsi"/>
          <w:color w:val="000000" w:themeColor="text1"/>
          <w:lang w:val="en-US"/>
        </w:rPr>
        <w:t>Experiments simulate counterfactuals by varying conditions like product information or compensation structures, allowing researchers to infer causation by observing how recommendations change under different scenarios. Although experiments cannot fully replicate a “no-advice” situation, they help reveal causal effects by showing how specific factors, such as client prompts, shape advisor behavior (Foerster et al., 2017).</w:t>
      </w:r>
    </w:p>
    <w:p w14:paraId="27B6077C" w14:textId="77777777" w:rsidR="00643D67" w:rsidRDefault="00643D67" w:rsidP="00643D67">
      <w:pPr>
        <w:jc w:val="both"/>
        <w:rPr>
          <w:rFonts w:asciiTheme="minorHAnsi" w:hAnsiTheme="minorHAnsi"/>
          <w:color w:val="000000" w:themeColor="text1"/>
          <w:lang w:val="en-US"/>
        </w:rPr>
      </w:pPr>
    </w:p>
    <w:p w14:paraId="4E1D5CF7" w14:textId="3C98DBEE" w:rsidR="00643D67" w:rsidRPr="00643D67" w:rsidRDefault="00643D67" w:rsidP="00643D67">
      <w:pPr>
        <w:jc w:val="both"/>
        <w:rPr>
          <w:rFonts w:asciiTheme="minorHAnsi" w:hAnsiTheme="minorHAnsi"/>
          <w:color w:val="000000" w:themeColor="text1"/>
          <w:u w:val="single"/>
          <w:lang w:val="en-US"/>
        </w:rPr>
      </w:pPr>
      <w:r w:rsidRPr="00643D67">
        <w:rPr>
          <w:rFonts w:asciiTheme="minorHAnsi" w:hAnsiTheme="minorHAnsi"/>
          <w:color w:val="000000" w:themeColor="text1"/>
          <w:u w:val="single"/>
          <w:lang w:val="en-US"/>
        </w:rPr>
        <w:t>Ethical</w:t>
      </w:r>
      <w:r w:rsidRPr="00643D67">
        <w:rPr>
          <w:rFonts w:asciiTheme="minorHAnsi" w:hAnsiTheme="minorHAnsi"/>
          <w:color w:val="000000" w:themeColor="text1"/>
          <w:u w:val="single"/>
          <w:lang w:val="en-US"/>
        </w:rPr>
        <w:t xml:space="preserve"> </w:t>
      </w:r>
      <w:r w:rsidRPr="00643D67">
        <w:rPr>
          <w:rFonts w:asciiTheme="minorHAnsi" w:hAnsiTheme="minorHAnsi"/>
          <w:color w:val="000000" w:themeColor="text1"/>
          <w:u w:val="single"/>
          <w:lang w:val="en-US"/>
        </w:rPr>
        <w:t>Constraints</w:t>
      </w:r>
      <w:r>
        <w:rPr>
          <w:rFonts w:asciiTheme="minorHAnsi" w:hAnsiTheme="minorHAnsi"/>
          <w:color w:val="000000" w:themeColor="text1"/>
          <w:u w:val="single"/>
          <w:lang w:val="en-US"/>
        </w:rPr>
        <w:t xml:space="preserve"> </w:t>
      </w:r>
    </w:p>
    <w:p w14:paraId="67246C3E" w14:textId="575DB006" w:rsidR="00643D67" w:rsidRPr="00643D67" w:rsidRDefault="00643D67" w:rsidP="00643D67">
      <w:pPr>
        <w:jc w:val="both"/>
        <w:rPr>
          <w:rFonts w:asciiTheme="minorHAnsi" w:hAnsiTheme="minorHAnsi"/>
          <w:color w:val="000000" w:themeColor="text1"/>
          <w:lang w:val="en-US"/>
        </w:rPr>
      </w:pPr>
      <w:r w:rsidRPr="00643D67">
        <w:rPr>
          <w:rFonts w:asciiTheme="minorHAnsi" w:hAnsiTheme="minorHAnsi"/>
          <w:color w:val="000000" w:themeColor="text1"/>
          <w:lang w:val="en-US"/>
        </w:rPr>
        <w:t xml:space="preserve">To navigate ethical limitations, the study uses hypothetical client scenarios instead of actual client interactions, maintaining privacy and avoiding consent issues. </w:t>
      </w:r>
      <w:r>
        <w:rPr>
          <w:rFonts w:asciiTheme="minorHAnsi" w:hAnsiTheme="minorHAnsi"/>
          <w:color w:val="000000" w:themeColor="text1"/>
          <w:lang w:val="en-US"/>
        </w:rPr>
        <w:t>T</w:t>
      </w:r>
      <w:r w:rsidRPr="00643D67">
        <w:rPr>
          <w:rFonts w:asciiTheme="minorHAnsi" w:hAnsiTheme="minorHAnsi"/>
          <w:color w:val="000000" w:themeColor="text1"/>
          <w:lang w:val="en-US"/>
        </w:rPr>
        <w:t>he study</w:t>
      </w:r>
      <w:r>
        <w:rPr>
          <w:rFonts w:asciiTheme="minorHAnsi" w:hAnsiTheme="minorHAnsi"/>
          <w:color w:val="000000" w:themeColor="text1"/>
          <w:lang w:val="en-US"/>
        </w:rPr>
        <w:t xml:space="preserve"> therefor</w:t>
      </w:r>
      <w:r w:rsidRPr="00643D67">
        <w:rPr>
          <w:rFonts w:asciiTheme="minorHAnsi" w:hAnsiTheme="minorHAnsi"/>
          <w:color w:val="000000" w:themeColor="text1"/>
          <w:lang w:val="en-US"/>
        </w:rPr>
        <w:t xml:space="preserve"> respects confidentiality requirements and ethical standards, providing a structured view of advisor responses without risking personal data exposure or privacy concerns.</w:t>
      </w:r>
    </w:p>
    <w:p w14:paraId="408BEEEE" w14:textId="77777777" w:rsidR="009E46CD" w:rsidRPr="009E46CD" w:rsidRDefault="009E46CD" w:rsidP="00643D67">
      <w:pPr>
        <w:jc w:val="both"/>
        <w:rPr>
          <w:rFonts w:asciiTheme="minorHAnsi" w:hAnsiTheme="minorHAnsi"/>
          <w:color w:val="000000" w:themeColor="text1"/>
          <w:lang w:val="en-US"/>
        </w:rPr>
      </w:pPr>
    </w:p>
    <w:p w14:paraId="5359E864" w14:textId="77777777" w:rsidR="009E46CD" w:rsidRPr="009E46CD" w:rsidRDefault="009E46CD" w:rsidP="00643D67">
      <w:pPr>
        <w:jc w:val="both"/>
        <w:rPr>
          <w:rFonts w:asciiTheme="minorHAnsi" w:hAnsiTheme="minorHAnsi"/>
          <w:b/>
          <w:bCs/>
          <w:color w:val="000000" w:themeColor="text1"/>
          <w:lang w:val="en-US"/>
        </w:rPr>
      </w:pPr>
      <w:r w:rsidRPr="009E46CD">
        <w:rPr>
          <w:rFonts w:asciiTheme="minorHAnsi" w:hAnsiTheme="minorHAnsi"/>
          <w:b/>
          <w:bCs/>
          <w:color w:val="000000" w:themeColor="text1"/>
          <w:lang w:val="en-US"/>
        </w:rPr>
        <w:t>Practical Applications of Experimental Insights</w:t>
      </w:r>
    </w:p>
    <w:p w14:paraId="1677B120" w14:textId="3B352C8E" w:rsidR="009E46CD" w:rsidRDefault="009E46CD" w:rsidP="00643D67">
      <w:pPr>
        <w:jc w:val="both"/>
        <w:rPr>
          <w:rFonts w:asciiTheme="minorHAnsi" w:hAnsiTheme="minorHAnsi"/>
          <w:color w:val="000000" w:themeColor="text1"/>
          <w:lang w:val="en-US"/>
        </w:rPr>
      </w:pPr>
      <w:r w:rsidRPr="009E46CD">
        <w:rPr>
          <w:rFonts w:asciiTheme="minorHAnsi" w:hAnsiTheme="minorHAnsi"/>
          <w:color w:val="000000" w:themeColor="text1"/>
          <w:lang w:val="en-US"/>
        </w:rPr>
        <w:t xml:space="preserve">Experimental findings have practical implications for the financial advice industry. By identifying specific factors that influence advice quality, financial firms and regulators can design better compensation models and training programs. For example, if experiments show that commission-based compensation biases </w:t>
      </w:r>
      <w:r w:rsidRPr="009E46CD">
        <w:rPr>
          <w:rFonts w:asciiTheme="minorHAnsi" w:hAnsiTheme="minorHAnsi"/>
          <w:color w:val="000000" w:themeColor="text1"/>
          <w:lang w:val="en-US"/>
        </w:rPr>
        <w:lastRenderedPageBreak/>
        <w:t>recommendations, firms may adopt fee-based models to better align advisor incentives with client interests (</w:t>
      </w:r>
      <w:proofErr w:type="spellStart"/>
      <w:r w:rsidRPr="009E46CD">
        <w:rPr>
          <w:rFonts w:asciiTheme="minorHAnsi" w:hAnsiTheme="minorHAnsi"/>
          <w:color w:val="000000" w:themeColor="text1"/>
          <w:lang w:val="en-US"/>
        </w:rPr>
        <w:t>Inderst</w:t>
      </w:r>
      <w:proofErr w:type="spellEnd"/>
      <w:r w:rsidRPr="009E46CD">
        <w:rPr>
          <w:rFonts w:asciiTheme="minorHAnsi" w:hAnsiTheme="minorHAnsi"/>
          <w:color w:val="000000" w:themeColor="text1"/>
          <w:lang w:val="en-US"/>
        </w:rPr>
        <w:t xml:space="preserve"> &amp; Ottaviani, 2012).</w:t>
      </w:r>
    </w:p>
    <w:p w14:paraId="06674ED8" w14:textId="3E4B2F65" w:rsidR="00792408" w:rsidRDefault="00792408" w:rsidP="00792408">
      <w:pPr>
        <w:pStyle w:val="Titre2"/>
        <w:rPr>
          <w:lang w:val="en-US"/>
        </w:rPr>
      </w:pPr>
      <w:r>
        <w:rPr>
          <w:lang w:val="en-US"/>
        </w:rPr>
        <w:t>Bibliography</w:t>
      </w:r>
    </w:p>
    <w:p w14:paraId="5FAB996F" w14:textId="77777777" w:rsidR="00E165DD" w:rsidRPr="00413EDC" w:rsidRDefault="00E165DD" w:rsidP="00E165DD">
      <w:pPr>
        <w:jc w:val="both"/>
        <w:rPr>
          <w:rFonts w:asciiTheme="minorHAnsi" w:hAnsiTheme="minorHAnsi"/>
          <w:lang w:val="en-US"/>
        </w:rPr>
      </w:pPr>
      <w:r w:rsidRPr="00413EDC">
        <w:rPr>
          <w:rFonts w:asciiTheme="minorHAnsi" w:hAnsiTheme="minorHAnsi"/>
          <w:lang w:val="en-US"/>
        </w:rPr>
        <w:t xml:space="preserve">Bhattacharya, U., </w:t>
      </w:r>
      <w:proofErr w:type="spellStart"/>
      <w:r w:rsidRPr="00413EDC">
        <w:rPr>
          <w:rFonts w:asciiTheme="minorHAnsi" w:hAnsiTheme="minorHAnsi"/>
          <w:lang w:val="en-US"/>
        </w:rPr>
        <w:t>Hackethal</w:t>
      </w:r>
      <w:proofErr w:type="spellEnd"/>
      <w:r w:rsidRPr="00413EDC">
        <w:rPr>
          <w:rFonts w:asciiTheme="minorHAnsi" w:hAnsiTheme="minorHAnsi"/>
          <w:lang w:val="en-US"/>
        </w:rPr>
        <w:t xml:space="preserve">, A., </w:t>
      </w:r>
      <w:proofErr w:type="spellStart"/>
      <w:r w:rsidRPr="00413EDC">
        <w:rPr>
          <w:rFonts w:asciiTheme="minorHAnsi" w:hAnsiTheme="minorHAnsi"/>
          <w:lang w:val="en-US"/>
        </w:rPr>
        <w:t>Kaesler</w:t>
      </w:r>
      <w:proofErr w:type="spellEnd"/>
      <w:r w:rsidRPr="00413EDC">
        <w:rPr>
          <w:rFonts w:asciiTheme="minorHAnsi" w:hAnsiTheme="minorHAnsi"/>
          <w:lang w:val="en-US"/>
        </w:rPr>
        <w:t>, S., Loos, B., &amp; Meyer, S. (2012). "Is unbiased financial advice to retail investors sufficient? Answers from a large field study." Review of Financial Studies, 25(4), 975-1030.</w:t>
      </w:r>
    </w:p>
    <w:p w14:paraId="552A1941" w14:textId="77777777" w:rsidR="00E165DD" w:rsidRPr="00413EDC" w:rsidRDefault="00E165DD" w:rsidP="00E165DD">
      <w:pPr>
        <w:jc w:val="both"/>
        <w:rPr>
          <w:rFonts w:asciiTheme="minorHAnsi" w:hAnsiTheme="minorHAnsi"/>
          <w:lang w:val="en-US"/>
        </w:rPr>
      </w:pPr>
    </w:p>
    <w:p w14:paraId="4B17BBF6" w14:textId="77777777" w:rsidR="00E165DD" w:rsidRPr="00413EDC" w:rsidRDefault="00E165DD" w:rsidP="00E165DD">
      <w:pPr>
        <w:jc w:val="both"/>
        <w:rPr>
          <w:rFonts w:asciiTheme="minorHAnsi" w:hAnsiTheme="minorHAnsi"/>
          <w:lang w:val="en-US"/>
        </w:rPr>
      </w:pPr>
      <w:r w:rsidRPr="00413EDC">
        <w:rPr>
          <w:rFonts w:asciiTheme="minorHAnsi" w:hAnsiTheme="minorHAnsi"/>
          <w:lang w:val="en-US"/>
        </w:rPr>
        <w:t xml:space="preserve">Calcagno, R., &amp; </w:t>
      </w:r>
      <w:proofErr w:type="spellStart"/>
      <w:r w:rsidRPr="00413EDC">
        <w:rPr>
          <w:rFonts w:asciiTheme="minorHAnsi" w:hAnsiTheme="minorHAnsi"/>
          <w:lang w:val="en-US"/>
        </w:rPr>
        <w:t>Monticone</w:t>
      </w:r>
      <w:proofErr w:type="spellEnd"/>
      <w:r w:rsidRPr="00413EDC">
        <w:rPr>
          <w:rFonts w:asciiTheme="minorHAnsi" w:hAnsiTheme="minorHAnsi"/>
          <w:lang w:val="en-US"/>
        </w:rPr>
        <w:t>, C. (2015). "Financial literacy and the demand for financial advice." Journal of Banking &amp; Finance, 50, 363-380.</w:t>
      </w:r>
    </w:p>
    <w:p w14:paraId="6892B50A" w14:textId="77777777" w:rsidR="00E165DD" w:rsidRPr="00413EDC" w:rsidRDefault="00E165DD" w:rsidP="00E165DD">
      <w:pPr>
        <w:jc w:val="both"/>
        <w:rPr>
          <w:rFonts w:asciiTheme="minorHAnsi" w:hAnsiTheme="minorHAnsi"/>
          <w:lang w:val="en-US"/>
        </w:rPr>
      </w:pPr>
    </w:p>
    <w:p w14:paraId="5F383751" w14:textId="77777777" w:rsidR="00E165DD" w:rsidRDefault="00E165DD" w:rsidP="00E165DD">
      <w:pPr>
        <w:jc w:val="both"/>
        <w:rPr>
          <w:rFonts w:asciiTheme="minorHAnsi" w:hAnsiTheme="minorHAnsi"/>
          <w:lang w:val="en-US"/>
        </w:rPr>
      </w:pPr>
      <w:r w:rsidRPr="00413EDC">
        <w:rPr>
          <w:rFonts w:asciiTheme="minorHAnsi" w:hAnsiTheme="minorHAnsi"/>
          <w:lang w:val="en-US"/>
        </w:rPr>
        <w:t>Chalmers, J., &amp; Reuter, J. (2020). "What is the impact of financial advisors on retirement portfolio choices and outcomes?" Journal of Financial Economics, 135(2), 463-484.</w:t>
      </w:r>
    </w:p>
    <w:p w14:paraId="0AAF13D8" w14:textId="77777777" w:rsidR="00E165DD" w:rsidRPr="00413EDC" w:rsidRDefault="00E165DD" w:rsidP="00E165DD">
      <w:pPr>
        <w:jc w:val="both"/>
        <w:rPr>
          <w:rFonts w:asciiTheme="minorHAnsi" w:hAnsiTheme="minorHAnsi"/>
          <w:lang w:val="en-US"/>
        </w:rPr>
      </w:pPr>
    </w:p>
    <w:p w14:paraId="7998EAC8" w14:textId="77777777" w:rsidR="00E165DD" w:rsidRDefault="00E165DD" w:rsidP="00E165DD">
      <w:pPr>
        <w:jc w:val="both"/>
        <w:rPr>
          <w:rFonts w:asciiTheme="minorHAnsi" w:hAnsiTheme="minorHAnsi"/>
          <w:lang w:val="en-US"/>
        </w:rPr>
      </w:pPr>
      <w:proofErr w:type="gramStart"/>
      <w:r w:rsidRPr="00E165DD">
        <w:rPr>
          <w:rFonts w:asciiTheme="minorHAnsi" w:hAnsiTheme="minorHAnsi"/>
        </w:rPr>
        <w:t>d’</w:t>
      </w:r>
      <w:proofErr w:type="spellStart"/>
      <w:r w:rsidRPr="00E165DD">
        <w:rPr>
          <w:rFonts w:asciiTheme="minorHAnsi" w:hAnsiTheme="minorHAnsi"/>
        </w:rPr>
        <w:t>Astous</w:t>
      </w:r>
      <w:proofErr w:type="spellEnd"/>
      <w:proofErr w:type="gramEnd"/>
      <w:r w:rsidRPr="00E165DD">
        <w:rPr>
          <w:rFonts w:asciiTheme="minorHAnsi" w:hAnsiTheme="minorHAnsi"/>
        </w:rPr>
        <w:t xml:space="preserve">, P., </w:t>
      </w:r>
      <w:proofErr w:type="spellStart"/>
      <w:r w:rsidRPr="00E165DD">
        <w:rPr>
          <w:rFonts w:asciiTheme="minorHAnsi" w:hAnsiTheme="minorHAnsi"/>
        </w:rPr>
        <w:t>Gemmo</w:t>
      </w:r>
      <w:proofErr w:type="spellEnd"/>
      <w:r w:rsidRPr="00E165DD">
        <w:rPr>
          <w:rFonts w:asciiTheme="minorHAnsi" w:hAnsiTheme="minorHAnsi"/>
        </w:rPr>
        <w:t xml:space="preserve">, I., &amp; Michaud, P.C. (2024). </w:t>
      </w:r>
      <w:r w:rsidRPr="00413EDC">
        <w:rPr>
          <w:rFonts w:asciiTheme="minorHAnsi" w:hAnsiTheme="minorHAnsi"/>
          <w:lang w:val="en-US"/>
        </w:rPr>
        <w:t>"The quality of financial advice: What influences recommendations to clients?" Journal of Banking and Finance, 169.</w:t>
      </w:r>
    </w:p>
    <w:p w14:paraId="7A73E606" w14:textId="77777777" w:rsidR="00E165DD" w:rsidRDefault="00E165DD" w:rsidP="00E165DD">
      <w:pPr>
        <w:jc w:val="both"/>
        <w:rPr>
          <w:rFonts w:asciiTheme="minorHAnsi" w:hAnsiTheme="minorHAnsi"/>
          <w:lang w:val="en-US"/>
        </w:rPr>
      </w:pPr>
    </w:p>
    <w:p w14:paraId="7B8FB89F" w14:textId="3A5DA995" w:rsidR="00151584" w:rsidRPr="00151584" w:rsidRDefault="00151584" w:rsidP="00E165DD">
      <w:pPr>
        <w:jc w:val="both"/>
        <w:rPr>
          <w:rFonts w:asciiTheme="minorHAnsi" w:hAnsiTheme="minorHAnsi"/>
          <w:lang w:val="en-US"/>
        </w:rPr>
      </w:pPr>
      <w:r w:rsidRPr="00151584">
        <w:rPr>
          <w:rFonts w:asciiTheme="minorHAnsi" w:hAnsiTheme="minorHAnsi"/>
          <w:lang w:val="en-US"/>
        </w:rPr>
        <w:t xml:space="preserve">Finke, M. (2013). Financial Advice: Does it make a </w:t>
      </w:r>
      <w:proofErr w:type="gramStart"/>
      <w:r w:rsidRPr="00151584">
        <w:rPr>
          <w:rFonts w:asciiTheme="minorHAnsi" w:hAnsiTheme="minorHAnsi"/>
          <w:lang w:val="en-US"/>
        </w:rPr>
        <w:t>difference?.</w:t>
      </w:r>
      <w:proofErr w:type="gramEnd"/>
      <w:r w:rsidRPr="00151584">
        <w:rPr>
          <w:rFonts w:asciiTheme="minorHAnsi" w:hAnsiTheme="minorHAnsi"/>
          <w:lang w:val="en-US"/>
        </w:rPr>
        <w:t> </w:t>
      </w:r>
      <w:r w:rsidRPr="00151584">
        <w:rPr>
          <w:rFonts w:asciiTheme="minorHAnsi" w:hAnsiTheme="minorHAnsi"/>
          <w:i/>
          <w:iCs/>
          <w:lang w:val="en-US"/>
        </w:rPr>
        <w:t>The market for retirement financial advice</w:t>
      </w:r>
      <w:r w:rsidRPr="00151584">
        <w:rPr>
          <w:rFonts w:asciiTheme="minorHAnsi" w:hAnsiTheme="minorHAnsi"/>
          <w:lang w:val="en-US"/>
        </w:rPr>
        <w:t>, </w:t>
      </w:r>
      <w:r w:rsidRPr="00151584">
        <w:rPr>
          <w:rFonts w:asciiTheme="minorHAnsi" w:hAnsiTheme="minorHAnsi"/>
          <w:i/>
          <w:iCs/>
          <w:lang w:val="en-US"/>
        </w:rPr>
        <w:t>229</w:t>
      </w:r>
      <w:r w:rsidRPr="00151584">
        <w:rPr>
          <w:rFonts w:asciiTheme="minorHAnsi" w:hAnsiTheme="minorHAnsi"/>
          <w:lang w:val="en-US"/>
        </w:rPr>
        <w:t>, 248.</w:t>
      </w:r>
      <w:r>
        <w:rPr>
          <w:rFonts w:asciiTheme="minorHAnsi" w:hAnsiTheme="minorHAnsi"/>
          <w:lang w:val="en-US"/>
        </w:rPr>
        <w:t xml:space="preserve"> </w:t>
      </w:r>
      <w:hyperlink r:id="rId5" w:history="1">
        <w:r w:rsidRPr="00233EB0">
          <w:rPr>
            <w:rStyle w:val="Hyperlien"/>
            <w:rFonts w:asciiTheme="minorHAnsi" w:hAnsiTheme="minorHAnsi"/>
            <w:lang w:val="en-US"/>
          </w:rPr>
          <w:t>file:///Users/claralabelle/Downloads/ssrn-2051382.pdf</w:t>
        </w:r>
      </w:hyperlink>
      <w:r>
        <w:rPr>
          <w:rFonts w:asciiTheme="minorHAnsi" w:hAnsiTheme="minorHAnsi"/>
          <w:lang w:val="en-US"/>
        </w:rPr>
        <w:t xml:space="preserve"> </w:t>
      </w:r>
    </w:p>
    <w:p w14:paraId="457E265F" w14:textId="77777777" w:rsidR="00151584" w:rsidRPr="00151584" w:rsidRDefault="00151584" w:rsidP="00E165DD">
      <w:pPr>
        <w:jc w:val="both"/>
        <w:rPr>
          <w:rFonts w:asciiTheme="minorHAnsi" w:hAnsiTheme="minorHAnsi"/>
          <w:lang w:val="en-US"/>
        </w:rPr>
      </w:pPr>
    </w:p>
    <w:p w14:paraId="4B4C7F9F" w14:textId="29A35F67" w:rsidR="00E165DD" w:rsidRPr="00413EDC" w:rsidRDefault="00E165DD" w:rsidP="00E165DD">
      <w:pPr>
        <w:jc w:val="both"/>
        <w:rPr>
          <w:rFonts w:asciiTheme="minorHAnsi" w:hAnsiTheme="minorHAnsi"/>
          <w:lang w:val="en-US"/>
        </w:rPr>
      </w:pPr>
      <w:r w:rsidRPr="00BF66DC">
        <w:rPr>
          <w:rFonts w:asciiTheme="minorHAnsi" w:hAnsiTheme="minorHAnsi"/>
          <w:lang w:val="en-US"/>
        </w:rPr>
        <w:t xml:space="preserve">Foerster, S., </w:t>
      </w:r>
      <w:proofErr w:type="spellStart"/>
      <w:r w:rsidRPr="00BF66DC">
        <w:rPr>
          <w:rFonts w:asciiTheme="minorHAnsi" w:hAnsiTheme="minorHAnsi"/>
          <w:lang w:val="en-US"/>
        </w:rPr>
        <w:t>Linnainmaa</w:t>
      </w:r>
      <w:proofErr w:type="spellEnd"/>
      <w:r w:rsidRPr="00BF66DC">
        <w:rPr>
          <w:rFonts w:asciiTheme="minorHAnsi" w:hAnsiTheme="minorHAnsi"/>
          <w:lang w:val="en-US"/>
        </w:rPr>
        <w:t xml:space="preserve">, J.T., Melzer, B.T., &amp; </w:t>
      </w:r>
      <w:proofErr w:type="spellStart"/>
      <w:r w:rsidRPr="00BF66DC">
        <w:rPr>
          <w:rFonts w:asciiTheme="minorHAnsi" w:hAnsiTheme="minorHAnsi"/>
          <w:lang w:val="en-US"/>
        </w:rPr>
        <w:t>Previtero</w:t>
      </w:r>
      <w:proofErr w:type="spellEnd"/>
      <w:r w:rsidRPr="00BF66DC">
        <w:rPr>
          <w:rFonts w:asciiTheme="minorHAnsi" w:hAnsiTheme="minorHAnsi"/>
          <w:lang w:val="en-US"/>
        </w:rPr>
        <w:t xml:space="preserve">, A. (2017). </w:t>
      </w:r>
      <w:r w:rsidRPr="00813CEE">
        <w:rPr>
          <w:rFonts w:asciiTheme="minorHAnsi" w:hAnsiTheme="minorHAnsi"/>
          <w:lang w:val="en-US"/>
        </w:rPr>
        <w:t xml:space="preserve">"Financial advisors and client outcomes." </w:t>
      </w:r>
      <w:r w:rsidRPr="00813CEE">
        <w:rPr>
          <w:rFonts w:asciiTheme="minorHAnsi" w:hAnsiTheme="minorHAnsi"/>
          <w:i/>
          <w:iCs/>
          <w:lang w:val="en-US"/>
        </w:rPr>
        <w:t>Journal of Finance</w:t>
      </w:r>
      <w:r w:rsidRPr="00813CEE">
        <w:rPr>
          <w:rFonts w:asciiTheme="minorHAnsi" w:hAnsiTheme="minorHAnsi"/>
          <w:lang w:val="en-US"/>
        </w:rPr>
        <w:t xml:space="preserve">, 72(4), 1447-1495. </w:t>
      </w:r>
    </w:p>
    <w:p w14:paraId="50C8D1F3" w14:textId="77777777" w:rsidR="00E165DD" w:rsidRPr="00413EDC" w:rsidRDefault="00E165DD" w:rsidP="00E165DD">
      <w:pPr>
        <w:jc w:val="both"/>
        <w:rPr>
          <w:rFonts w:asciiTheme="minorHAnsi" w:hAnsiTheme="minorHAnsi"/>
          <w:lang w:val="en-US"/>
        </w:rPr>
      </w:pPr>
    </w:p>
    <w:p w14:paraId="432B334A" w14:textId="77777777" w:rsidR="00E165DD" w:rsidRPr="00413EDC" w:rsidRDefault="00E165DD" w:rsidP="00E165DD">
      <w:pPr>
        <w:jc w:val="both"/>
        <w:rPr>
          <w:rFonts w:asciiTheme="minorHAnsi" w:hAnsiTheme="minorHAnsi"/>
          <w:lang w:val="en-US"/>
        </w:rPr>
      </w:pPr>
      <w:proofErr w:type="spellStart"/>
      <w:r w:rsidRPr="00413EDC">
        <w:rPr>
          <w:rFonts w:asciiTheme="minorHAnsi" w:hAnsiTheme="minorHAnsi"/>
          <w:lang w:val="en-US"/>
        </w:rPr>
        <w:t>Hackethal</w:t>
      </w:r>
      <w:proofErr w:type="spellEnd"/>
      <w:r w:rsidRPr="00413EDC">
        <w:rPr>
          <w:rFonts w:asciiTheme="minorHAnsi" w:hAnsiTheme="minorHAnsi"/>
          <w:lang w:val="en-US"/>
        </w:rPr>
        <w:t xml:space="preserve">, A., </w:t>
      </w:r>
      <w:proofErr w:type="spellStart"/>
      <w:r w:rsidRPr="00413EDC">
        <w:rPr>
          <w:rFonts w:asciiTheme="minorHAnsi" w:hAnsiTheme="minorHAnsi"/>
          <w:lang w:val="en-US"/>
        </w:rPr>
        <w:t>Inderst</w:t>
      </w:r>
      <w:proofErr w:type="spellEnd"/>
      <w:r w:rsidRPr="00413EDC">
        <w:rPr>
          <w:rFonts w:asciiTheme="minorHAnsi" w:hAnsiTheme="minorHAnsi"/>
          <w:lang w:val="en-US"/>
        </w:rPr>
        <w:t>, R., &amp; Meyer, S. (2018). "Client involvement in financial advice: Why it matters." European Financial Management, 24(3), 382-410.</w:t>
      </w:r>
    </w:p>
    <w:p w14:paraId="6B5B79D1" w14:textId="77777777" w:rsidR="00E165DD" w:rsidRPr="00413EDC" w:rsidRDefault="00E165DD" w:rsidP="00E165DD">
      <w:pPr>
        <w:jc w:val="both"/>
        <w:rPr>
          <w:rFonts w:asciiTheme="minorHAnsi" w:hAnsiTheme="minorHAnsi"/>
          <w:lang w:val="en-US"/>
        </w:rPr>
      </w:pPr>
    </w:p>
    <w:p w14:paraId="2F5D4242" w14:textId="77777777" w:rsidR="00E165DD" w:rsidRPr="00413EDC" w:rsidRDefault="00E165DD" w:rsidP="00E165DD">
      <w:pPr>
        <w:jc w:val="both"/>
        <w:rPr>
          <w:rFonts w:asciiTheme="minorHAnsi" w:hAnsiTheme="minorHAnsi"/>
          <w:lang w:val="en-US"/>
        </w:rPr>
      </w:pPr>
      <w:r w:rsidRPr="00413EDC">
        <w:rPr>
          <w:rFonts w:asciiTheme="minorHAnsi" w:hAnsiTheme="minorHAnsi"/>
          <w:lang w:val="en-US"/>
        </w:rPr>
        <w:t xml:space="preserve">Huber, J., &amp; </w:t>
      </w:r>
      <w:proofErr w:type="spellStart"/>
      <w:r w:rsidRPr="00413EDC">
        <w:rPr>
          <w:rFonts w:asciiTheme="minorHAnsi" w:hAnsiTheme="minorHAnsi"/>
          <w:lang w:val="en-US"/>
        </w:rPr>
        <w:t>Kirchler</w:t>
      </w:r>
      <w:proofErr w:type="spellEnd"/>
      <w:r w:rsidRPr="00413EDC">
        <w:rPr>
          <w:rFonts w:asciiTheme="minorHAnsi" w:hAnsiTheme="minorHAnsi"/>
          <w:lang w:val="en-US"/>
        </w:rPr>
        <w:t>, E. (2023). "Experiments in finance." Annual Review of Financial Economics, 15, 1-18.</w:t>
      </w:r>
    </w:p>
    <w:p w14:paraId="27C3B711" w14:textId="77777777" w:rsidR="00E165DD" w:rsidRPr="00413EDC" w:rsidRDefault="00E165DD" w:rsidP="00E165DD">
      <w:pPr>
        <w:jc w:val="both"/>
        <w:rPr>
          <w:rFonts w:asciiTheme="minorHAnsi" w:hAnsiTheme="minorHAnsi"/>
          <w:lang w:val="en-US"/>
        </w:rPr>
      </w:pPr>
    </w:p>
    <w:p w14:paraId="1A52DFE5" w14:textId="77777777" w:rsidR="00E165DD" w:rsidRDefault="00E165DD" w:rsidP="00E165DD">
      <w:pPr>
        <w:jc w:val="both"/>
        <w:rPr>
          <w:rFonts w:asciiTheme="minorHAnsi" w:hAnsiTheme="minorHAnsi"/>
          <w:lang w:val="en-US"/>
        </w:rPr>
      </w:pPr>
      <w:proofErr w:type="spellStart"/>
      <w:r w:rsidRPr="00413EDC">
        <w:rPr>
          <w:rFonts w:asciiTheme="minorHAnsi" w:hAnsiTheme="minorHAnsi"/>
          <w:lang w:val="en-US"/>
        </w:rPr>
        <w:t>Inderst</w:t>
      </w:r>
      <w:proofErr w:type="spellEnd"/>
      <w:r w:rsidRPr="00413EDC">
        <w:rPr>
          <w:rFonts w:asciiTheme="minorHAnsi" w:hAnsiTheme="minorHAnsi"/>
          <w:lang w:val="en-US"/>
        </w:rPr>
        <w:t>, R., &amp; Ottaviani, M. (2012). "Financial advice." Journal of Economic Literature, 50(2), 494-512.</w:t>
      </w:r>
    </w:p>
    <w:p w14:paraId="78640A10" w14:textId="77777777" w:rsidR="00E165DD" w:rsidRDefault="00E165DD" w:rsidP="00E165DD">
      <w:pPr>
        <w:jc w:val="both"/>
        <w:rPr>
          <w:rFonts w:asciiTheme="minorHAnsi" w:hAnsiTheme="minorHAnsi"/>
          <w:lang w:val="en-US"/>
        </w:rPr>
      </w:pPr>
    </w:p>
    <w:p w14:paraId="30E2F8A8" w14:textId="77777777" w:rsidR="00E165DD" w:rsidRPr="00413EDC" w:rsidRDefault="00E165DD" w:rsidP="00E165DD">
      <w:pPr>
        <w:jc w:val="both"/>
        <w:rPr>
          <w:rFonts w:asciiTheme="minorHAnsi" w:hAnsiTheme="minorHAnsi"/>
          <w:lang w:val="en-US"/>
        </w:rPr>
      </w:pPr>
      <w:proofErr w:type="spellStart"/>
      <w:r w:rsidRPr="00BF66DC">
        <w:rPr>
          <w:rFonts w:asciiTheme="minorHAnsi" w:hAnsiTheme="minorHAnsi"/>
          <w:lang w:val="en-US"/>
        </w:rPr>
        <w:t>Linnainmaa</w:t>
      </w:r>
      <w:proofErr w:type="spellEnd"/>
      <w:r w:rsidRPr="00BF66DC">
        <w:rPr>
          <w:rFonts w:asciiTheme="minorHAnsi" w:hAnsiTheme="minorHAnsi"/>
          <w:lang w:val="en-US"/>
        </w:rPr>
        <w:t xml:space="preserve">, J.T., Melzer, B.T., &amp; </w:t>
      </w:r>
      <w:proofErr w:type="spellStart"/>
      <w:r w:rsidRPr="00BF66DC">
        <w:rPr>
          <w:rFonts w:asciiTheme="minorHAnsi" w:hAnsiTheme="minorHAnsi"/>
          <w:lang w:val="en-US"/>
        </w:rPr>
        <w:t>Previtero</w:t>
      </w:r>
      <w:proofErr w:type="spellEnd"/>
      <w:r w:rsidRPr="00BF66DC">
        <w:rPr>
          <w:rFonts w:asciiTheme="minorHAnsi" w:hAnsiTheme="minorHAnsi"/>
          <w:lang w:val="en-US"/>
        </w:rPr>
        <w:t xml:space="preserve">, A. (2021). "The misguided beliefs of financial advisors." </w:t>
      </w:r>
      <w:r w:rsidRPr="00813CEE">
        <w:rPr>
          <w:rFonts w:asciiTheme="minorHAnsi" w:hAnsiTheme="minorHAnsi"/>
          <w:i/>
          <w:iCs/>
          <w:lang w:val="en-US"/>
        </w:rPr>
        <w:t>Journal of Finance</w:t>
      </w:r>
      <w:r w:rsidRPr="00813CEE">
        <w:rPr>
          <w:rFonts w:asciiTheme="minorHAnsi" w:hAnsiTheme="minorHAnsi"/>
          <w:lang w:val="en-US"/>
        </w:rPr>
        <w:t>, 76(2), 587-621.</w:t>
      </w:r>
    </w:p>
    <w:p w14:paraId="0E6A0DA4" w14:textId="77777777" w:rsidR="00E165DD" w:rsidRDefault="00E165DD" w:rsidP="00E165DD">
      <w:pPr>
        <w:jc w:val="both"/>
        <w:rPr>
          <w:rFonts w:asciiTheme="minorHAnsi" w:hAnsiTheme="minorHAnsi"/>
          <w:lang w:val="en-US"/>
        </w:rPr>
      </w:pPr>
    </w:p>
    <w:p w14:paraId="7DF3B4D8" w14:textId="43E3710C" w:rsidR="00D559EE" w:rsidRDefault="00D559EE" w:rsidP="00E165DD">
      <w:pPr>
        <w:jc w:val="both"/>
        <w:rPr>
          <w:rFonts w:asciiTheme="minorHAnsi" w:hAnsiTheme="minorHAnsi"/>
        </w:rPr>
      </w:pPr>
      <w:proofErr w:type="spellStart"/>
      <w:r w:rsidRPr="00D559EE">
        <w:rPr>
          <w:rFonts w:asciiTheme="minorHAnsi" w:hAnsiTheme="minorHAnsi"/>
        </w:rPr>
        <w:t>Montmarquette</w:t>
      </w:r>
      <w:proofErr w:type="spellEnd"/>
      <w:r w:rsidRPr="00D559EE">
        <w:rPr>
          <w:rFonts w:asciiTheme="minorHAnsi" w:hAnsiTheme="minorHAnsi"/>
        </w:rPr>
        <w:t xml:space="preserve">, C., &amp; </w:t>
      </w:r>
      <w:proofErr w:type="spellStart"/>
      <w:r w:rsidRPr="00D559EE">
        <w:rPr>
          <w:rFonts w:asciiTheme="minorHAnsi" w:hAnsiTheme="minorHAnsi"/>
        </w:rPr>
        <w:t>Viennot</w:t>
      </w:r>
      <w:proofErr w:type="spellEnd"/>
      <w:r w:rsidRPr="00D559EE">
        <w:rPr>
          <w:rFonts w:asciiTheme="minorHAnsi" w:hAnsiTheme="minorHAnsi"/>
        </w:rPr>
        <w:t xml:space="preserve">-Briot, N. (2015). </w:t>
      </w:r>
      <w:r w:rsidRPr="00D559EE">
        <w:rPr>
          <w:rFonts w:asciiTheme="minorHAnsi" w:hAnsiTheme="minorHAnsi"/>
          <w:lang w:val="en-US"/>
        </w:rPr>
        <w:t>The value of financial advice. </w:t>
      </w:r>
      <w:proofErr w:type="spellStart"/>
      <w:r w:rsidRPr="00D559EE">
        <w:rPr>
          <w:rFonts w:asciiTheme="minorHAnsi" w:hAnsiTheme="minorHAnsi"/>
          <w:i/>
          <w:iCs/>
        </w:rPr>
        <w:t>Annals</w:t>
      </w:r>
      <w:proofErr w:type="spellEnd"/>
      <w:r w:rsidRPr="00D559EE">
        <w:rPr>
          <w:rFonts w:asciiTheme="minorHAnsi" w:hAnsiTheme="minorHAnsi"/>
          <w:i/>
          <w:iCs/>
        </w:rPr>
        <w:t xml:space="preserve"> of </w:t>
      </w:r>
      <w:proofErr w:type="spellStart"/>
      <w:r w:rsidRPr="00D559EE">
        <w:rPr>
          <w:rFonts w:asciiTheme="minorHAnsi" w:hAnsiTheme="minorHAnsi"/>
          <w:i/>
          <w:iCs/>
        </w:rPr>
        <w:t>Economics</w:t>
      </w:r>
      <w:proofErr w:type="spellEnd"/>
      <w:r w:rsidRPr="00D559EE">
        <w:rPr>
          <w:rFonts w:asciiTheme="minorHAnsi" w:hAnsiTheme="minorHAnsi"/>
          <w:i/>
          <w:iCs/>
        </w:rPr>
        <w:t xml:space="preserve"> and Finance</w:t>
      </w:r>
      <w:r w:rsidRPr="00D559EE">
        <w:rPr>
          <w:rFonts w:asciiTheme="minorHAnsi" w:hAnsiTheme="minorHAnsi"/>
        </w:rPr>
        <w:t>, </w:t>
      </w:r>
      <w:r w:rsidRPr="00D559EE">
        <w:rPr>
          <w:rFonts w:asciiTheme="minorHAnsi" w:hAnsiTheme="minorHAnsi"/>
          <w:i/>
          <w:iCs/>
        </w:rPr>
        <w:t>16</w:t>
      </w:r>
      <w:r w:rsidRPr="00D559EE">
        <w:rPr>
          <w:rFonts w:asciiTheme="minorHAnsi" w:hAnsiTheme="minorHAnsi"/>
        </w:rPr>
        <w:t>(1), 69-94.</w:t>
      </w:r>
    </w:p>
    <w:p w14:paraId="183BD5B3" w14:textId="77777777" w:rsidR="00D559EE" w:rsidRPr="00413EDC" w:rsidRDefault="00D559EE" w:rsidP="00E165DD">
      <w:pPr>
        <w:jc w:val="both"/>
        <w:rPr>
          <w:rFonts w:asciiTheme="minorHAnsi" w:hAnsiTheme="minorHAnsi"/>
          <w:lang w:val="en-US"/>
        </w:rPr>
      </w:pPr>
    </w:p>
    <w:p w14:paraId="159A006E" w14:textId="77777777" w:rsidR="00E165DD" w:rsidRDefault="00E165DD" w:rsidP="00E165DD">
      <w:pPr>
        <w:jc w:val="both"/>
        <w:rPr>
          <w:rFonts w:asciiTheme="minorHAnsi" w:hAnsiTheme="minorHAnsi"/>
          <w:lang w:val="en-US"/>
        </w:rPr>
      </w:pPr>
      <w:r w:rsidRPr="00413EDC">
        <w:rPr>
          <w:rFonts w:asciiTheme="minorHAnsi" w:hAnsiTheme="minorHAnsi"/>
          <w:lang w:val="en-US"/>
        </w:rPr>
        <w:t xml:space="preserve">Mullainathan, S., </w:t>
      </w:r>
      <w:proofErr w:type="spellStart"/>
      <w:r w:rsidRPr="00413EDC">
        <w:rPr>
          <w:rFonts w:asciiTheme="minorHAnsi" w:hAnsiTheme="minorHAnsi"/>
          <w:lang w:val="en-US"/>
        </w:rPr>
        <w:t>Noeth</w:t>
      </w:r>
      <w:proofErr w:type="spellEnd"/>
      <w:r w:rsidRPr="00413EDC">
        <w:rPr>
          <w:rFonts w:asciiTheme="minorHAnsi" w:hAnsiTheme="minorHAnsi"/>
          <w:lang w:val="en-US"/>
        </w:rPr>
        <w:t xml:space="preserve">, M., &amp; </w:t>
      </w:r>
      <w:proofErr w:type="spellStart"/>
      <w:r w:rsidRPr="00413EDC">
        <w:rPr>
          <w:rFonts w:asciiTheme="minorHAnsi" w:hAnsiTheme="minorHAnsi"/>
          <w:lang w:val="en-US"/>
        </w:rPr>
        <w:t>Schoar</w:t>
      </w:r>
      <w:proofErr w:type="spellEnd"/>
      <w:r w:rsidRPr="00413EDC">
        <w:rPr>
          <w:rFonts w:asciiTheme="minorHAnsi" w:hAnsiTheme="minorHAnsi"/>
          <w:lang w:val="en-US"/>
        </w:rPr>
        <w:t>, A. (2012). "The market for financial advice: An audit study." NBER Working Paper Series, No. 17929.</w:t>
      </w:r>
    </w:p>
    <w:p w14:paraId="3F5D47EA" w14:textId="5D6E6BC3" w:rsidR="004141D8" w:rsidRDefault="004141D8" w:rsidP="00E165DD">
      <w:pPr>
        <w:jc w:val="both"/>
        <w:rPr>
          <w:rFonts w:asciiTheme="minorHAnsi" w:hAnsiTheme="minorHAnsi"/>
          <w:lang w:val="en-US"/>
        </w:rPr>
      </w:pPr>
      <w:proofErr w:type="spellStart"/>
      <w:r w:rsidRPr="004141D8">
        <w:rPr>
          <w:rFonts w:asciiTheme="minorHAnsi" w:hAnsiTheme="minorHAnsi"/>
        </w:rPr>
        <w:t>Reyers</w:t>
      </w:r>
      <w:proofErr w:type="spellEnd"/>
      <w:r w:rsidRPr="004141D8">
        <w:rPr>
          <w:rFonts w:asciiTheme="minorHAnsi" w:hAnsiTheme="minorHAnsi"/>
        </w:rPr>
        <w:t>, M.</w:t>
      </w:r>
      <w:r w:rsidRPr="004141D8">
        <w:rPr>
          <w:rFonts w:asciiTheme="minorHAnsi" w:hAnsiTheme="minorHAnsi"/>
          <w:lang w:val="en-US"/>
        </w:rPr>
        <w:t xml:space="preserve"> (2016). The role of financial literacy and advice in fi </w:t>
      </w:r>
      <w:proofErr w:type="spellStart"/>
      <w:r w:rsidRPr="004141D8">
        <w:rPr>
          <w:rFonts w:asciiTheme="minorHAnsi" w:hAnsiTheme="minorHAnsi"/>
          <w:lang w:val="en-US"/>
        </w:rPr>
        <w:t>nancial</w:t>
      </w:r>
      <w:proofErr w:type="spellEnd"/>
      <w:r w:rsidRPr="004141D8">
        <w:rPr>
          <w:rFonts w:asciiTheme="minorHAnsi" w:hAnsiTheme="minorHAnsi"/>
          <w:lang w:val="en-US"/>
        </w:rPr>
        <w:t xml:space="preserve"> decision making. </w:t>
      </w:r>
      <w:proofErr w:type="spellStart"/>
      <w:r w:rsidRPr="004141D8">
        <w:rPr>
          <w:rFonts w:asciiTheme="minorHAnsi" w:hAnsiTheme="minorHAnsi"/>
          <w:i/>
          <w:iCs/>
        </w:rPr>
        <w:t>Southern</w:t>
      </w:r>
      <w:proofErr w:type="spellEnd"/>
      <w:r w:rsidRPr="004141D8">
        <w:rPr>
          <w:rFonts w:asciiTheme="minorHAnsi" w:hAnsiTheme="minorHAnsi"/>
          <w:i/>
          <w:iCs/>
        </w:rPr>
        <w:t xml:space="preserve"> </w:t>
      </w:r>
      <w:proofErr w:type="spellStart"/>
      <w:r w:rsidRPr="004141D8">
        <w:rPr>
          <w:rFonts w:asciiTheme="minorHAnsi" w:hAnsiTheme="minorHAnsi"/>
          <w:i/>
          <w:iCs/>
        </w:rPr>
        <w:t>African</w:t>
      </w:r>
      <w:proofErr w:type="spellEnd"/>
      <w:r w:rsidRPr="004141D8">
        <w:rPr>
          <w:rFonts w:asciiTheme="minorHAnsi" w:hAnsiTheme="minorHAnsi"/>
          <w:i/>
          <w:iCs/>
        </w:rPr>
        <w:t xml:space="preserve"> Business </w:t>
      </w:r>
      <w:proofErr w:type="spellStart"/>
      <w:r w:rsidRPr="004141D8">
        <w:rPr>
          <w:rFonts w:asciiTheme="minorHAnsi" w:hAnsiTheme="minorHAnsi"/>
          <w:i/>
          <w:iCs/>
        </w:rPr>
        <w:t>Review</w:t>
      </w:r>
      <w:proofErr w:type="spellEnd"/>
      <w:r w:rsidRPr="004141D8">
        <w:rPr>
          <w:rFonts w:asciiTheme="minorHAnsi" w:hAnsiTheme="minorHAnsi"/>
        </w:rPr>
        <w:t>, </w:t>
      </w:r>
      <w:r w:rsidRPr="004141D8">
        <w:rPr>
          <w:rFonts w:asciiTheme="minorHAnsi" w:hAnsiTheme="minorHAnsi"/>
          <w:i/>
          <w:iCs/>
        </w:rPr>
        <w:t>20</w:t>
      </w:r>
      <w:r w:rsidRPr="004141D8">
        <w:rPr>
          <w:rFonts w:asciiTheme="minorHAnsi" w:hAnsiTheme="minorHAnsi"/>
        </w:rPr>
        <w:t>(1), 388-413.</w:t>
      </w:r>
    </w:p>
    <w:p w14:paraId="70366AAD" w14:textId="77777777" w:rsidR="00E165DD" w:rsidRDefault="00E165DD" w:rsidP="00E165DD">
      <w:pPr>
        <w:jc w:val="both"/>
        <w:rPr>
          <w:rFonts w:asciiTheme="minorHAnsi" w:hAnsiTheme="minorHAnsi"/>
          <w:lang w:val="en-US"/>
        </w:rPr>
      </w:pPr>
    </w:p>
    <w:p w14:paraId="104BAC23" w14:textId="7DF434B1" w:rsidR="00E165DD" w:rsidRDefault="00E165DD" w:rsidP="00E165DD">
      <w:pPr>
        <w:pStyle w:val="Titre2"/>
        <w:rPr>
          <w:lang w:val="en-US"/>
        </w:rPr>
      </w:pPr>
      <w:proofErr w:type="spellStart"/>
      <w:r>
        <w:rPr>
          <w:lang w:val="en-US"/>
        </w:rPr>
        <w:t>Annexe</w:t>
      </w:r>
      <w:proofErr w:type="spellEnd"/>
      <w:r>
        <w:rPr>
          <w:lang w:val="en-US"/>
        </w:rPr>
        <w:t xml:space="preserve">: </w:t>
      </w:r>
      <w:r w:rsidRPr="00E165DD">
        <w:rPr>
          <w:lang w:val="en-US"/>
        </w:rPr>
        <w:t>Replicat</w:t>
      </w:r>
      <w:r>
        <w:rPr>
          <w:lang w:val="en-US"/>
        </w:rPr>
        <w:t>ion of</w:t>
      </w:r>
      <w:r w:rsidRPr="00E165DD">
        <w:rPr>
          <w:lang w:val="en-US"/>
        </w:rPr>
        <w:t xml:space="preserve"> Table 2 (descriptive statistics) from the paper </w:t>
      </w:r>
    </w:p>
    <w:p w14:paraId="0EFC7147" w14:textId="05927668" w:rsidR="00E165DD" w:rsidRDefault="00E165DD" w:rsidP="00E165DD">
      <w:pPr>
        <w:rPr>
          <w:lang w:val="en-US"/>
        </w:rPr>
      </w:pPr>
      <w:r>
        <w:rPr>
          <w:rFonts w:asciiTheme="minorHAnsi" w:hAnsiTheme="minorHAnsi"/>
          <w:noProof/>
          <w:lang w:val="en-US"/>
          <w14:ligatures w14:val="standardContextual"/>
        </w:rPr>
        <w:drawing>
          <wp:inline distT="0" distB="0" distL="0" distR="0" wp14:anchorId="5ED51D71" wp14:editId="7352DB6F">
            <wp:extent cx="4808855" cy="3585492"/>
            <wp:effectExtent l="0" t="0" r="4445" b="0"/>
            <wp:docPr id="15811799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9998" name="Image 15811799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5096" cy="3724354"/>
                    </a:xfrm>
                    <a:prstGeom prst="rect">
                      <a:avLst/>
                    </a:prstGeom>
                  </pic:spPr>
                </pic:pic>
              </a:graphicData>
            </a:graphic>
          </wp:inline>
        </w:drawing>
      </w:r>
    </w:p>
    <w:p w14:paraId="1AD2491D" w14:textId="7FAF939A" w:rsidR="00E165DD" w:rsidRPr="004141D8" w:rsidRDefault="00E165DD" w:rsidP="004141D8">
      <w:pPr>
        <w:rPr>
          <w:lang w:val="en-US"/>
        </w:rPr>
      </w:pPr>
      <w:r>
        <w:rPr>
          <w:rFonts w:asciiTheme="minorHAnsi" w:hAnsiTheme="minorHAnsi"/>
          <w:noProof/>
          <w:lang w:val="en-US"/>
          <w14:ligatures w14:val="standardContextual"/>
        </w:rPr>
        <w:drawing>
          <wp:inline distT="0" distB="0" distL="0" distR="0" wp14:anchorId="0B700F06" wp14:editId="4367D663">
            <wp:extent cx="4809392" cy="3652131"/>
            <wp:effectExtent l="0" t="0" r="4445" b="5715"/>
            <wp:docPr id="11451409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0999" name="Image 11451409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7431" cy="3756955"/>
                    </a:xfrm>
                    <a:prstGeom prst="rect">
                      <a:avLst/>
                    </a:prstGeom>
                  </pic:spPr>
                </pic:pic>
              </a:graphicData>
            </a:graphic>
          </wp:inline>
        </w:drawing>
      </w:r>
    </w:p>
    <w:p w14:paraId="16970FC8" w14:textId="77777777" w:rsidR="00792408" w:rsidRPr="009E46CD" w:rsidRDefault="00792408" w:rsidP="00E165DD">
      <w:pPr>
        <w:jc w:val="both"/>
        <w:rPr>
          <w:rFonts w:asciiTheme="minorHAnsi" w:hAnsiTheme="minorHAnsi"/>
          <w:color w:val="000000" w:themeColor="text1"/>
          <w:lang w:val="en-US"/>
        </w:rPr>
      </w:pPr>
    </w:p>
    <w:sectPr w:rsidR="00792408" w:rsidRPr="009E46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A83"/>
    <w:multiLevelType w:val="hybridMultilevel"/>
    <w:tmpl w:val="74E00F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E76C35"/>
    <w:multiLevelType w:val="hybridMultilevel"/>
    <w:tmpl w:val="E4B6A05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5A05EA2"/>
    <w:multiLevelType w:val="hybridMultilevel"/>
    <w:tmpl w:val="D35E446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A6573A8"/>
    <w:multiLevelType w:val="hybridMultilevel"/>
    <w:tmpl w:val="95068E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5E4629D"/>
    <w:multiLevelType w:val="hybridMultilevel"/>
    <w:tmpl w:val="4EF2EB80"/>
    <w:lvl w:ilvl="0" w:tplc="0C0C0001">
      <w:start w:val="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72316341">
    <w:abstractNumId w:val="3"/>
  </w:num>
  <w:num w:numId="2" w16cid:durableId="961232480">
    <w:abstractNumId w:val="4"/>
  </w:num>
  <w:num w:numId="3" w16cid:durableId="169103800">
    <w:abstractNumId w:val="0"/>
  </w:num>
  <w:num w:numId="4" w16cid:durableId="1530680518">
    <w:abstractNumId w:val="1"/>
  </w:num>
  <w:num w:numId="5" w16cid:durableId="209732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0"/>
    <w:rsid w:val="000428B7"/>
    <w:rsid w:val="00151584"/>
    <w:rsid w:val="00155E22"/>
    <w:rsid w:val="001C492D"/>
    <w:rsid w:val="00301100"/>
    <w:rsid w:val="003E056A"/>
    <w:rsid w:val="004141D8"/>
    <w:rsid w:val="00643D67"/>
    <w:rsid w:val="00792408"/>
    <w:rsid w:val="007A0EEA"/>
    <w:rsid w:val="007E60B2"/>
    <w:rsid w:val="009E46CD"/>
    <w:rsid w:val="00D559EE"/>
    <w:rsid w:val="00E165DD"/>
    <w:rsid w:val="00F534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7926E2F"/>
  <w15:chartTrackingRefBased/>
  <w15:docId w15:val="{2C7AE979-5DD4-AB4D-8615-1F2C0A8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00"/>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30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0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110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110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110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110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110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110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1100"/>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10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0110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110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11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11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11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11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11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1100"/>
    <w:rPr>
      <w:rFonts w:eastAsiaTheme="majorEastAsia" w:cstheme="majorBidi"/>
      <w:color w:val="272727" w:themeColor="text1" w:themeTint="D8"/>
    </w:rPr>
  </w:style>
  <w:style w:type="paragraph" w:styleId="Titre">
    <w:name w:val="Title"/>
    <w:basedOn w:val="Normal"/>
    <w:next w:val="Normal"/>
    <w:link w:val="TitreCar"/>
    <w:uiPriority w:val="10"/>
    <w:qFormat/>
    <w:rsid w:val="0030110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11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110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11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110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01100"/>
    <w:rPr>
      <w:i/>
      <w:iCs/>
      <w:color w:val="404040" w:themeColor="text1" w:themeTint="BF"/>
    </w:rPr>
  </w:style>
  <w:style w:type="paragraph" w:styleId="Paragraphedeliste">
    <w:name w:val="List Paragraph"/>
    <w:basedOn w:val="Normal"/>
    <w:uiPriority w:val="34"/>
    <w:qFormat/>
    <w:rsid w:val="00301100"/>
    <w:pPr>
      <w:ind w:left="720"/>
      <w:contextualSpacing/>
    </w:pPr>
  </w:style>
  <w:style w:type="character" w:styleId="Accentuationintense">
    <w:name w:val="Intense Emphasis"/>
    <w:basedOn w:val="Policepardfaut"/>
    <w:uiPriority w:val="21"/>
    <w:qFormat/>
    <w:rsid w:val="00301100"/>
    <w:rPr>
      <w:i/>
      <w:iCs/>
      <w:color w:val="0F4761" w:themeColor="accent1" w:themeShade="BF"/>
    </w:rPr>
  </w:style>
  <w:style w:type="paragraph" w:styleId="Citationintense">
    <w:name w:val="Intense Quote"/>
    <w:basedOn w:val="Normal"/>
    <w:next w:val="Normal"/>
    <w:link w:val="CitationintenseCar"/>
    <w:uiPriority w:val="30"/>
    <w:qFormat/>
    <w:rsid w:val="0030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1100"/>
    <w:rPr>
      <w:i/>
      <w:iCs/>
      <w:color w:val="0F4761" w:themeColor="accent1" w:themeShade="BF"/>
    </w:rPr>
  </w:style>
  <w:style w:type="character" w:styleId="Rfrenceintense">
    <w:name w:val="Intense Reference"/>
    <w:basedOn w:val="Policepardfaut"/>
    <w:uiPriority w:val="32"/>
    <w:qFormat/>
    <w:rsid w:val="00301100"/>
    <w:rPr>
      <w:b/>
      <w:bCs/>
      <w:smallCaps/>
      <w:color w:val="0F4761" w:themeColor="accent1" w:themeShade="BF"/>
      <w:spacing w:val="5"/>
    </w:rPr>
  </w:style>
  <w:style w:type="paragraph" w:styleId="NormalWeb">
    <w:name w:val="Normal (Web)"/>
    <w:basedOn w:val="Normal"/>
    <w:uiPriority w:val="99"/>
    <w:semiHidden/>
    <w:unhideWhenUsed/>
    <w:rsid w:val="00301100"/>
  </w:style>
  <w:style w:type="character" w:styleId="Hyperlien">
    <w:name w:val="Hyperlink"/>
    <w:basedOn w:val="Policepardfaut"/>
    <w:uiPriority w:val="99"/>
    <w:unhideWhenUsed/>
    <w:rsid w:val="00151584"/>
    <w:rPr>
      <w:color w:val="467886" w:themeColor="hyperlink"/>
      <w:u w:val="single"/>
    </w:rPr>
  </w:style>
  <w:style w:type="character" w:styleId="Mentionnonrsolue">
    <w:name w:val="Unresolved Mention"/>
    <w:basedOn w:val="Policepardfaut"/>
    <w:uiPriority w:val="99"/>
    <w:semiHidden/>
    <w:unhideWhenUsed/>
    <w:rsid w:val="0015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3469">
      <w:bodyDiv w:val="1"/>
      <w:marLeft w:val="0"/>
      <w:marRight w:val="0"/>
      <w:marTop w:val="0"/>
      <w:marBottom w:val="0"/>
      <w:divBdr>
        <w:top w:val="none" w:sz="0" w:space="0" w:color="auto"/>
        <w:left w:val="none" w:sz="0" w:space="0" w:color="auto"/>
        <w:bottom w:val="none" w:sz="0" w:space="0" w:color="auto"/>
        <w:right w:val="none" w:sz="0" w:space="0" w:color="auto"/>
      </w:divBdr>
    </w:div>
    <w:div w:id="155725127">
      <w:bodyDiv w:val="1"/>
      <w:marLeft w:val="0"/>
      <w:marRight w:val="0"/>
      <w:marTop w:val="0"/>
      <w:marBottom w:val="0"/>
      <w:divBdr>
        <w:top w:val="none" w:sz="0" w:space="0" w:color="auto"/>
        <w:left w:val="none" w:sz="0" w:space="0" w:color="auto"/>
        <w:bottom w:val="none" w:sz="0" w:space="0" w:color="auto"/>
        <w:right w:val="none" w:sz="0" w:space="0" w:color="auto"/>
      </w:divBdr>
      <w:divsChild>
        <w:div w:id="1843742528">
          <w:marLeft w:val="0"/>
          <w:marRight w:val="0"/>
          <w:marTop w:val="0"/>
          <w:marBottom w:val="0"/>
          <w:divBdr>
            <w:top w:val="none" w:sz="0" w:space="0" w:color="auto"/>
            <w:left w:val="none" w:sz="0" w:space="0" w:color="auto"/>
            <w:bottom w:val="none" w:sz="0" w:space="0" w:color="auto"/>
            <w:right w:val="none" w:sz="0" w:space="0" w:color="auto"/>
          </w:divBdr>
          <w:divsChild>
            <w:div w:id="2060199274">
              <w:marLeft w:val="0"/>
              <w:marRight w:val="0"/>
              <w:marTop w:val="0"/>
              <w:marBottom w:val="0"/>
              <w:divBdr>
                <w:top w:val="none" w:sz="0" w:space="0" w:color="auto"/>
                <w:left w:val="none" w:sz="0" w:space="0" w:color="auto"/>
                <w:bottom w:val="none" w:sz="0" w:space="0" w:color="auto"/>
                <w:right w:val="none" w:sz="0" w:space="0" w:color="auto"/>
              </w:divBdr>
              <w:divsChild>
                <w:div w:id="1720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244">
      <w:bodyDiv w:val="1"/>
      <w:marLeft w:val="0"/>
      <w:marRight w:val="0"/>
      <w:marTop w:val="0"/>
      <w:marBottom w:val="0"/>
      <w:divBdr>
        <w:top w:val="none" w:sz="0" w:space="0" w:color="auto"/>
        <w:left w:val="none" w:sz="0" w:space="0" w:color="auto"/>
        <w:bottom w:val="none" w:sz="0" w:space="0" w:color="auto"/>
        <w:right w:val="none" w:sz="0" w:space="0" w:color="auto"/>
      </w:divBdr>
      <w:divsChild>
        <w:div w:id="1147478936">
          <w:marLeft w:val="0"/>
          <w:marRight w:val="0"/>
          <w:marTop w:val="0"/>
          <w:marBottom w:val="0"/>
          <w:divBdr>
            <w:top w:val="none" w:sz="0" w:space="0" w:color="auto"/>
            <w:left w:val="none" w:sz="0" w:space="0" w:color="auto"/>
            <w:bottom w:val="none" w:sz="0" w:space="0" w:color="auto"/>
            <w:right w:val="none" w:sz="0" w:space="0" w:color="auto"/>
          </w:divBdr>
          <w:divsChild>
            <w:div w:id="245071038">
              <w:marLeft w:val="0"/>
              <w:marRight w:val="0"/>
              <w:marTop w:val="0"/>
              <w:marBottom w:val="0"/>
              <w:divBdr>
                <w:top w:val="none" w:sz="0" w:space="0" w:color="auto"/>
                <w:left w:val="none" w:sz="0" w:space="0" w:color="auto"/>
                <w:bottom w:val="none" w:sz="0" w:space="0" w:color="auto"/>
                <w:right w:val="none" w:sz="0" w:space="0" w:color="auto"/>
              </w:divBdr>
              <w:divsChild>
                <w:div w:id="11727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5692">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8081352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189">
          <w:marLeft w:val="0"/>
          <w:marRight w:val="0"/>
          <w:marTop w:val="0"/>
          <w:marBottom w:val="0"/>
          <w:divBdr>
            <w:top w:val="none" w:sz="0" w:space="0" w:color="auto"/>
            <w:left w:val="none" w:sz="0" w:space="0" w:color="auto"/>
            <w:bottom w:val="none" w:sz="0" w:space="0" w:color="auto"/>
            <w:right w:val="none" w:sz="0" w:space="0" w:color="auto"/>
          </w:divBdr>
          <w:divsChild>
            <w:div w:id="1791121570">
              <w:marLeft w:val="0"/>
              <w:marRight w:val="0"/>
              <w:marTop w:val="0"/>
              <w:marBottom w:val="0"/>
              <w:divBdr>
                <w:top w:val="none" w:sz="0" w:space="0" w:color="auto"/>
                <w:left w:val="none" w:sz="0" w:space="0" w:color="auto"/>
                <w:bottom w:val="none" w:sz="0" w:space="0" w:color="auto"/>
                <w:right w:val="none" w:sz="0" w:space="0" w:color="auto"/>
              </w:divBdr>
              <w:divsChild>
                <w:div w:id="11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8542">
      <w:bodyDiv w:val="1"/>
      <w:marLeft w:val="0"/>
      <w:marRight w:val="0"/>
      <w:marTop w:val="0"/>
      <w:marBottom w:val="0"/>
      <w:divBdr>
        <w:top w:val="none" w:sz="0" w:space="0" w:color="auto"/>
        <w:left w:val="none" w:sz="0" w:space="0" w:color="auto"/>
        <w:bottom w:val="none" w:sz="0" w:space="0" w:color="auto"/>
        <w:right w:val="none" w:sz="0" w:space="0" w:color="auto"/>
      </w:divBdr>
      <w:divsChild>
        <w:div w:id="792409090">
          <w:marLeft w:val="0"/>
          <w:marRight w:val="0"/>
          <w:marTop w:val="0"/>
          <w:marBottom w:val="0"/>
          <w:divBdr>
            <w:top w:val="none" w:sz="0" w:space="0" w:color="auto"/>
            <w:left w:val="none" w:sz="0" w:space="0" w:color="auto"/>
            <w:bottom w:val="none" w:sz="0" w:space="0" w:color="auto"/>
            <w:right w:val="none" w:sz="0" w:space="0" w:color="auto"/>
          </w:divBdr>
          <w:divsChild>
            <w:div w:id="636884147">
              <w:marLeft w:val="0"/>
              <w:marRight w:val="0"/>
              <w:marTop w:val="0"/>
              <w:marBottom w:val="0"/>
              <w:divBdr>
                <w:top w:val="none" w:sz="0" w:space="0" w:color="auto"/>
                <w:left w:val="none" w:sz="0" w:space="0" w:color="auto"/>
                <w:bottom w:val="none" w:sz="0" w:space="0" w:color="auto"/>
                <w:right w:val="none" w:sz="0" w:space="0" w:color="auto"/>
              </w:divBdr>
              <w:divsChild>
                <w:div w:id="381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9253">
      <w:bodyDiv w:val="1"/>
      <w:marLeft w:val="0"/>
      <w:marRight w:val="0"/>
      <w:marTop w:val="0"/>
      <w:marBottom w:val="0"/>
      <w:divBdr>
        <w:top w:val="none" w:sz="0" w:space="0" w:color="auto"/>
        <w:left w:val="none" w:sz="0" w:space="0" w:color="auto"/>
        <w:bottom w:val="none" w:sz="0" w:space="0" w:color="auto"/>
        <w:right w:val="none" w:sz="0" w:space="0" w:color="auto"/>
      </w:divBdr>
      <w:divsChild>
        <w:div w:id="279067517">
          <w:marLeft w:val="0"/>
          <w:marRight w:val="0"/>
          <w:marTop w:val="0"/>
          <w:marBottom w:val="0"/>
          <w:divBdr>
            <w:top w:val="none" w:sz="0" w:space="0" w:color="auto"/>
            <w:left w:val="none" w:sz="0" w:space="0" w:color="auto"/>
            <w:bottom w:val="none" w:sz="0" w:space="0" w:color="auto"/>
            <w:right w:val="none" w:sz="0" w:space="0" w:color="auto"/>
          </w:divBdr>
          <w:divsChild>
            <w:div w:id="1572887095">
              <w:marLeft w:val="0"/>
              <w:marRight w:val="0"/>
              <w:marTop w:val="0"/>
              <w:marBottom w:val="0"/>
              <w:divBdr>
                <w:top w:val="none" w:sz="0" w:space="0" w:color="auto"/>
                <w:left w:val="none" w:sz="0" w:space="0" w:color="auto"/>
                <w:bottom w:val="none" w:sz="0" w:space="0" w:color="auto"/>
                <w:right w:val="none" w:sz="0" w:space="0" w:color="auto"/>
              </w:divBdr>
              <w:divsChild>
                <w:div w:id="147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264">
      <w:bodyDiv w:val="1"/>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992369342">
              <w:marLeft w:val="0"/>
              <w:marRight w:val="0"/>
              <w:marTop w:val="0"/>
              <w:marBottom w:val="0"/>
              <w:divBdr>
                <w:top w:val="none" w:sz="0" w:space="0" w:color="auto"/>
                <w:left w:val="none" w:sz="0" w:space="0" w:color="auto"/>
                <w:bottom w:val="none" w:sz="0" w:space="0" w:color="auto"/>
                <w:right w:val="none" w:sz="0" w:space="0" w:color="auto"/>
              </w:divBdr>
              <w:divsChild>
                <w:div w:id="2129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63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07">
          <w:marLeft w:val="0"/>
          <w:marRight w:val="0"/>
          <w:marTop w:val="0"/>
          <w:marBottom w:val="0"/>
          <w:divBdr>
            <w:top w:val="none" w:sz="0" w:space="0" w:color="auto"/>
            <w:left w:val="none" w:sz="0" w:space="0" w:color="auto"/>
            <w:bottom w:val="none" w:sz="0" w:space="0" w:color="auto"/>
            <w:right w:val="none" w:sz="0" w:space="0" w:color="auto"/>
          </w:divBdr>
          <w:divsChild>
            <w:div w:id="1466772246">
              <w:marLeft w:val="0"/>
              <w:marRight w:val="0"/>
              <w:marTop w:val="0"/>
              <w:marBottom w:val="0"/>
              <w:divBdr>
                <w:top w:val="none" w:sz="0" w:space="0" w:color="auto"/>
                <w:left w:val="none" w:sz="0" w:space="0" w:color="auto"/>
                <w:bottom w:val="none" w:sz="0" w:space="0" w:color="auto"/>
                <w:right w:val="none" w:sz="0" w:space="0" w:color="auto"/>
              </w:divBdr>
              <w:divsChild>
                <w:div w:id="23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517">
      <w:bodyDiv w:val="1"/>
      <w:marLeft w:val="0"/>
      <w:marRight w:val="0"/>
      <w:marTop w:val="0"/>
      <w:marBottom w:val="0"/>
      <w:divBdr>
        <w:top w:val="none" w:sz="0" w:space="0" w:color="auto"/>
        <w:left w:val="none" w:sz="0" w:space="0" w:color="auto"/>
        <w:bottom w:val="none" w:sz="0" w:space="0" w:color="auto"/>
        <w:right w:val="none" w:sz="0" w:space="0" w:color="auto"/>
      </w:divBdr>
      <w:divsChild>
        <w:div w:id="1674994330">
          <w:marLeft w:val="0"/>
          <w:marRight w:val="0"/>
          <w:marTop w:val="0"/>
          <w:marBottom w:val="0"/>
          <w:divBdr>
            <w:top w:val="none" w:sz="0" w:space="0" w:color="auto"/>
            <w:left w:val="none" w:sz="0" w:space="0" w:color="auto"/>
            <w:bottom w:val="none" w:sz="0" w:space="0" w:color="auto"/>
            <w:right w:val="none" w:sz="0" w:space="0" w:color="auto"/>
          </w:divBdr>
          <w:divsChild>
            <w:div w:id="1635595040">
              <w:marLeft w:val="0"/>
              <w:marRight w:val="0"/>
              <w:marTop w:val="0"/>
              <w:marBottom w:val="0"/>
              <w:divBdr>
                <w:top w:val="none" w:sz="0" w:space="0" w:color="auto"/>
                <w:left w:val="none" w:sz="0" w:space="0" w:color="auto"/>
                <w:bottom w:val="none" w:sz="0" w:space="0" w:color="auto"/>
                <w:right w:val="none" w:sz="0" w:space="0" w:color="auto"/>
              </w:divBdr>
              <w:divsChild>
                <w:div w:id="16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082">
      <w:bodyDiv w:val="1"/>
      <w:marLeft w:val="0"/>
      <w:marRight w:val="0"/>
      <w:marTop w:val="0"/>
      <w:marBottom w:val="0"/>
      <w:divBdr>
        <w:top w:val="none" w:sz="0" w:space="0" w:color="auto"/>
        <w:left w:val="none" w:sz="0" w:space="0" w:color="auto"/>
        <w:bottom w:val="none" w:sz="0" w:space="0" w:color="auto"/>
        <w:right w:val="none" w:sz="0" w:space="0" w:color="auto"/>
      </w:divBdr>
      <w:divsChild>
        <w:div w:id="507794063">
          <w:marLeft w:val="0"/>
          <w:marRight w:val="0"/>
          <w:marTop w:val="0"/>
          <w:marBottom w:val="0"/>
          <w:divBdr>
            <w:top w:val="none" w:sz="0" w:space="0" w:color="auto"/>
            <w:left w:val="none" w:sz="0" w:space="0" w:color="auto"/>
            <w:bottom w:val="none" w:sz="0" w:space="0" w:color="auto"/>
            <w:right w:val="none" w:sz="0" w:space="0" w:color="auto"/>
          </w:divBdr>
          <w:divsChild>
            <w:div w:id="1289358084">
              <w:marLeft w:val="0"/>
              <w:marRight w:val="0"/>
              <w:marTop w:val="0"/>
              <w:marBottom w:val="0"/>
              <w:divBdr>
                <w:top w:val="none" w:sz="0" w:space="0" w:color="auto"/>
                <w:left w:val="none" w:sz="0" w:space="0" w:color="auto"/>
                <w:bottom w:val="none" w:sz="0" w:space="0" w:color="auto"/>
                <w:right w:val="none" w:sz="0" w:space="0" w:color="auto"/>
              </w:divBdr>
              <w:divsChild>
                <w:div w:id="428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1422725444">
          <w:marLeft w:val="0"/>
          <w:marRight w:val="0"/>
          <w:marTop w:val="0"/>
          <w:marBottom w:val="0"/>
          <w:divBdr>
            <w:top w:val="none" w:sz="0" w:space="0" w:color="auto"/>
            <w:left w:val="none" w:sz="0" w:space="0" w:color="auto"/>
            <w:bottom w:val="none" w:sz="0" w:space="0" w:color="auto"/>
            <w:right w:val="none" w:sz="0" w:space="0" w:color="auto"/>
          </w:divBdr>
          <w:divsChild>
            <w:div w:id="1804929404">
              <w:marLeft w:val="0"/>
              <w:marRight w:val="0"/>
              <w:marTop w:val="0"/>
              <w:marBottom w:val="0"/>
              <w:divBdr>
                <w:top w:val="none" w:sz="0" w:space="0" w:color="auto"/>
                <w:left w:val="none" w:sz="0" w:space="0" w:color="auto"/>
                <w:bottom w:val="none" w:sz="0" w:space="0" w:color="auto"/>
                <w:right w:val="none" w:sz="0" w:space="0" w:color="auto"/>
              </w:divBdr>
              <w:divsChild>
                <w:div w:id="1611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6613">
      <w:bodyDiv w:val="1"/>
      <w:marLeft w:val="0"/>
      <w:marRight w:val="0"/>
      <w:marTop w:val="0"/>
      <w:marBottom w:val="0"/>
      <w:divBdr>
        <w:top w:val="none" w:sz="0" w:space="0" w:color="auto"/>
        <w:left w:val="none" w:sz="0" w:space="0" w:color="auto"/>
        <w:bottom w:val="none" w:sz="0" w:space="0" w:color="auto"/>
        <w:right w:val="none" w:sz="0" w:space="0" w:color="auto"/>
      </w:divBdr>
    </w:div>
    <w:div w:id="1921139837">
      <w:bodyDiv w:val="1"/>
      <w:marLeft w:val="0"/>
      <w:marRight w:val="0"/>
      <w:marTop w:val="0"/>
      <w:marBottom w:val="0"/>
      <w:divBdr>
        <w:top w:val="none" w:sz="0" w:space="0" w:color="auto"/>
        <w:left w:val="none" w:sz="0" w:space="0" w:color="auto"/>
        <w:bottom w:val="none" w:sz="0" w:space="0" w:color="auto"/>
        <w:right w:val="none" w:sz="0" w:space="0" w:color="auto"/>
      </w:divBdr>
      <w:divsChild>
        <w:div w:id="673071935">
          <w:marLeft w:val="0"/>
          <w:marRight w:val="0"/>
          <w:marTop w:val="0"/>
          <w:marBottom w:val="0"/>
          <w:divBdr>
            <w:top w:val="none" w:sz="0" w:space="0" w:color="auto"/>
            <w:left w:val="none" w:sz="0" w:space="0" w:color="auto"/>
            <w:bottom w:val="none" w:sz="0" w:space="0" w:color="auto"/>
            <w:right w:val="none" w:sz="0" w:space="0" w:color="auto"/>
          </w:divBdr>
          <w:divsChild>
            <w:div w:id="1653675904">
              <w:marLeft w:val="0"/>
              <w:marRight w:val="0"/>
              <w:marTop w:val="0"/>
              <w:marBottom w:val="0"/>
              <w:divBdr>
                <w:top w:val="none" w:sz="0" w:space="0" w:color="auto"/>
                <w:left w:val="none" w:sz="0" w:space="0" w:color="auto"/>
                <w:bottom w:val="none" w:sz="0" w:space="0" w:color="auto"/>
                <w:right w:val="none" w:sz="0" w:space="0" w:color="auto"/>
              </w:divBdr>
              <w:divsChild>
                <w:div w:id="1626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8835">
      <w:bodyDiv w:val="1"/>
      <w:marLeft w:val="0"/>
      <w:marRight w:val="0"/>
      <w:marTop w:val="0"/>
      <w:marBottom w:val="0"/>
      <w:divBdr>
        <w:top w:val="none" w:sz="0" w:space="0" w:color="auto"/>
        <w:left w:val="none" w:sz="0" w:space="0" w:color="auto"/>
        <w:bottom w:val="none" w:sz="0" w:space="0" w:color="auto"/>
        <w:right w:val="none" w:sz="0" w:space="0" w:color="auto"/>
      </w:divBdr>
      <w:divsChild>
        <w:div w:id="125008351">
          <w:marLeft w:val="0"/>
          <w:marRight w:val="0"/>
          <w:marTop w:val="0"/>
          <w:marBottom w:val="0"/>
          <w:divBdr>
            <w:top w:val="none" w:sz="0" w:space="0" w:color="auto"/>
            <w:left w:val="none" w:sz="0" w:space="0" w:color="auto"/>
            <w:bottom w:val="none" w:sz="0" w:space="0" w:color="auto"/>
            <w:right w:val="none" w:sz="0" w:space="0" w:color="auto"/>
          </w:divBdr>
          <w:divsChild>
            <w:div w:id="751242985">
              <w:marLeft w:val="0"/>
              <w:marRight w:val="0"/>
              <w:marTop w:val="0"/>
              <w:marBottom w:val="0"/>
              <w:divBdr>
                <w:top w:val="none" w:sz="0" w:space="0" w:color="auto"/>
                <w:left w:val="none" w:sz="0" w:space="0" w:color="auto"/>
                <w:bottom w:val="none" w:sz="0" w:space="0" w:color="auto"/>
                <w:right w:val="none" w:sz="0" w:space="0" w:color="auto"/>
              </w:divBdr>
              <w:divsChild>
                <w:div w:id="1669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Users/claralabelle/Downloads/ssrn-205138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1589</Words>
  <Characters>8744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Labelle</dc:creator>
  <cp:keywords/>
  <dc:description/>
  <cp:lastModifiedBy>Clara Labelle</cp:lastModifiedBy>
  <cp:revision>4</cp:revision>
  <dcterms:created xsi:type="dcterms:W3CDTF">2024-11-09T16:05:00Z</dcterms:created>
  <dcterms:modified xsi:type="dcterms:W3CDTF">2024-11-09T18:57:00Z</dcterms:modified>
</cp:coreProperties>
</file>