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53D58CA6" w:rsidR="00792408" w:rsidRPr="00D13034" w:rsidRDefault="00792408" w:rsidP="00792408">
      <w:pPr>
        <w:pStyle w:val="2"/>
        <w:rPr>
          <w:lang w:val="en-US"/>
        </w:rPr>
      </w:pPr>
      <w:r w:rsidRPr="00D13034">
        <w:rPr>
          <w:lang w:val="en-US"/>
        </w:rPr>
        <w:t xml:space="preserve">Question </w:t>
      </w:r>
      <w:r w:rsidR="00D13034" w:rsidRPr="00D13034">
        <w:rPr>
          <w:rFonts w:hint="eastAsia"/>
          <w:lang w:val="en-US" w:eastAsia="zh-CN"/>
        </w:rPr>
        <w:t>3</w:t>
      </w:r>
      <w:r w:rsidRPr="00D13034">
        <w:rPr>
          <w:rFonts w:ascii="Calibri" w:hAnsi="Calibri" w:cs="Calibri"/>
          <w:lang w:val="en-US"/>
        </w:rPr>
        <w:t xml:space="preserve"> </w:t>
      </w:r>
      <w:r w:rsidRPr="00D13034">
        <w:rPr>
          <w:lang w:val="en-US"/>
        </w:rPr>
        <w:t xml:space="preserve">– </w:t>
      </w:r>
      <w:r w:rsidR="00D13034" w:rsidRPr="00D13034">
        <w:rPr>
          <w:lang w:val="en-US"/>
        </w:rPr>
        <w:t>Using the domain selected in the previous question, along with all the available data from the dataset, conduct a new analysis of the data.</w:t>
      </w:r>
    </w:p>
    <w:p w14:paraId="284AE70A" w14:textId="77777777" w:rsidR="00792408" w:rsidRPr="00D13034" w:rsidRDefault="00792408" w:rsidP="00792408">
      <w:pPr>
        <w:rPr>
          <w:lang w:val="en-US"/>
        </w:rPr>
      </w:pPr>
    </w:p>
    <w:p w14:paraId="2090B2E5" w14:textId="715A9C76" w:rsidR="00301100" w:rsidRPr="00E165DD" w:rsidRDefault="00D13034" w:rsidP="00E165DD">
      <w:pPr>
        <w:pStyle w:val="a9"/>
        <w:numPr>
          <w:ilvl w:val="0"/>
          <w:numId w:val="5"/>
        </w:numPr>
        <w:jc w:val="both"/>
        <w:rPr>
          <w:rFonts w:asciiTheme="minorHAnsi" w:hAnsiTheme="minorHAnsi"/>
          <w:b/>
          <w:bCs/>
          <w:color w:val="000000" w:themeColor="text1"/>
          <w:u w:val="single"/>
          <w:lang w:val="en-US"/>
        </w:rPr>
      </w:pPr>
      <w:r w:rsidRPr="00D13034">
        <w:rPr>
          <w:rFonts w:asciiTheme="minorHAnsi" w:hAnsiTheme="minorHAnsi"/>
          <w:b/>
          <w:bCs/>
          <w:color w:val="000000" w:themeColor="text1"/>
          <w:u w:val="single"/>
          <w:lang w:val="en-US"/>
        </w:rPr>
        <w:t>Formulate a new research question or hypothesis that can be answered using the data available in the survey.</w:t>
      </w:r>
    </w:p>
    <w:p w14:paraId="23A9AF4E" w14:textId="77777777" w:rsidR="000428B7" w:rsidRDefault="000428B7" w:rsidP="00643D67">
      <w:pPr>
        <w:jc w:val="both"/>
        <w:rPr>
          <w:rFonts w:asciiTheme="minorHAnsi" w:hAnsiTheme="minorHAnsi"/>
          <w:color w:val="000000" w:themeColor="text1"/>
          <w:lang w:val="en-US"/>
        </w:rPr>
      </w:pPr>
    </w:p>
    <w:p w14:paraId="5D62F459" w14:textId="56BA4675" w:rsidR="00D13034" w:rsidRPr="00D13034" w:rsidRDefault="00D13034" w:rsidP="00D13034">
      <w:pPr>
        <w:jc w:val="both"/>
        <w:rPr>
          <w:rFonts w:asciiTheme="minorHAnsi" w:eastAsiaTheme="minorEastAsia" w:hAnsiTheme="minorHAnsi" w:hint="eastAsia"/>
          <w:color w:val="000000" w:themeColor="text1"/>
          <w:lang w:val="en-US" w:eastAsia="zh-CN"/>
        </w:rPr>
      </w:pPr>
      <w:r w:rsidRPr="00D13034">
        <w:rPr>
          <w:rFonts w:asciiTheme="minorHAnsi" w:hAnsiTheme="minorHAnsi"/>
          <w:color w:val="000000" w:themeColor="text1"/>
          <w:lang w:val="en-US"/>
        </w:rPr>
        <w:t>Our study aimed to examine how personal financial characteristics of financial analysts influence their risk recommendations. Specifically, we focused on two main variables:</w:t>
      </w:r>
    </w:p>
    <w:p w14:paraId="3844E867" w14:textId="77777777" w:rsidR="00D13034" w:rsidRPr="00D13034" w:rsidRDefault="00D13034" w:rsidP="00D13034">
      <w:pPr>
        <w:jc w:val="both"/>
        <w:rPr>
          <w:rFonts w:asciiTheme="minorHAnsi" w:hAnsiTheme="minorHAnsi"/>
          <w:color w:val="000000" w:themeColor="text1"/>
          <w:lang w:val="en-US"/>
        </w:rPr>
      </w:pPr>
      <w:r w:rsidRPr="00D13034">
        <w:rPr>
          <w:rFonts w:asciiTheme="minorHAnsi" w:hAnsiTheme="minorHAnsi"/>
          <w:color w:val="000000" w:themeColor="text1"/>
          <w:lang w:val="en-US"/>
        </w:rPr>
        <w:t>Debt-to-Income Ratio (DIR): Calculated as the ratio of an analyst’s total debt to their income, representing the relative financial pressure they may face.</w:t>
      </w:r>
    </w:p>
    <w:p w14:paraId="00C00035" w14:textId="46948ABD" w:rsidR="00D559EE"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Absolute Debt Level: The total debt amount, which serves as a measure of the absolute financial burden without considering income.</w:t>
      </w:r>
    </w:p>
    <w:p w14:paraId="238D6882" w14:textId="288215E2" w:rsidR="00FA793B" w:rsidRPr="00FA793B" w:rsidRDefault="00FA793B" w:rsidP="00D13034">
      <w:pPr>
        <w:jc w:val="both"/>
        <w:rPr>
          <w:rFonts w:asciiTheme="minorHAnsi" w:eastAsiaTheme="minorEastAsia" w:hAnsiTheme="minorHAnsi" w:hint="eastAsia"/>
          <w:color w:val="000000" w:themeColor="text1"/>
          <w:lang w:val="en-US" w:eastAsia="zh-CN"/>
        </w:rPr>
      </w:pPr>
      <w:r w:rsidRPr="00FA793B">
        <w:rPr>
          <w:rFonts w:asciiTheme="minorHAnsi" w:eastAsiaTheme="minorEastAsia" w:hAnsiTheme="minorHAnsi"/>
          <w:color w:val="000000" w:themeColor="text1"/>
          <w:lang w:val="en-US" w:eastAsia="zh-CN"/>
        </w:rPr>
        <w:t>In addition, we analyzed other demographic and professional factors such as age, education level, and work experience, to understand their potential roles in shaping risk recommendation tendencies.</w:t>
      </w:r>
      <w:r w:rsidR="00AC6D19" w:rsidRPr="00AC6D19">
        <w:rPr>
          <w:lang w:val="en-US"/>
        </w:rPr>
        <w:t xml:space="preserve"> </w:t>
      </w:r>
      <w:r w:rsidR="00AC6D19" w:rsidRPr="00AC6D19">
        <w:rPr>
          <w:rFonts w:asciiTheme="minorHAnsi" w:eastAsiaTheme="minorEastAsia" w:hAnsiTheme="minorHAnsi"/>
          <w:color w:val="000000" w:themeColor="text1"/>
          <w:lang w:val="en-US" w:eastAsia="zh-CN"/>
        </w:rPr>
        <w:t>Our hypothesis is that the accumulation of debt levels creates some degree of ‘financial anxiety’ for analysts, or a preference for leveraged and risky products. Although advisors should act in the best interests of their clients, they are often constrained by their own incentives to intentionally mislead clients. This bias is difficult for clients to detect, as they generally lack the necessary financial literacy and sophistication.</w:t>
      </w:r>
    </w:p>
    <w:p w14:paraId="6E9C5C61" w14:textId="77777777" w:rsidR="000428B7" w:rsidRDefault="000428B7" w:rsidP="00643D67">
      <w:pPr>
        <w:jc w:val="both"/>
        <w:rPr>
          <w:rFonts w:asciiTheme="minorHAnsi" w:hAnsiTheme="minorHAnsi"/>
          <w:color w:val="000000" w:themeColor="text1"/>
          <w:lang w:val="en-US"/>
        </w:rPr>
      </w:pPr>
    </w:p>
    <w:p w14:paraId="5759324D" w14:textId="77777777" w:rsidR="00FA793B" w:rsidRDefault="00D13034" w:rsidP="00643D67">
      <w:pPr>
        <w:jc w:val="both"/>
        <w:rPr>
          <w:rFonts w:asciiTheme="minorHAnsi" w:eastAsiaTheme="minorEastAsia" w:hAnsiTheme="minorHAnsi"/>
          <w:color w:val="FF0000"/>
          <w:lang w:val="en-US" w:eastAsia="zh-CN"/>
        </w:rPr>
      </w:pPr>
      <w:r>
        <w:rPr>
          <w:rFonts w:asciiTheme="minorEastAsia" w:eastAsiaTheme="minorEastAsia" w:hAnsiTheme="minorEastAsia" w:hint="eastAsia"/>
          <w:b/>
          <w:bCs/>
          <w:u w:val="single"/>
          <w:lang w:val="en-US" w:eastAsia="zh-CN"/>
        </w:rPr>
        <w:t>b</w:t>
      </w:r>
      <w:r>
        <w:rPr>
          <w:rFonts w:asciiTheme="minorHAnsi" w:eastAsiaTheme="minorEastAsia" w:hAnsiTheme="minorHAnsi" w:hint="eastAsia"/>
          <w:b/>
          <w:bCs/>
          <w:u w:val="single"/>
          <w:lang w:val="en-US" w:eastAsia="zh-CN"/>
        </w:rPr>
        <w:t>.)</w:t>
      </w:r>
      <w:r w:rsidRPr="00D13034">
        <w:rPr>
          <w:rFonts w:asciiTheme="minorHAnsi" w:hAnsiTheme="minorHAnsi"/>
          <w:b/>
          <w:bCs/>
          <w:u w:val="single"/>
          <w:lang w:val="en-US"/>
        </w:rPr>
        <w:t xml:space="preserve"> Develop a conceptual or theoretical framework to address the question. Back your predictions with work from the literature and knowledge from the field.</w:t>
      </w:r>
    </w:p>
    <w:p w14:paraId="4EEB7363" w14:textId="77777777" w:rsidR="00FA793B" w:rsidRDefault="00FA793B" w:rsidP="00643D67">
      <w:pPr>
        <w:jc w:val="both"/>
        <w:rPr>
          <w:rFonts w:asciiTheme="minorHAnsi" w:eastAsiaTheme="minorEastAsia" w:hAnsiTheme="minorHAnsi"/>
          <w:color w:val="FF0000"/>
          <w:lang w:val="en-US" w:eastAsia="zh-CN"/>
        </w:rPr>
      </w:pPr>
    </w:p>
    <w:p w14:paraId="0F5A9DEB" w14:textId="585EDBC7" w:rsidR="009E46CD" w:rsidRDefault="00D9238E" w:rsidP="00B5138E">
      <w:pPr>
        <w:ind w:firstLineChars="200" w:firstLine="480"/>
        <w:jc w:val="both"/>
        <w:rPr>
          <w:rFonts w:asciiTheme="minorHAnsi" w:eastAsiaTheme="minorEastAsia" w:hAnsiTheme="minorHAnsi"/>
          <w:color w:val="000000" w:themeColor="text1"/>
          <w:lang w:val="en-US" w:eastAsia="zh-CN"/>
        </w:rPr>
      </w:pPr>
      <w:r w:rsidRPr="00D9238E">
        <w:rPr>
          <w:rFonts w:asciiTheme="minorHAnsi" w:eastAsiaTheme="minorEastAsia" w:hAnsiTheme="minorHAnsi"/>
          <w:color w:val="000000" w:themeColor="text1"/>
          <w:lang w:val="en-US" w:eastAsia="zh-CN"/>
        </w:rPr>
        <w:t>The aim of this study is to explore the impact of financial advisors' level of personal debt (Debt-to-Income Rati</w:t>
      </w:r>
      <w:r w:rsidR="00FA793B">
        <w:rPr>
          <w:rFonts w:asciiTheme="minorHAnsi" w:eastAsiaTheme="minorEastAsia" w:hAnsiTheme="minorHAnsi" w:hint="eastAsia"/>
          <w:color w:val="000000" w:themeColor="text1"/>
          <w:lang w:val="en-US" w:eastAsia="zh-CN"/>
        </w:rPr>
        <w:t xml:space="preserve">o) </w:t>
      </w:r>
      <w:r w:rsidRPr="00D9238E">
        <w:rPr>
          <w:rFonts w:asciiTheme="minorHAnsi" w:eastAsiaTheme="minorEastAsia" w:hAnsiTheme="minorHAnsi"/>
          <w:color w:val="000000" w:themeColor="text1"/>
          <w:lang w:val="en-US" w:eastAsia="zh-CN"/>
        </w:rPr>
        <w:t>on their financial product recommendation behaviour. By analysing the Debt-to-Income Ratio (DIR) and Direct Debt of financial advisors, we seek to understand how these variables affect their product selection tendencies in different contexts. The data contains a variety of variables such as age, education level, work experience, income and other control variables to ensure a comprehensive examination of the factors influencing advisor recommendation behaviour. A multinomial logistic regression (MNLogit) model is used to analyse advisers' choices for each option to quantify the effect of debt level on recommendation behaviour and identify the significant effect of debt burden on financial product recommendation preferences.</w:t>
      </w:r>
    </w:p>
    <w:p w14:paraId="57F7201A" w14:textId="44C2FB63" w:rsidR="00D9238E" w:rsidRPr="00D9238E" w:rsidRDefault="00D9238E" w:rsidP="00B5138E">
      <w:pPr>
        <w:ind w:firstLineChars="200" w:firstLine="480"/>
        <w:jc w:val="both"/>
        <w:rPr>
          <w:rFonts w:asciiTheme="minorHAnsi" w:eastAsiaTheme="minorEastAsia" w:hAnsiTheme="minorHAnsi"/>
          <w:color w:val="000000" w:themeColor="text1"/>
          <w:lang w:val="en-US" w:eastAsia="zh-CN"/>
        </w:rPr>
      </w:pPr>
      <w:r w:rsidRPr="00D9238E">
        <w:rPr>
          <w:lang w:val="en-US"/>
        </w:rPr>
        <w:t>Drawing inspiration from Gerrans and Hershey's (2017)</w:t>
      </w:r>
      <w:r>
        <w:rPr>
          <w:lang w:val="en-US"/>
        </w:rPr>
        <w:fldChar w:fldCharType="begin"/>
      </w:r>
      <w:r>
        <w:rPr>
          <w:lang w:val="en-US"/>
        </w:rPr>
        <w:instrText xml:space="preserve"> REF _Ref182507026 \r \h </w:instrText>
      </w:r>
      <w:r>
        <w:rPr>
          <w:lang w:val="en-US"/>
        </w:rPr>
      </w:r>
      <w:r>
        <w:rPr>
          <w:lang w:val="en-US"/>
        </w:rPr>
        <w:fldChar w:fldCharType="separate"/>
      </w:r>
      <w:r>
        <w:rPr>
          <w:lang w:val="en-US"/>
        </w:rPr>
        <w:t>[3]</w:t>
      </w:r>
      <w:r>
        <w:rPr>
          <w:lang w:val="en-US"/>
        </w:rPr>
        <w:fldChar w:fldCharType="end"/>
      </w:r>
      <w:r w:rsidRPr="00D9238E">
        <w:rPr>
          <w:lang w:val="en-US"/>
        </w:rPr>
        <w:t xml:space="preserve"> exploration of financial advisor anxiety and behavior, we incorporate advisors’ personal financial conditions as a key factor impacting their recommendations. Using a multinomial logit (MNLogit) model, as seen in recent work by d’Astous et al. (2024)</w:t>
      </w:r>
      <w:r>
        <w:rPr>
          <w:lang w:val="en-US"/>
        </w:rPr>
        <w:fldChar w:fldCharType="begin"/>
      </w:r>
      <w:r>
        <w:rPr>
          <w:lang w:val="en-US"/>
        </w:rPr>
        <w:instrText xml:space="preserve"> REF _Ref182507101 \r \h </w:instrText>
      </w:r>
      <w:r>
        <w:rPr>
          <w:lang w:val="en-US"/>
        </w:rPr>
      </w:r>
      <w:r>
        <w:rPr>
          <w:lang w:val="en-US"/>
        </w:rPr>
        <w:fldChar w:fldCharType="separate"/>
      </w:r>
      <w:r>
        <w:rPr>
          <w:lang w:val="en-US"/>
        </w:rPr>
        <w:t>[5]</w:t>
      </w:r>
      <w:r>
        <w:rPr>
          <w:lang w:val="en-US"/>
        </w:rPr>
        <w:fldChar w:fldCharType="end"/>
      </w:r>
      <w:r w:rsidRPr="00D9238E">
        <w:rPr>
          <w:lang w:val="en-US"/>
        </w:rPr>
        <w:t xml:space="preserve"> on the quality of financial advice, we examine how debt levels and other controls (age, education, income, and work experience) </w:t>
      </w:r>
      <w:r w:rsidRPr="00D9238E">
        <w:rPr>
          <w:lang w:val="en-US"/>
        </w:rPr>
        <w:lastRenderedPageBreak/>
        <w:t>affect advisors' preferences across various financial products. The inclusion of DIR as a variable is informed by the framework established in the study on certification in private debt markets (2024), which emphasizes the relevance of personal debt burden in professional financial decisions. Furthermore, insights from Vijayakumar and Daniels (2006)</w:t>
      </w:r>
      <w:r>
        <w:rPr>
          <w:lang w:val="en-US"/>
        </w:rPr>
        <w:fldChar w:fldCharType="begin"/>
      </w:r>
      <w:r>
        <w:rPr>
          <w:lang w:val="en-US"/>
        </w:rPr>
        <w:instrText xml:space="preserve"> REF _Ref182507149 \r \h </w:instrText>
      </w:r>
      <w:r>
        <w:rPr>
          <w:lang w:val="en-US"/>
        </w:rPr>
      </w:r>
      <w:r>
        <w:rPr>
          <w:lang w:val="en-US"/>
        </w:rPr>
        <w:fldChar w:fldCharType="separate"/>
      </w:r>
      <w:r>
        <w:rPr>
          <w:lang w:val="en-US"/>
        </w:rPr>
        <w:t>[4]</w:t>
      </w:r>
      <w:r>
        <w:rPr>
          <w:lang w:val="en-US"/>
        </w:rPr>
        <w:fldChar w:fldCharType="end"/>
      </w:r>
      <w:r w:rsidRPr="00D9238E">
        <w:rPr>
          <w:lang w:val="en-US"/>
        </w:rPr>
        <w:t xml:space="preserve"> on the behavior of financial advisors in municipal bond markets guide our approach to analyzing advisor behavior. Together, these sources provide a comprehensive foundation for understanding the role of personal debt in shaping financial advisors' product recommendations.</w:t>
      </w:r>
    </w:p>
    <w:p w14:paraId="00D2A9B9" w14:textId="77777777" w:rsidR="00D13034" w:rsidRDefault="00D13034" w:rsidP="00643D67">
      <w:pPr>
        <w:jc w:val="both"/>
        <w:rPr>
          <w:rFonts w:asciiTheme="minorHAnsi" w:eastAsiaTheme="minorEastAsia" w:hAnsiTheme="minorHAnsi"/>
          <w:b/>
          <w:bCs/>
          <w:color w:val="000000" w:themeColor="text1"/>
          <w:lang w:val="en-US" w:eastAsia="zh-CN"/>
        </w:rPr>
      </w:pPr>
    </w:p>
    <w:p w14:paraId="3B0D03A1" w14:textId="77777777" w:rsidR="00D13034" w:rsidRPr="00D13034" w:rsidRDefault="00D13034" w:rsidP="00643D67">
      <w:pPr>
        <w:jc w:val="both"/>
        <w:rPr>
          <w:rFonts w:asciiTheme="minorHAnsi" w:eastAsiaTheme="minorEastAsia" w:hAnsiTheme="minorHAnsi" w:hint="eastAsia"/>
          <w:color w:val="000000" w:themeColor="text1"/>
          <w:lang w:val="en-US" w:eastAsia="zh-CN"/>
        </w:rPr>
      </w:pPr>
    </w:p>
    <w:p w14:paraId="65390394" w14:textId="3196312B" w:rsidR="00FA793B" w:rsidRDefault="00D9238E" w:rsidP="00FA793B">
      <w:pPr>
        <w:jc w:val="both"/>
        <w:rPr>
          <w:rFonts w:asciiTheme="minorHAnsi" w:eastAsiaTheme="minorEastAsia" w:hAnsiTheme="minorHAnsi"/>
          <w:b/>
          <w:bCs/>
          <w:color w:val="000000" w:themeColor="text1"/>
          <w:lang w:val="en-US" w:eastAsia="zh-CN"/>
        </w:rPr>
      </w:pPr>
      <w:r w:rsidRPr="00D9238E">
        <w:rPr>
          <w:rFonts w:asciiTheme="minorHAnsi" w:hAnsiTheme="minorHAnsi"/>
          <w:b/>
          <w:bCs/>
          <w:color w:val="000000" w:themeColor="text1"/>
          <w:lang w:val="en-US"/>
        </w:rPr>
        <w:t>c.</w:t>
      </w:r>
      <w:r>
        <w:rPr>
          <w:rFonts w:asciiTheme="minorHAnsi" w:eastAsiaTheme="minorEastAsia" w:hAnsiTheme="minorHAnsi" w:hint="eastAsia"/>
          <w:b/>
          <w:bCs/>
          <w:color w:val="000000" w:themeColor="text1"/>
          <w:lang w:val="en-US" w:eastAsia="zh-CN"/>
        </w:rPr>
        <w:t>)</w:t>
      </w:r>
      <w:r w:rsidRPr="00D9238E">
        <w:rPr>
          <w:rFonts w:asciiTheme="minorHAnsi" w:hAnsiTheme="minorHAnsi"/>
          <w:b/>
          <w:bCs/>
          <w:color w:val="000000" w:themeColor="text1"/>
          <w:lang w:val="en-US"/>
        </w:rPr>
        <w:t xml:space="preserve"> For your main new empirical analysis, present your results in a table. Explain your methods (e.g., OLS, Probit, etc) and justify why they are applicable here (e.g Probit for binary data, OLS for continuous, etc). Additionally, the mean and standard deviation of all variables used in your analysis must be presented in one descriptive statistics table.</w:t>
      </w:r>
      <w:r w:rsidR="00643D67">
        <w:rPr>
          <w:rFonts w:asciiTheme="minorHAnsi" w:hAnsiTheme="minorHAnsi"/>
          <w:color w:val="000000" w:themeColor="text1"/>
          <w:lang w:val="en-US"/>
        </w:rPr>
        <w:t xml:space="preserve"> </w:t>
      </w:r>
      <w:r w:rsidR="00FA793B">
        <w:rPr>
          <w:rFonts w:asciiTheme="minorHAnsi" w:eastAsiaTheme="minorEastAsia" w:hAnsiTheme="minorHAnsi" w:hint="eastAsia"/>
          <w:color w:val="000000" w:themeColor="text1"/>
          <w:lang w:val="en-US" w:eastAsia="zh-CN"/>
        </w:rPr>
        <w:t>&amp;</w:t>
      </w:r>
      <w:r w:rsidR="00FA793B" w:rsidRPr="00FA793B">
        <w:rPr>
          <w:rFonts w:asciiTheme="minorHAnsi" w:hAnsiTheme="minorHAnsi"/>
          <w:b/>
          <w:bCs/>
          <w:color w:val="000000" w:themeColor="text1"/>
          <w:lang w:val="en-US"/>
        </w:rPr>
        <w:t xml:space="preserve"> </w:t>
      </w:r>
      <w:r w:rsidR="00FA793B" w:rsidRPr="00DB113E">
        <w:rPr>
          <w:rFonts w:asciiTheme="minorHAnsi" w:hAnsiTheme="minorHAnsi"/>
          <w:b/>
          <w:bCs/>
          <w:color w:val="000000" w:themeColor="text1"/>
          <w:lang w:val="en-US"/>
        </w:rPr>
        <w:t xml:space="preserve">d. </w:t>
      </w:r>
      <w:r w:rsidR="00FA793B">
        <w:rPr>
          <w:rFonts w:asciiTheme="minorHAnsi" w:eastAsiaTheme="minorEastAsia" w:hAnsiTheme="minorHAnsi" w:hint="eastAsia"/>
          <w:b/>
          <w:bCs/>
          <w:color w:val="000000" w:themeColor="text1"/>
          <w:lang w:val="en-US" w:eastAsia="zh-CN"/>
        </w:rPr>
        <w:t>)</w:t>
      </w:r>
      <w:r w:rsidR="00FA793B" w:rsidRPr="00DB113E">
        <w:rPr>
          <w:rFonts w:asciiTheme="minorHAnsi" w:hAnsiTheme="minorHAnsi"/>
          <w:b/>
          <w:bCs/>
          <w:color w:val="000000" w:themeColor="text1"/>
          <w:lang w:val="en-US"/>
        </w:rPr>
        <w:t>Interpret your results, explaining the significance of the estimated effects and whether they verify your hypothesis. Discuss possible explanations if the hypothesis is not verified.</w:t>
      </w:r>
    </w:p>
    <w:p w14:paraId="1AFBE9BD" w14:textId="513B065C" w:rsidR="004E157A" w:rsidRDefault="004E157A" w:rsidP="00643D67">
      <w:pPr>
        <w:jc w:val="both"/>
        <w:rPr>
          <w:rFonts w:asciiTheme="minorHAnsi" w:eastAsiaTheme="minorEastAsia" w:hAnsiTheme="minorHAnsi"/>
          <w:color w:val="000000" w:themeColor="text1"/>
          <w:u w:val="single"/>
          <w:lang w:val="en-US" w:eastAsia="zh-CN"/>
        </w:rPr>
      </w:pPr>
    </w:p>
    <w:p w14:paraId="2ECC7B13" w14:textId="2A0029B5" w:rsidR="004E157A" w:rsidRPr="001C492D" w:rsidRDefault="00C26981" w:rsidP="004E157A">
      <w:pPr>
        <w:jc w:val="both"/>
        <w:rPr>
          <w:rFonts w:asciiTheme="minorHAnsi" w:hAnsiTheme="minorHAnsi"/>
          <w:color w:val="000000" w:themeColor="text1"/>
          <w:u w:val="single"/>
          <w:lang w:val="en-US"/>
        </w:rPr>
      </w:pPr>
      <w:r>
        <w:rPr>
          <w:rFonts w:asciiTheme="minorHAnsi" w:eastAsiaTheme="minorEastAsia" w:hAnsiTheme="minorHAnsi" w:hint="eastAsia"/>
          <w:color w:val="000000" w:themeColor="text1"/>
          <w:u w:val="single"/>
          <w:lang w:val="en-US" w:eastAsia="zh-CN"/>
        </w:rPr>
        <w:t>W</w:t>
      </w:r>
      <w:r w:rsidR="004E157A" w:rsidRPr="00DB113E">
        <w:rPr>
          <w:rFonts w:asciiTheme="minorHAnsi" w:hAnsiTheme="minorHAnsi"/>
          <w:color w:val="000000" w:themeColor="text1"/>
          <w:u w:val="single"/>
          <w:lang w:val="en-US"/>
        </w:rPr>
        <w:t xml:space="preserve">hy </w:t>
      </w:r>
      <w:r w:rsidR="004E157A">
        <w:rPr>
          <w:rFonts w:asciiTheme="minorHAnsi" w:eastAsiaTheme="minorEastAsia" w:hAnsiTheme="minorHAnsi" w:hint="eastAsia"/>
          <w:color w:val="000000" w:themeColor="text1"/>
          <w:u w:val="single"/>
          <w:lang w:val="en-US" w:eastAsia="zh-CN"/>
        </w:rPr>
        <w:t>MNLogit is</w:t>
      </w:r>
      <w:r w:rsidR="004E157A" w:rsidRPr="00DB113E">
        <w:rPr>
          <w:rFonts w:asciiTheme="minorHAnsi" w:hAnsiTheme="minorHAnsi"/>
          <w:color w:val="000000" w:themeColor="text1"/>
          <w:u w:val="single"/>
          <w:lang w:val="en-US"/>
        </w:rPr>
        <w:t xml:space="preserve"> applicable here</w:t>
      </w:r>
    </w:p>
    <w:p w14:paraId="759A4531" w14:textId="77777777" w:rsidR="004E157A" w:rsidRDefault="004E157A" w:rsidP="00AC6D19">
      <w:pPr>
        <w:pStyle w:val="ae"/>
        <w:ind w:firstLineChars="200" w:firstLine="480"/>
        <w:jc w:val="both"/>
        <w:rPr>
          <w:rFonts w:eastAsiaTheme="minorEastAsia"/>
          <w:lang w:val="en-US" w:eastAsia="zh-CN"/>
        </w:rPr>
      </w:pPr>
      <w:r w:rsidRPr="006942EE">
        <w:rPr>
          <w:lang w:val="en-US"/>
        </w:rPr>
        <w:t xml:space="preserve">MNLogit allows for the analysis of multiple unordered categories of dependent variables that do not have a natural order and therefore cannot be handled by methods such as OLS or Probit. In addition, MNLogit is suitable for contexts with multiple independent variables, both continuous and categorical. It is able to estimate the relative impact of each independent variable on different choices, which has high explanatory power for our research objective (analysing advisers' recommendation preferences at different debt levels). In this study, the dependent variable is the product categories (e.g. </w:t>
      </w:r>
      <w:r w:rsidRPr="006942EE">
        <w:rPr>
          <w:rStyle w:val="HTML"/>
          <w:lang w:val="en-US"/>
        </w:rPr>
        <w:t>RRSPs</w:t>
      </w:r>
      <w:r w:rsidRPr="006942EE">
        <w:rPr>
          <w:lang w:val="en-US"/>
        </w:rPr>
        <w:t xml:space="preserve">, </w:t>
      </w:r>
      <w:r w:rsidRPr="006942EE">
        <w:rPr>
          <w:rStyle w:val="HTML"/>
          <w:lang w:val="en-US"/>
        </w:rPr>
        <w:t>TFSAs</w:t>
      </w:r>
      <w:r w:rsidRPr="006942EE">
        <w:rPr>
          <w:lang w:val="en-US"/>
        </w:rPr>
        <w:t xml:space="preserve">, </w:t>
      </w:r>
      <w:r w:rsidRPr="006942EE">
        <w:rPr>
          <w:rStyle w:val="HTML"/>
          <w:lang w:val="en-US"/>
        </w:rPr>
        <w:t>ETFs</w:t>
      </w:r>
      <w:r w:rsidRPr="006942EE">
        <w:rPr>
          <w:lang w:val="en-US"/>
        </w:rPr>
        <w:t xml:space="preserve">, </w:t>
      </w:r>
      <w:r w:rsidRPr="006942EE">
        <w:rPr>
          <w:rStyle w:val="HTML"/>
          <w:lang w:val="en-US"/>
        </w:rPr>
        <w:t>Seg funds</w:t>
      </w:r>
      <w:r w:rsidRPr="006942EE">
        <w:rPr>
          <w:lang w:val="en-US"/>
        </w:rPr>
        <w:t>, etc.) recommended by financial advisors in different contexts, which are disorganised and varied and cannot be reasonably modelled by linear regression or Probit models. So here we choose to use MNLogit model for our analysis.</w:t>
      </w:r>
    </w:p>
    <w:p w14:paraId="5E904492" w14:textId="77777777" w:rsidR="004E157A" w:rsidRDefault="004E157A" w:rsidP="004E157A">
      <w:pPr>
        <w:pStyle w:val="ae"/>
        <w:rPr>
          <w:rFonts w:eastAsiaTheme="minorEastAsia"/>
          <w:lang w:val="en-US" w:eastAsia="zh-CN"/>
        </w:rPr>
      </w:pPr>
    </w:p>
    <w:p w14:paraId="176172B9" w14:textId="03293FCF" w:rsidR="004E157A" w:rsidRDefault="0033013F" w:rsidP="004E157A">
      <w:pPr>
        <w:jc w:val="both"/>
        <w:rPr>
          <w:rFonts w:asciiTheme="minorHAnsi" w:eastAsiaTheme="minorEastAsia" w:hAnsiTheme="minorHAnsi"/>
          <w:color w:val="000000" w:themeColor="text1"/>
          <w:u w:val="single"/>
          <w:lang w:val="en-US" w:eastAsia="zh-CN"/>
        </w:rPr>
      </w:pPr>
      <w:r>
        <w:rPr>
          <w:rFonts w:asciiTheme="minorHAnsi" w:eastAsiaTheme="minorEastAsia" w:hAnsiTheme="minorHAnsi" w:hint="eastAsia"/>
          <w:color w:val="000000" w:themeColor="text1"/>
          <w:u w:val="single"/>
          <w:lang w:val="en-US" w:eastAsia="zh-CN"/>
        </w:rPr>
        <w:t>T</w:t>
      </w:r>
      <w:r w:rsidR="004E157A" w:rsidRPr="00DB113E">
        <w:rPr>
          <w:rFonts w:asciiTheme="minorHAnsi" w:hAnsiTheme="minorHAnsi"/>
          <w:color w:val="000000" w:themeColor="text1"/>
          <w:u w:val="single"/>
          <w:lang w:val="en-US"/>
        </w:rPr>
        <w:t>he mean and standard deviation of all variables used</w:t>
      </w:r>
    </w:p>
    <w:p w14:paraId="28250217" w14:textId="77777777" w:rsidR="008C6B3A" w:rsidRPr="008C6B3A" w:rsidRDefault="008C6B3A" w:rsidP="004E157A">
      <w:pPr>
        <w:jc w:val="both"/>
        <w:rPr>
          <w:rFonts w:asciiTheme="minorHAnsi" w:eastAsiaTheme="minorEastAsia" w:hAnsiTheme="minorHAnsi" w:hint="eastAsia"/>
          <w:color w:val="000000" w:themeColor="text1"/>
          <w:u w:val="single"/>
          <w:lang w:val="en-US" w:eastAsia="zh-CN"/>
        </w:rPr>
      </w:pPr>
    </w:p>
    <w:tbl>
      <w:tblPr>
        <w:tblStyle w:val="af4"/>
        <w:tblW w:w="0" w:type="auto"/>
        <w:tblInd w:w="1792" w:type="dxa"/>
        <w:tblLook w:val="04A0" w:firstRow="1" w:lastRow="0" w:firstColumn="1" w:lastColumn="0" w:noHBand="0" w:noVBand="1"/>
      </w:tblPr>
      <w:tblGrid>
        <w:gridCol w:w="1962"/>
        <w:gridCol w:w="1780"/>
        <w:gridCol w:w="1296"/>
      </w:tblGrid>
      <w:tr w:rsidR="0033013F" w:rsidRPr="0033013F" w14:paraId="7FA26748" w14:textId="77777777" w:rsidTr="00C26981">
        <w:trPr>
          <w:trHeight w:val="285"/>
        </w:trPr>
        <w:tc>
          <w:tcPr>
            <w:tcW w:w="1962" w:type="dxa"/>
            <w:hideMark/>
          </w:tcPr>
          <w:p w14:paraId="74637832"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Variable</w:t>
            </w:r>
          </w:p>
        </w:tc>
        <w:tc>
          <w:tcPr>
            <w:tcW w:w="1780" w:type="dxa"/>
            <w:hideMark/>
          </w:tcPr>
          <w:p w14:paraId="2706FD31" w14:textId="77777777" w:rsidR="0033013F" w:rsidRPr="0033013F" w:rsidRDefault="0033013F" w:rsidP="0033013F">
            <w:pPr>
              <w:pStyle w:val="ae"/>
              <w:rPr>
                <w:rFonts w:eastAsiaTheme="minorEastAsia" w:hint="eastAsia"/>
                <w:b/>
                <w:bCs/>
                <w:lang w:eastAsia="zh-CN"/>
              </w:rPr>
            </w:pPr>
            <w:r w:rsidRPr="0033013F">
              <w:rPr>
                <w:rFonts w:eastAsiaTheme="minorEastAsia" w:hint="eastAsia"/>
                <w:b/>
                <w:bCs/>
                <w:lang w:eastAsia="zh-CN"/>
              </w:rPr>
              <w:t>Mean</w:t>
            </w:r>
          </w:p>
        </w:tc>
        <w:tc>
          <w:tcPr>
            <w:tcW w:w="1296" w:type="dxa"/>
            <w:hideMark/>
          </w:tcPr>
          <w:p w14:paraId="522C1159" w14:textId="77777777" w:rsidR="0033013F" w:rsidRPr="0033013F" w:rsidRDefault="0033013F" w:rsidP="0033013F">
            <w:pPr>
              <w:pStyle w:val="ae"/>
              <w:rPr>
                <w:rFonts w:eastAsiaTheme="minorEastAsia" w:hint="eastAsia"/>
                <w:b/>
                <w:bCs/>
                <w:lang w:eastAsia="zh-CN"/>
              </w:rPr>
            </w:pPr>
            <w:r w:rsidRPr="0033013F">
              <w:rPr>
                <w:rFonts w:eastAsiaTheme="minorEastAsia" w:hint="eastAsia"/>
                <w:b/>
                <w:bCs/>
                <w:lang w:eastAsia="zh-CN"/>
              </w:rPr>
              <w:t>Std Dev</w:t>
            </w:r>
          </w:p>
        </w:tc>
      </w:tr>
      <w:tr w:rsidR="0033013F" w:rsidRPr="0033013F" w14:paraId="6FF71052" w14:textId="77777777" w:rsidTr="00C26981">
        <w:trPr>
          <w:trHeight w:val="285"/>
        </w:trPr>
        <w:tc>
          <w:tcPr>
            <w:tcW w:w="1962" w:type="dxa"/>
            <w:hideMark/>
          </w:tcPr>
          <w:p w14:paraId="14614133" w14:textId="1D7D7453" w:rsidR="0033013F" w:rsidRPr="0033013F" w:rsidRDefault="0033013F" w:rsidP="0033013F">
            <w:pPr>
              <w:pStyle w:val="ae"/>
              <w:rPr>
                <w:rFonts w:eastAsiaTheme="minorEastAsia" w:hint="eastAsia"/>
                <w:lang w:eastAsia="zh-CN"/>
              </w:rPr>
            </w:pPr>
            <w:r w:rsidRPr="0033013F">
              <w:rPr>
                <w:rFonts w:eastAsiaTheme="minorEastAsia" w:hint="eastAsia"/>
                <w:lang w:eastAsia="zh-CN"/>
              </w:rPr>
              <w:t>Debt_Impute</w:t>
            </w:r>
          </w:p>
        </w:tc>
        <w:tc>
          <w:tcPr>
            <w:tcW w:w="1780" w:type="dxa"/>
            <w:hideMark/>
          </w:tcPr>
          <w:p w14:paraId="720F07BC"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333,673.76</w:t>
            </w:r>
          </w:p>
        </w:tc>
        <w:tc>
          <w:tcPr>
            <w:tcW w:w="1296" w:type="dxa"/>
            <w:hideMark/>
          </w:tcPr>
          <w:p w14:paraId="45A898B4"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333,293.78</w:t>
            </w:r>
          </w:p>
        </w:tc>
      </w:tr>
      <w:tr w:rsidR="0033013F" w:rsidRPr="0033013F" w14:paraId="1AB21FB0" w14:textId="77777777" w:rsidTr="00C26981">
        <w:trPr>
          <w:trHeight w:val="285"/>
        </w:trPr>
        <w:tc>
          <w:tcPr>
            <w:tcW w:w="1962" w:type="dxa"/>
            <w:hideMark/>
          </w:tcPr>
          <w:p w14:paraId="743A1F4F"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Age</w:t>
            </w:r>
          </w:p>
        </w:tc>
        <w:tc>
          <w:tcPr>
            <w:tcW w:w="1780" w:type="dxa"/>
            <w:hideMark/>
          </w:tcPr>
          <w:p w14:paraId="74D00DE9"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47.8</w:t>
            </w:r>
          </w:p>
        </w:tc>
        <w:tc>
          <w:tcPr>
            <w:tcW w:w="1296" w:type="dxa"/>
            <w:hideMark/>
          </w:tcPr>
          <w:p w14:paraId="6CB2995B"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11.72</w:t>
            </w:r>
          </w:p>
        </w:tc>
      </w:tr>
      <w:tr w:rsidR="0033013F" w:rsidRPr="0033013F" w14:paraId="178F9192" w14:textId="77777777" w:rsidTr="00C26981">
        <w:trPr>
          <w:trHeight w:val="570"/>
        </w:trPr>
        <w:tc>
          <w:tcPr>
            <w:tcW w:w="1962" w:type="dxa"/>
            <w:hideMark/>
          </w:tcPr>
          <w:p w14:paraId="3E765E82"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Educ_Level</w:t>
            </w:r>
          </w:p>
        </w:tc>
        <w:tc>
          <w:tcPr>
            <w:tcW w:w="1780" w:type="dxa"/>
            <w:hideMark/>
          </w:tcPr>
          <w:p w14:paraId="5E146436"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5.63</w:t>
            </w:r>
          </w:p>
        </w:tc>
        <w:tc>
          <w:tcPr>
            <w:tcW w:w="1296" w:type="dxa"/>
            <w:hideMark/>
          </w:tcPr>
          <w:p w14:paraId="4F55544B"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1.31</w:t>
            </w:r>
          </w:p>
        </w:tc>
      </w:tr>
      <w:tr w:rsidR="0033013F" w:rsidRPr="0033013F" w14:paraId="57F2AD89" w14:textId="77777777" w:rsidTr="00C26981">
        <w:trPr>
          <w:trHeight w:val="570"/>
        </w:trPr>
        <w:tc>
          <w:tcPr>
            <w:tcW w:w="1962" w:type="dxa"/>
            <w:hideMark/>
          </w:tcPr>
          <w:p w14:paraId="79D05D16"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Work_Experience</w:t>
            </w:r>
          </w:p>
        </w:tc>
        <w:tc>
          <w:tcPr>
            <w:tcW w:w="1780" w:type="dxa"/>
            <w:hideMark/>
          </w:tcPr>
          <w:p w14:paraId="49900708"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15.22</w:t>
            </w:r>
          </w:p>
        </w:tc>
        <w:tc>
          <w:tcPr>
            <w:tcW w:w="1296" w:type="dxa"/>
            <w:hideMark/>
          </w:tcPr>
          <w:p w14:paraId="356AA96E"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9.62</w:t>
            </w:r>
          </w:p>
        </w:tc>
      </w:tr>
      <w:tr w:rsidR="0033013F" w:rsidRPr="0033013F" w14:paraId="799262BF" w14:textId="77777777" w:rsidTr="00C26981">
        <w:trPr>
          <w:trHeight w:val="570"/>
        </w:trPr>
        <w:tc>
          <w:tcPr>
            <w:tcW w:w="1962" w:type="dxa"/>
            <w:hideMark/>
          </w:tcPr>
          <w:p w14:paraId="13F8530A"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Income_Impute</w:t>
            </w:r>
          </w:p>
        </w:tc>
        <w:tc>
          <w:tcPr>
            <w:tcW w:w="1780" w:type="dxa"/>
            <w:hideMark/>
          </w:tcPr>
          <w:p w14:paraId="38965A2F"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174,819.69</w:t>
            </w:r>
          </w:p>
        </w:tc>
        <w:tc>
          <w:tcPr>
            <w:tcW w:w="1296" w:type="dxa"/>
            <w:hideMark/>
          </w:tcPr>
          <w:p w14:paraId="7B0E95B6"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146,061.98</w:t>
            </w:r>
          </w:p>
        </w:tc>
      </w:tr>
      <w:tr w:rsidR="0033013F" w:rsidRPr="0033013F" w14:paraId="6C3B3F4D" w14:textId="77777777" w:rsidTr="00C26981">
        <w:trPr>
          <w:trHeight w:val="285"/>
        </w:trPr>
        <w:tc>
          <w:tcPr>
            <w:tcW w:w="1962" w:type="dxa"/>
            <w:hideMark/>
          </w:tcPr>
          <w:p w14:paraId="7FE32E7F"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Log_DIR</w:t>
            </w:r>
          </w:p>
        </w:tc>
        <w:tc>
          <w:tcPr>
            <w:tcW w:w="1780" w:type="dxa"/>
            <w:hideMark/>
          </w:tcPr>
          <w:p w14:paraId="497BBABE" w14:textId="77777777" w:rsidR="0033013F" w:rsidRPr="0033013F" w:rsidRDefault="0033013F" w:rsidP="0033013F">
            <w:pPr>
              <w:pStyle w:val="ae"/>
              <w:rPr>
                <w:rFonts w:eastAsiaTheme="minorEastAsia" w:hint="eastAsia"/>
                <w:lang w:eastAsia="zh-CN"/>
              </w:rPr>
            </w:pPr>
            <w:r w:rsidRPr="0033013F">
              <w:rPr>
                <w:rFonts w:eastAsiaTheme="minorEastAsia" w:hint="eastAsia"/>
                <w:lang w:eastAsia="zh-CN"/>
              </w:rPr>
              <w:t>0.28</w:t>
            </w:r>
          </w:p>
        </w:tc>
        <w:tc>
          <w:tcPr>
            <w:tcW w:w="1296" w:type="dxa"/>
            <w:hideMark/>
          </w:tcPr>
          <w:p w14:paraId="2AB7E790" w14:textId="77777777" w:rsidR="0033013F" w:rsidRPr="0033013F" w:rsidRDefault="0033013F" w:rsidP="00C26981">
            <w:pPr>
              <w:pStyle w:val="ae"/>
              <w:keepNext/>
              <w:rPr>
                <w:rFonts w:eastAsiaTheme="minorEastAsia" w:hint="eastAsia"/>
                <w:lang w:eastAsia="zh-CN"/>
              </w:rPr>
            </w:pPr>
            <w:r w:rsidRPr="0033013F">
              <w:rPr>
                <w:rFonts w:eastAsiaTheme="minorEastAsia" w:hint="eastAsia"/>
                <w:lang w:eastAsia="zh-CN"/>
              </w:rPr>
              <w:t>1.59</w:t>
            </w:r>
          </w:p>
        </w:tc>
      </w:tr>
    </w:tbl>
    <w:p w14:paraId="1BA80200" w14:textId="5104276A" w:rsidR="004E157A" w:rsidRPr="004E157A" w:rsidRDefault="00C26981" w:rsidP="00C26981">
      <w:pPr>
        <w:pStyle w:val="af6"/>
        <w:jc w:val="center"/>
        <w:rPr>
          <w:rFonts w:eastAsiaTheme="minorEastAsia" w:hint="eastAsia"/>
          <w:lang w:val="en-US" w:eastAsia="zh-CN"/>
        </w:rPr>
      </w:pPr>
      <w:r w:rsidRPr="00C26981">
        <w:rPr>
          <w:rFonts w:ascii="宋体" w:eastAsia="宋体" w:hAnsi="宋体" w:cs="宋体" w:hint="eastAsia"/>
          <w:lang w:val="en-US" w:eastAsia="zh-CN"/>
        </w:rPr>
        <w:t>Table 3</w:t>
      </w:r>
      <w:r w:rsidR="008C6B3A">
        <w:rPr>
          <w:rFonts w:hint="eastAsia"/>
          <w:lang w:val="en-US" w:eastAsia="zh-CN"/>
        </w:rPr>
        <w:t>-</w:t>
      </w:r>
      <w:r w:rsidR="00AC6D19">
        <w:rPr>
          <w:lang w:val="en-US"/>
        </w:rPr>
        <w:fldChar w:fldCharType="begin"/>
      </w:r>
      <w:r w:rsidR="00AC6D19">
        <w:rPr>
          <w:lang w:val="en-US"/>
        </w:rPr>
        <w:instrText xml:space="preserve"> SEQ </w:instrText>
      </w:r>
      <w:r w:rsidR="00AC6D19">
        <w:rPr>
          <w:lang w:val="en-US"/>
        </w:rPr>
        <w:instrText>图表</w:instrText>
      </w:r>
      <w:r w:rsidR="00AC6D19">
        <w:rPr>
          <w:lang w:val="en-US"/>
        </w:rPr>
        <w:instrText xml:space="preserve"> \* ARABIC \s 1 </w:instrText>
      </w:r>
      <w:r w:rsidR="00AC6D19">
        <w:rPr>
          <w:lang w:val="en-US"/>
        </w:rPr>
        <w:fldChar w:fldCharType="separate"/>
      </w:r>
      <w:r w:rsidR="00AC6D19">
        <w:rPr>
          <w:noProof/>
          <w:lang w:val="en-US"/>
        </w:rPr>
        <w:t>1</w:t>
      </w:r>
      <w:r w:rsidR="00AC6D19">
        <w:rPr>
          <w:lang w:val="en-US"/>
        </w:rPr>
        <w:fldChar w:fldCharType="end"/>
      </w:r>
      <w:r w:rsidRPr="00C26981">
        <w:rPr>
          <w:rFonts w:hint="eastAsia"/>
          <w:lang w:val="en-US" w:eastAsia="zh-CN"/>
        </w:rPr>
        <w:t xml:space="preserve"> </w:t>
      </w:r>
      <w:r w:rsidRPr="00C26981">
        <w:rPr>
          <w:rFonts w:asciiTheme="minorHAnsi" w:hAnsiTheme="minorHAnsi"/>
          <w:color w:val="000000" w:themeColor="text1"/>
          <w:lang w:val="en-US"/>
        </w:rPr>
        <w:t>mean and standard deviation</w:t>
      </w:r>
    </w:p>
    <w:p w14:paraId="68DDA23F" w14:textId="77777777" w:rsidR="0033013F" w:rsidRDefault="0033013F" w:rsidP="0033013F">
      <w:pPr>
        <w:keepNext/>
        <w:jc w:val="both"/>
      </w:pPr>
      <w:r w:rsidRPr="0033013F">
        <w:rPr>
          <w:rFonts w:eastAsiaTheme="minorEastAsia" w:hint="eastAsia"/>
        </w:rPr>
        <w:lastRenderedPageBreak/>
        <w:drawing>
          <wp:inline distT="0" distB="0" distL="0" distR="0" wp14:anchorId="464B15F6" wp14:editId="4527D2F2">
            <wp:extent cx="5486400" cy="2052320"/>
            <wp:effectExtent l="0" t="0" r="0" b="5080"/>
            <wp:docPr id="195558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52320"/>
                    </a:xfrm>
                    <a:prstGeom prst="rect">
                      <a:avLst/>
                    </a:prstGeom>
                    <a:noFill/>
                    <a:ln>
                      <a:noFill/>
                    </a:ln>
                  </pic:spPr>
                </pic:pic>
              </a:graphicData>
            </a:graphic>
          </wp:inline>
        </w:drawing>
      </w:r>
    </w:p>
    <w:p w14:paraId="43AC4280" w14:textId="7FD343BD" w:rsidR="0033013F" w:rsidRDefault="0033013F" w:rsidP="0033013F">
      <w:pPr>
        <w:pStyle w:val="af6"/>
        <w:keepNext/>
        <w:jc w:val="center"/>
      </w:pPr>
      <w:r>
        <w:rPr>
          <w:rFonts w:ascii="宋体" w:eastAsia="宋体" w:hAnsi="宋体" w:cs="宋体" w:hint="eastAsia"/>
          <w:lang w:eastAsia="zh-CN"/>
        </w:rPr>
        <w:t>Table.3</w:t>
      </w:r>
      <w:r w:rsidR="008C6B3A">
        <w:rPr>
          <w:rFonts w:hint="eastAsia"/>
          <w:lang w:eastAsia="zh-CN"/>
        </w:rPr>
        <w:t>-</w:t>
      </w:r>
      <w:r w:rsidR="00AC6D19">
        <w:rPr>
          <w:lang w:eastAsia="zh-CN"/>
        </w:rPr>
        <w:fldChar w:fldCharType="begin"/>
      </w:r>
      <w:r w:rsidR="00AC6D19">
        <w:rPr>
          <w:lang w:eastAsia="zh-CN"/>
        </w:rPr>
        <w:instrText xml:space="preserve"> SEQ </w:instrText>
      </w:r>
      <w:r w:rsidR="00AC6D19">
        <w:rPr>
          <w:lang w:eastAsia="zh-CN"/>
        </w:rPr>
        <w:instrText>图表</w:instrText>
      </w:r>
      <w:r w:rsidR="00AC6D19">
        <w:rPr>
          <w:lang w:eastAsia="zh-CN"/>
        </w:rPr>
        <w:instrText xml:space="preserve"> \* ARABIC \s 1 </w:instrText>
      </w:r>
      <w:r w:rsidR="00AC6D19">
        <w:rPr>
          <w:lang w:eastAsia="zh-CN"/>
        </w:rPr>
        <w:fldChar w:fldCharType="separate"/>
      </w:r>
      <w:r w:rsidR="00AC6D19">
        <w:rPr>
          <w:noProof/>
          <w:lang w:eastAsia="zh-CN"/>
        </w:rPr>
        <w:t>2</w:t>
      </w:r>
      <w:r w:rsidR="00AC6D19">
        <w:rPr>
          <w:lang w:eastAsia="zh-CN"/>
        </w:rPr>
        <w:fldChar w:fldCharType="end"/>
      </w:r>
      <w:r>
        <w:rPr>
          <w:rFonts w:hint="eastAsia"/>
          <w:lang w:eastAsia="zh-CN"/>
        </w:rPr>
        <w:t xml:space="preserve"> </w:t>
      </w:r>
      <w:r>
        <w:rPr>
          <w:rFonts w:hint="eastAsia"/>
          <w:lang w:eastAsia="zh-CN"/>
        </w:rPr>
        <w:t>MNLogit results</w:t>
      </w:r>
    </w:p>
    <w:p w14:paraId="21C21C82" w14:textId="427FFB72" w:rsidR="004E157A" w:rsidRPr="004E157A" w:rsidRDefault="004E157A" w:rsidP="00B5138E">
      <w:pPr>
        <w:pStyle w:val="af6"/>
        <w:ind w:firstLineChars="200" w:firstLine="400"/>
        <w:jc w:val="both"/>
        <w:rPr>
          <w:rFonts w:asciiTheme="minorHAnsi" w:eastAsiaTheme="minorEastAsia" w:hAnsiTheme="minorHAnsi" w:hint="eastAsia"/>
          <w:color w:val="000000" w:themeColor="text1"/>
          <w:u w:val="single"/>
          <w:lang w:val="en-US" w:eastAsia="zh-CN"/>
        </w:rPr>
      </w:pPr>
    </w:p>
    <w:p w14:paraId="73BC584F" w14:textId="1B94C23E" w:rsidR="00B5138E" w:rsidRPr="00B5138E" w:rsidRDefault="004E157A" w:rsidP="00AC6D19">
      <w:pPr>
        <w:pStyle w:val="ae"/>
        <w:ind w:firstLineChars="200" w:firstLine="480"/>
        <w:jc w:val="both"/>
        <w:rPr>
          <w:rFonts w:eastAsiaTheme="minorEastAsia" w:hint="eastAsia"/>
          <w:lang w:val="en-US" w:eastAsia="zh-CN"/>
        </w:rPr>
      </w:pPr>
      <w:r w:rsidRPr="00AC6D19">
        <w:rPr>
          <w:rFonts w:eastAsiaTheme="minorEastAsia"/>
          <w:lang w:val="en-US" w:eastAsia="zh-CN"/>
        </w:rPr>
        <w:t>The data for this study are all derived from the dataset clean_all.csv, which aggregates the analyst Q&amp;A information from section2 and extracts their choices in different contexts as the core object of analysis. By constructing a multinomial logistic regression model (MNLogit), we relate analysts' recommendation behaviour to a number of key independent variables, including individual debt level ( debt ), age, education level ( educ_level ), predicted income ( income_impute ), and logarithmic value of debt-to-income ratio ( log_DIR ).</w:t>
      </w:r>
    </w:p>
    <w:p w14:paraId="67F75CD1" w14:textId="34EC7B99" w:rsidR="00B5138E" w:rsidRPr="00B5138E" w:rsidRDefault="004E157A" w:rsidP="00AC6D19">
      <w:pPr>
        <w:pStyle w:val="ae"/>
        <w:ind w:firstLineChars="200" w:firstLine="480"/>
        <w:jc w:val="both"/>
        <w:rPr>
          <w:rFonts w:eastAsiaTheme="minorEastAsia" w:hint="eastAsia"/>
          <w:lang w:val="en-US" w:eastAsia="zh-CN"/>
        </w:rPr>
      </w:pPr>
      <w:r w:rsidRPr="00AC6D19">
        <w:rPr>
          <w:rFonts w:eastAsiaTheme="minorEastAsia"/>
          <w:lang w:val="en-US" w:eastAsia="zh-CN"/>
        </w:rPr>
        <w:t>In the regression analysis, we focus on the effect of the debt variable on different recommendation options and identify the financial products that analysts tend to recommend at high debt levels. The regression results show that debt is statistically significant on the recommendation behaviour of ETFs, Seg Funds, RRSPs, TFSAs and Repay Debt. Specifically, the positive effect of debt level on ETFs and Seg Funds suggests that analysts are more inclined to recommend these types of more flexible investment products as debt increases, while the negative effect on RRSPs, TFSAs, and Repay Debt implies that analysts are less likely to recommend these products under high debt conditions. This result supports our hypothesis that analysts' debt burden significantly affects their recommendation preferences and that higher debt levels favour more short-term liquid options.</w:t>
      </w:r>
    </w:p>
    <w:p w14:paraId="61B1A2A7" w14:textId="194CF01B" w:rsidR="00AA601E" w:rsidRPr="00AC6D19" w:rsidRDefault="00AA601E" w:rsidP="00AC6D19">
      <w:pPr>
        <w:pStyle w:val="ae"/>
        <w:ind w:firstLineChars="200" w:firstLine="480"/>
        <w:jc w:val="both"/>
        <w:rPr>
          <w:rFonts w:eastAsiaTheme="minorEastAsia"/>
          <w:lang w:val="en-US" w:eastAsia="zh-CN"/>
        </w:rPr>
      </w:pPr>
      <w:r>
        <w:rPr>
          <w:rFonts w:eastAsiaTheme="minorEastAsia" w:hint="eastAsia"/>
          <w:lang w:val="en-US" w:eastAsia="zh-CN"/>
        </w:rPr>
        <w:t>As we can see from table 3.2, t</w:t>
      </w:r>
      <w:r w:rsidRPr="00AC6D19">
        <w:rPr>
          <w:rFonts w:eastAsiaTheme="minorEastAsia"/>
          <w:lang w:val="en-US" w:eastAsia="zh-CN"/>
        </w:rPr>
        <w:t>he coefficient of 0.15 (p &lt; 0.05) for debt in the recommendation of ETFs suggests that analysts tend to recommend this type of more flexible investment product in high debt situations. Similarly, the positive coefficient of 0.08 (p &lt; 0.05) for debt in the selection of Seg Funds further supports this behavioural tendency. In addition, the negative effect of debt on RRSP and Repay Debt is -0.15 (p &lt; 0.05) and -0.05 (p &lt; 0.10), respectively, suggesting that analysts are more inclined to avoid long term lock-up or repayment type of options in the context of high debt.</w:t>
      </w:r>
    </w:p>
    <w:p w14:paraId="76B9DC39" w14:textId="77777777" w:rsidR="00AA601E" w:rsidRPr="00AC6D19" w:rsidRDefault="00AA601E"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An additional point to discuss is that log_DIR does not show significance across all options, which may be related to the introduction of an income variable in its calculation. As income is often difficult to fully control by individuals, its explanatory power in behavioural decisions may be weak, which somewhat diminishes the impact of log_DIR. Meanwhile, debt level, as a more directly autonomous variable, is more reflective of analysts' personal preferences and behavioural patterns in financial management. This phenomenon suggests that analysts' debt propensity may provide clearer clues about their </w:t>
      </w:r>
      <w:r w:rsidRPr="00AC6D19">
        <w:rPr>
          <w:rFonts w:eastAsiaTheme="minorEastAsia"/>
          <w:lang w:val="en-US" w:eastAsia="zh-CN"/>
        </w:rPr>
        <w:lastRenderedPageBreak/>
        <w:t>decision-making behaviour, whereas the effect of income, due to its lack of autonomy, may not be sufficient to significantly influence recommendation behaviour.</w:t>
      </w:r>
    </w:p>
    <w:p w14:paraId="155DE4D7" w14:textId="77777777" w:rsidR="004E157A" w:rsidRPr="00AA601E" w:rsidRDefault="004E157A" w:rsidP="00AC6D19">
      <w:pPr>
        <w:jc w:val="both"/>
        <w:rPr>
          <w:rFonts w:hint="eastAsia"/>
          <w:lang w:val="en-US"/>
        </w:rPr>
      </w:pPr>
    </w:p>
    <w:p w14:paraId="604EC0F4" w14:textId="77777777" w:rsidR="00AA601E" w:rsidRDefault="00FA793B" w:rsidP="00AA601E">
      <w:pPr>
        <w:keepNext/>
        <w:jc w:val="both"/>
      </w:pPr>
      <w:r w:rsidRPr="00FA793B">
        <w:rPr>
          <w:rFonts w:asciiTheme="minorHAnsi" w:hAnsiTheme="minorHAnsi"/>
          <w:color w:val="000000" w:themeColor="text1"/>
          <w:lang w:val="en-US"/>
        </w:rPr>
        <w:drawing>
          <wp:inline distT="0" distB="0" distL="0" distR="0" wp14:anchorId="5AE9D8D2" wp14:editId="0F597637">
            <wp:extent cx="5032857" cy="3002239"/>
            <wp:effectExtent l="0" t="0" r="0" b="8255"/>
            <wp:docPr id="177801536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15364" name="图片 1" descr="图表, 箱线图&#10;&#10;描述已自动生成"/>
                    <pic:cNvPicPr/>
                  </pic:nvPicPr>
                  <pic:blipFill>
                    <a:blip r:embed="rId9"/>
                    <a:stretch>
                      <a:fillRect/>
                    </a:stretch>
                  </pic:blipFill>
                  <pic:spPr>
                    <a:xfrm>
                      <a:off x="0" y="0"/>
                      <a:ext cx="5036791" cy="3004585"/>
                    </a:xfrm>
                    <a:prstGeom prst="rect">
                      <a:avLst/>
                    </a:prstGeom>
                  </pic:spPr>
                </pic:pic>
              </a:graphicData>
            </a:graphic>
          </wp:inline>
        </w:drawing>
      </w:r>
    </w:p>
    <w:p w14:paraId="3E911BC8" w14:textId="0846BF67" w:rsidR="00FA793B" w:rsidRPr="004E157A" w:rsidRDefault="00B5138E" w:rsidP="00AA601E">
      <w:pPr>
        <w:pStyle w:val="af6"/>
        <w:jc w:val="center"/>
        <w:rPr>
          <w:rFonts w:asciiTheme="minorHAnsi" w:eastAsiaTheme="minorEastAsia" w:hAnsiTheme="minorHAnsi" w:hint="eastAsia"/>
          <w:color w:val="000000" w:themeColor="text1"/>
          <w:lang w:val="en-US" w:eastAsia="zh-CN"/>
        </w:rPr>
      </w:pPr>
      <w:r>
        <w:rPr>
          <w:rFonts w:ascii="宋体" w:eastAsia="宋体" w:hAnsi="宋体" w:cs="宋体" w:hint="eastAsia"/>
          <w:lang w:eastAsia="zh-CN"/>
        </w:rPr>
        <w:t>Figure</w:t>
      </w:r>
      <w:r w:rsidR="00AA601E">
        <w:t xml:space="preserve"> </w:t>
      </w:r>
      <w:r w:rsidR="00AA601E">
        <w:rPr>
          <w:rFonts w:hint="eastAsia"/>
          <w:lang w:eastAsia="zh-CN"/>
        </w:rPr>
        <w:t>3</w:t>
      </w:r>
      <w:r w:rsidR="008C6B3A">
        <w:rPr>
          <w:rFonts w:hint="eastAsia"/>
          <w:lang w:eastAsia="zh-CN"/>
        </w:rPr>
        <w:t>-</w:t>
      </w:r>
      <w:r w:rsidR="008C6B3A">
        <w:t xml:space="preserve"> </w:t>
      </w:r>
      <w:r w:rsidR="00AC6D19">
        <w:fldChar w:fldCharType="begin"/>
      </w:r>
      <w:r w:rsidR="00AC6D19">
        <w:instrText xml:space="preserve"> SEQ </w:instrText>
      </w:r>
      <w:r w:rsidR="00AC6D19">
        <w:instrText>图表</w:instrText>
      </w:r>
      <w:r w:rsidR="00AC6D19">
        <w:instrText xml:space="preserve"> \* ARABIC \s 1 </w:instrText>
      </w:r>
      <w:r w:rsidR="00AC6D19">
        <w:fldChar w:fldCharType="separate"/>
      </w:r>
      <w:r w:rsidR="00AC6D19">
        <w:rPr>
          <w:noProof/>
        </w:rPr>
        <w:t>3</w:t>
      </w:r>
      <w:r w:rsidR="00AC6D19">
        <w:fldChar w:fldCharType="end"/>
      </w:r>
      <w:r w:rsidR="00AA601E">
        <w:rPr>
          <w:rFonts w:hint="eastAsia"/>
          <w:lang w:eastAsia="zh-CN"/>
        </w:rPr>
        <w:t xml:space="preserve"> </w:t>
      </w:r>
    </w:p>
    <w:p w14:paraId="2D137E84" w14:textId="77777777" w:rsidR="00AC6D19" w:rsidRPr="00AC6D19" w:rsidRDefault="00AC6D19" w:rsidP="00AC6D19">
      <w:pPr>
        <w:jc w:val="both"/>
        <w:rPr>
          <w:rFonts w:asciiTheme="minorHAnsi" w:eastAsiaTheme="minorEastAsia" w:hAnsiTheme="minorHAnsi"/>
          <w:color w:val="000000" w:themeColor="text1"/>
          <w:u w:val="single"/>
          <w:lang w:val="en-US" w:eastAsia="zh-CN"/>
        </w:rPr>
      </w:pPr>
    </w:p>
    <w:p w14:paraId="5FE9579B" w14:textId="05EA93C9"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As we see in Figure </w:t>
      </w:r>
      <w:r>
        <w:rPr>
          <w:rFonts w:eastAsiaTheme="minorEastAsia" w:hint="eastAsia"/>
          <w:lang w:val="en-US" w:eastAsia="zh-CN"/>
        </w:rPr>
        <w:t>3-</w:t>
      </w:r>
      <w:r w:rsidRPr="00AC6D19">
        <w:rPr>
          <w:rFonts w:eastAsiaTheme="minorEastAsia"/>
          <w:lang w:val="en-US" w:eastAsia="zh-CN"/>
        </w:rPr>
        <w:t>3, there are significant differences in the impact of debt levels on recommendations of different financial products. Specifically, the coefficients on debt for ETFs, Seg funds, and MFs are positive and statistically significant, suggesting that advisors are more inclined to recommend these highly liquid or flexible investment products in high debt scenarios. This phenomenon may reflect the existence of a preference for these more liquid and volatile products among advisors with a higher propensity for debt. In contrast, the negative debt coefficients for products such as IL-GIC, RRSP, and TFSA indicate that advisors are not inclined to recommend these more robust, but relatively illiquid, long-term investment products in high-debt scenarios. This behaviour may stem from advisers' reservations about longer-term commitments in a high debt state, and thus a greater tendency to avoid these options with some constraints on liquidity and to pursue products that are more risky and liquid.</w:t>
      </w:r>
    </w:p>
    <w:p w14:paraId="15D2C45B" w14:textId="77777777"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The advisor's incentive structure is not perfectly aligned with the client's goals, and this incentive structure significantly affects the advisor's recommendation outcomes. Specifically, advisors tend to receive higher commissions for selling higher-priced products that typically generate lower risk-adjusted returns for clients. Our research suggests that these external incentives interact with advisors' own financial pressures to exacerbate their propensity to recommend risky products, especially if their personal debt levels are high.</w:t>
      </w:r>
    </w:p>
    <w:p w14:paraId="14BAA08D" w14:textId="51C391E0" w:rsidR="00DB113E"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As we hypothesise, the accumulation of debt levels creates a degree of ‘financial anxiety’ for analysts, or a preference for leveraged and risky products that is clearly evidenced by the data. While advisors are supposed to act in the best interests of their clients, they are often under the impression that they are biased by their own factors and </w:t>
      </w:r>
      <w:r w:rsidRPr="00AC6D19">
        <w:rPr>
          <w:rFonts w:eastAsiaTheme="minorEastAsia"/>
          <w:lang w:val="en-US" w:eastAsia="zh-CN"/>
        </w:rPr>
        <w:lastRenderedPageBreak/>
        <w:t>make biased recommendations. This bias is difficult for clients to detect, as they generally lack the necessary financial literacy and sophistication.</w:t>
      </w:r>
    </w:p>
    <w:p w14:paraId="69AB530B" w14:textId="77777777" w:rsidR="00DB113E" w:rsidRPr="00AC6D19" w:rsidRDefault="00DB113E" w:rsidP="00AC6D19">
      <w:pPr>
        <w:pStyle w:val="ae"/>
        <w:ind w:firstLineChars="200" w:firstLine="480"/>
        <w:rPr>
          <w:rFonts w:eastAsiaTheme="minorEastAsia" w:hint="eastAsia"/>
          <w:lang w:val="en-US" w:eastAsia="zh-CN"/>
        </w:rPr>
      </w:pPr>
    </w:p>
    <w:p w14:paraId="1B62215A" w14:textId="77777777" w:rsidR="00DB113E" w:rsidRDefault="00DB113E" w:rsidP="00643D67">
      <w:pPr>
        <w:jc w:val="both"/>
        <w:rPr>
          <w:rFonts w:asciiTheme="minorHAnsi" w:eastAsiaTheme="minorEastAsia" w:hAnsiTheme="minorHAnsi"/>
          <w:b/>
          <w:bCs/>
          <w:color w:val="000000" w:themeColor="text1"/>
          <w:lang w:val="en-US" w:eastAsia="zh-CN"/>
        </w:rPr>
      </w:pPr>
    </w:p>
    <w:p w14:paraId="3ACB75E7" w14:textId="77777777" w:rsidR="00FA793B" w:rsidRPr="00FA793B" w:rsidRDefault="00FA793B" w:rsidP="00643D67">
      <w:pPr>
        <w:jc w:val="both"/>
        <w:rPr>
          <w:rFonts w:asciiTheme="minorHAnsi" w:eastAsiaTheme="minorEastAsia" w:hAnsiTheme="minorHAnsi" w:hint="eastAsia"/>
          <w:b/>
          <w:bCs/>
          <w:color w:val="000000" w:themeColor="text1"/>
          <w:lang w:val="en-US" w:eastAsia="zh-CN"/>
        </w:rPr>
      </w:pPr>
    </w:p>
    <w:p w14:paraId="6A3C2A57" w14:textId="77777777" w:rsidR="00DB113E" w:rsidRDefault="00DB113E" w:rsidP="00643D67">
      <w:pPr>
        <w:jc w:val="both"/>
        <w:rPr>
          <w:rFonts w:asciiTheme="minorHAnsi" w:eastAsiaTheme="minorEastAsia" w:hAnsiTheme="minorHAnsi"/>
          <w:b/>
          <w:bCs/>
          <w:color w:val="000000" w:themeColor="text1"/>
          <w:lang w:val="en-US" w:eastAsia="zh-CN"/>
        </w:rPr>
      </w:pPr>
    </w:p>
    <w:p w14:paraId="7A056394" w14:textId="77777777" w:rsidR="00DB113E" w:rsidRDefault="00DB113E" w:rsidP="00643D67">
      <w:pPr>
        <w:jc w:val="both"/>
        <w:rPr>
          <w:rFonts w:asciiTheme="minorHAnsi" w:eastAsiaTheme="minorEastAsia" w:hAnsiTheme="minorHAnsi"/>
          <w:b/>
          <w:bCs/>
          <w:color w:val="000000" w:themeColor="text1"/>
          <w:lang w:val="en-US" w:eastAsia="zh-CN"/>
        </w:rPr>
      </w:pPr>
    </w:p>
    <w:p w14:paraId="51613939" w14:textId="77777777" w:rsidR="00DB113E" w:rsidRDefault="00DB113E" w:rsidP="00643D67">
      <w:pPr>
        <w:jc w:val="both"/>
        <w:rPr>
          <w:rFonts w:asciiTheme="minorHAnsi" w:eastAsiaTheme="minorEastAsia" w:hAnsiTheme="minorHAnsi"/>
          <w:b/>
          <w:bCs/>
          <w:color w:val="000000" w:themeColor="text1"/>
          <w:lang w:val="en-US" w:eastAsia="zh-CN"/>
        </w:rPr>
      </w:pPr>
    </w:p>
    <w:p w14:paraId="554BDD73" w14:textId="77777777" w:rsidR="00DB113E" w:rsidRDefault="00DB113E" w:rsidP="00643D67">
      <w:pPr>
        <w:jc w:val="both"/>
        <w:rPr>
          <w:rFonts w:asciiTheme="minorHAnsi" w:eastAsiaTheme="minorEastAsia" w:hAnsiTheme="minorHAnsi"/>
          <w:b/>
          <w:bCs/>
          <w:color w:val="000000" w:themeColor="text1"/>
          <w:lang w:val="en-US" w:eastAsia="zh-CN"/>
        </w:rPr>
      </w:pPr>
    </w:p>
    <w:p w14:paraId="7E6A5682" w14:textId="5085B203" w:rsidR="00DB113E" w:rsidRPr="00DB113E" w:rsidRDefault="00DB113E" w:rsidP="00DB113E">
      <w:pPr>
        <w:rPr>
          <w:rFonts w:asciiTheme="minorHAnsi" w:eastAsiaTheme="minorEastAsia" w:hAnsiTheme="minorHAnsi" w:hint="eastAsia"/>
          <w:b/>
          <w:bCs/>
          <w:color w:val="000000" w:themeColor="text1"/>
          <w:lang w:val="en-US" w:eastAsia="zh-CN"/>
        </w:rPr>
      </w:pPr>
      <w:r>
        <w:rPr>
          <w:rFonts w:asciiTheme="minorHAnsi" w:eastAsiaTheme="minorEastAsia" w:hAnsiTheme="minorHAnsi"/>
          <w:b/>
          <w:bCs/>
          <w:color w:val="000000" w:themeColor="text1"/>
          <w:lang w:val="en-US" w:eastAsia="zh-CN"/>
        </w:rPr>
        <w:br w:type="page"/>
      </w:r>
    </w:p>
    <w:p w14:paraId="06674ED8" w14:textId="3E4B2F65" w:rsidR="00792408" w:rsidRDefault="00792408" w:rsidP="00792408">
      <w:pPr>
        <w:pStyle w:val="2"/>
        <w:rPr>
          <w:lang w:val="en-US"/>
        </w:rPr>
      </w:pPr>
      <w:r>
        <w:rPr>
          <w:lang w:val="en-US"/>
        </w:rPr>
        <w:lastRenderedPageBreak/>
        <w:t>Bibliography</w:t>
      </w:r>
    </w:p>
    <w:p w14:paraId="5FAB996F"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Bhattacharya, U., Hackethal, A., Kaesler, S., Loos, B., &amp; Meyer, S. (2012). "Is unbiased financial advice to retail investors sufficient? Answers from a large field study." Review of Financial Studies, 25(4), 975-1030.</w:t>
      </w:r>
    </w:p>
    <w:p w14:paraId="552A1941" w14:textId="77777777" w:rsidR="00E165DD" w:rsidRPr="00413EDC" w:rsidRDefault="00E165DD" w:rsidP="00E165DD">
      <w:pPr>
        <w:jc w:val="both"/>
        <w:rPr>
          <w:rFonts w:asciiTheme="minorHAnsi" w:hAnsiTheme="minorHAnsi"/>
          <w:lang w:val="en-US"/>
        </w:rPr>
      </w:pPr>
    </w:p>
    <w:p w14:paraId="4B17BBF6"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Calcagno, R., &amp; Monticone,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2443AF5" w14:textId="77777777" w:rsidR="00D13034" w:rsidRPr="00D9238E" w:rsidRDefault="00D13034" w:rsidP="00D9238E">
      <w:pPr>
        <w:pStyle w:val="a9"/>
        <w:numPr>
          <w:ilvl w:val="0"/>
          <w:numId w:val="6"/>
        </w:numPr>
        <w:rPr>
          <w:rFonts w:eastAsiaTheme="minorEastAsia"/>
          <w:lang w:eastAsia="zh-CN"/>
        </w:rPr>
      </w:pPr>
      <w:bookmarkStart w:id="0" w:name="_Ref182507026"/>
      <w:r w:rsidRPr="00D9238E">
        <w:rPr>
          <w:lang w:val="en-US"/>
        </w:rPr>
        <w:t xml:space="preserve">Gerrans, Paul, and Douglas A. Hershey. 2017. “Financial Adviser Anxiety, Financial Literacy, and Financial Advice Seeking.” </w:t>
      </w:r>
      <w:r w:rsidRPr="00D9238E">
        <w:rPr>
          <w:i/>
          <w:iCs/>
        </w:rPr>
        <w:t>Journal of Consumer Affairs</w:t>
      </w:r>
      <w:r>
        <w:t xml:space="preserve"> 51(1): 54–90. doi:</w:t>
      </w:r>
      <w:hyperlink r:id="rId10" w:history="1">
        <w:r w:rsidRPr="00D9238E">
          <w:rPr>
            <w:rStyle w:val="af"/>
            <w:rFonts w:eastAsiaTheme="majorEastAsia"/>
          </w:rPr>
          <w:t>10.1111/joca.12120</w:t>
        </w:r>
      </w:hyperlink>
      <w:r>
        <w:t>.</w:t>
      </w:r>
      <w:bookmarkEnd w:id="0"/>
    </w:p>
    <w:p w14:paraId="6E66888F" w14:textId="77777777" w:rsidR="00D13034" w:rsidRDefault="00D13034" w:rsidP="00D13034">
      <w:pPr>
        <w:rPr>
          <w:rFonts w:eastAsiaTheme="minorEastAsia"/>
          <w:lang w:eastAsia="zh-CN"/>
        </w:rPr>
      </w:pPr>
    </w:p>
    <w:p w14:paraId="10808091" w14:textId="43AC0929" w:rsidR="00D9238E" w:rsidRDefault="00D9238E" w:rsidP="00D9238E">
      <w:pPr>
        <w:pStyle w:val="a9"/>
        <w:numPr>
          <w:ilvl w:val="0"/>
          <w:numId w:val="6"/>
        </w:numPr>
        <w:rPr>
          <w:rFonts w:eastAsiaTheme="minorEastAsia"/>
          <w:lang w:eastAsia="zh-CN"/>
        </w:rPr>
      </w:pPr>
      <w:bookmarkStart w:id="1" w:name="_Ref182507149"/>
      <w:r w:rsidRPr="00D9238E">
        <w:rPr>
          <w:rFonts w:eastAsiaTheme="minorEastAsia"/>
          <w:lang w:val="en-US" w:eastAsia="zh-CN"/>
        </w:rPr>
        <w:t xml:space="preserve">Vijayakumar, J., Daniels, K.N. The Role and Impact of Financial Advisors in the Market for Municipal Bonds. </w:t>
      </w:r>
      <w:r w:rsidRPr="00D9238E">
        <w:rPr>
          <w:rFonts w:eastAsiaTheme="minorEastAsia"/>
          <w:lang w:eastAsia="zh-CN"/>
        </w:rPr>
        <w:t xml:space="preserve">J Finan Serv Res 30, 43–68 (2006). </w:t>
      </w:r>
      <w:hyperlink r:id="rId11" w:history="1">
        <w:r w:rsidRPr="00EF4874">
          <w:rPr>
            <w:rStyle w:val="af"/>
            <w:rFonts w:eastAsiaTheme="minorEastAsia"/>
            <w:lang w:eastAsia="zh-CN"/>
          </w:rPr>
          <w:t>https://doi.org/10.1007/s10693-006-8739-y</w:t>
        </w:r>
      </w:hyperlink>
      <w:bookmarkEnd w:id="1"/>
    </w:p>
    <w:p w14:paraId="3920BCF6" w14:textId="77777777" w:rsidR="00D9238E" w:rsidRPr="00D9238E" w:rsidRDefault="00D9238E" w:rsidP="00D9238E">
      <w:pPr>
        <w:pStyle w:val="a9"/>
        <w:rPr>
          <w:rFonts w:eastAsiaTheme="minorEastAsia" w:hint="eastAsia"/>
          <w:lang w:eastAsia="zh-CN"/>
        </w:rPr>
      </w:pPr>
    </w:p>
    <w:p w14:paraId="19C07A0E" w14:textId="77777777" w:rsidR="00034BBD" w:rsidRDefault="00D9238E" w:rsidP="00034BBD">
      <w:pPr>
        <w:pStyle w:val="a9"/>
        <w:numPr>
          <w:ilvl w:val="0"/>
          <w:numId w:val="6"/>
        </w:numPr>
        <w:rPr>
          <w:rFonts w:eastAsiaTheme="minorEastAsia"/>
          <w:lang w:eastAsia="zh-CN"/>
        </w:rPr>
      </w:pPr>
      <w:bookmarkStart w:id="2" w:name="_Ref182507101"/>
      <w:r w:rsidRPr="00D9238E">
        <w:rPr>
          <w:rFonts w:eastAsiaTheme="minorEastAsia"/>
          <w:lang w:val="en-US" w:eastAsia="zh-CN"/>
        </w:rPr>
        <w:t xml:space="preserve">The Quality of Financial Advice: What Influences Client Recommendations? </w:t>
      </w:r>
      <w:r w:rsidRPr="00D9238E">
        <w:rPr>
          <w:rFonts w:eastAsiaTheme="minorEastAsia"/>
          <w:lang w:eastAsia="zh-CN"/>
        </w:rPr>
        <w:t>(d’Astous et al., 2024)</w:t>
      </w:r>
      <w:bookmarkEnd w:id="2"/>
    </w:p>
    <w:p w14:paraId="08172010" w14:textId="77777777" w:rsidR="00034BBD" w:rsidRPr="00034BBD" w:rsidRDefault="00034BBD" w:rsidP="00034BBD">
      <w:pPr>
        <w:pStyle w:val="a9"/>
        <w:rPr>
          <w:lang w:val="en-US"/>
        </w:rPr>
      </w:pPr>
    </w:p>
    <w:p w14:paraId="14099D06" w14:textId="5CCF5A1A" w:rsidR="00034BBD" w:rsidRDefault="00034BBD" w:rsidP="00034BBD">
      <w:pPr>
        <w:pStyle w:val="a9"/>
        <w:numPr>
          <w:ilvl w:val="0"/>
          <w:numId w:val="6"/>
        </w:numPr>
        <w:rPr>
          <w:rFonts w:eastAsiaTheme="minorEastAsia"/>
          <w:lang w:eastAsia="zh-CN"/>
        </w:rPr>
      </w:pPr>
      <w:r w:rsidRPr="00034BBD">
        <w:rPr>
          <w:lang w:val="en-US"/>
        </w:rPr>
        <w:t xml:space="preserve">Egan, Mark, Gregor Matvos, and Amit Seru. 2024. “The Problem of Good Conduct among Financial Advisers.” </w:t>
      </w:r>
      <w:r w:rsidRPr="00034BBD">
        <w:rPr>
          <w:i/>
          <w:iCs/>
        </w:rPr>
        <w:t>Journal of Economic Perspectives</w:t>
      </w:r>
      <w:r>
        <w:t xml:space="preserve"> 38(4): 193–210. doi:</w:t>
      </w:r>
      <w:hyperlink r:id="rId12" w:history="1">
        <w:r w:rsidRPr="00034BBD">
          <w:rPr>
            <w:rStyle w:val="af"/>
            <w:rFonts w:eastAsiaTheme="majorEastAsia"/>
          </w:rPr>
          <w:t>10.1257/jep.38.4.193</w:t>
        </w:r>
      </w:hyperlink>
      <w:r>
        <w:t>.</w:t>
      </w:r>
    </w:p>
    <w:p w14:paraId="0FCC8D89" w14:textId="77777777" w:rsidR="00B5138E" w:rsidRPr="00B5138E" w:rsidRDefault="00B5138E" w:rsidP="00B5138E">
      <w:pPr>
        <w:pStyle w:val="a9"/>
        <w:rPr>
          <w:rFonts w:eastAsiaTheme="minorEastAsia" w:hint="eastAsia"/>
          <w:lang w:eastAsia="zh-CN"/>
        </w:rPr>
      </w:pPr>
    </w:p>
    <w:p w14:paraId="1BB1D1DB" w14:textId="45958052" w:rsidR="00B5138E" w:rsidRPr="00034BBD" w:rsidRDefault="00B5138E" w:rsidP="00034BBD">
      <w:pPr>
        <w:pStyle w:val="a9"/>
        <w:numPr>
          <w:ilvl w:val="0"/>
          <w:numId w:val="6"/>
        </w:numPr>
        <w:rPr>
          <w:rFonts w:eastAsiaTheme="minorEastAsia"/>
          <w:lang w:eastAsia="zh-CN"/>
        </w:rPr>
      </w:pPr>
      <w:r w:rsidRPr="00B5138E">
        <w:rPr>
          <w:rFonts w:eastAsiaTheme="minorEastAsia"/>
          <w:lang w:val="en-US" w:eastAsia="zh-CN"/>
        </w:rPr>
        <w:t xml:space="preserve">Egan, Mark, Shan Ge, and Johnny Tang. 2022. “Conflicting Interests and the Effect of Fiduciary Duty—Evidence from Variable Annuities.” </w:t>
      </w:r>
      <w:r w:rsidRPr="00B5138E">
        <w:rPr>
          <w:rFonts w:eastAsiaTheme="minorEastAsia"/>
          <w:lang w:eastAsia="zh-CN"/>
        </w:rPr>
        <w:t>Review of Financial Studies 35 (12): 5334–86.</w:t>
      </w:r>
    </w:p>
    <w:p w14:paraId="4F0E437E" w14:textId="77777777" w:rsidR="00034BBD" w:rsidRPr="00D9238E" w:rsidRDefault="00034BBD" w:rsidP="00034BBD">
      <w:pPr>
        <w:pStyle w:val="a9"/>
        <w:ind w:left="440"/>
        <w:rPr>
          <w:rFonts w:eastAsiaTheme="minorEastAsia" w:hint="eastAsia"/>
          <w:lang w:eastAsia="zh-CN"/>
        </w:rPr>
      </w:pPr>
    </w:p>
    <w:p w14:paraId="33D0EBBB" w14:textId="77777777" w:rsidR="00D9238E" w:rsidRDefault="00D9238E" w:rsidP="00D13034">
      <w:pPr>
        <w:rPr>
          <w:rFonts w:eastAsiaTheme="minorEastAsia" w:hint="eastAsia"/>
          <w:lang w:eastAsia="zh-CN"/>
        </w:rPr>
      </w:pPr>
    </w:p>
    <w:p w14:paraId="6B41AE61" w14:textId="77777777" w:rsidR="00D13034" w:rsidRPr="00D13034" w:rsidRDefault="00D13034" w:rsidP="00D13034">
      <w:pPr>
        <w:rPr>
          <w:rFonts w:eastAsiaTheme="minorEastAsia" w:hint="eastAsia"/>
          <w:lang w:eastAsia="zh-CN"/>
        </w:rPr>
      </w:pPr>
    </w:p>
    <w:p w14:paraId="70366AAD" w14:textId="77777777" w:rsidR="00E165DD" w:rsidRPr="00D9238E" w:rsidRDefault="00E165DD" w:rsidP="00E165DD">
      <w:pPr>
        <w:jc w:val="both"/>
        <w:rPr>
          <w:rFonts w:asciiTheme="minorHAnsi" w:hAnsiTheme="minorHAnsi"/>
        </w:rPr>
      </w:pPr>
    </w:p>
    <w:p w14:paraId="104BAC23" w14:textId="63E6EE58" w:rsidR="00E165DD" w:rsidRDefault="00E165DD" w:rsidP="00E165DD">
      <w:pPr>
        <w:pStyle w:val="2"/>
        <w:rPr>
          <w:lang w:val="en-US"/>
        </w:rPr>
      </w:pPr>
      <w:r>
        <w:rPr>
          <w:lang w:val="en-US"/>
        </w:rPr>
        <w:t xml:space="preserve">Annexe: </w:t>
      </w:r>
    </w:p>
    <w:p w14:paraId="0EFC7147" w14:textId="15B398C5" w:rsidR="00E165DD" w:rsidRPr="008C6B3A" w:rsidRDefault="008C6B3A" w:rsidP="00E165DD">
      <w:pPr>
        <w:rPr>
          <w:rFonts w:eastAsiaTheme="minorEastAsia" w:hint="eastAsia"/>
          <w:lang w:val="en-US" w:eastAsia="zh-CN"/>
        </w:rPr>
      </w:pPr>
      <w:r>
        <w:rPr>
          <w:rFonts w:eastAsiaTheme="minorEastAsia" w:hint="eastAsia"/>
          <w:lang w:val="en-US" w:eastAsia="zh-CN"/>
        </w:rPr>
        <w:t xml:space="preserve">MNLogit Regression Results </w:t>
      </w:r>
    </w:p>
    <w:p w14:paraId="1AD2491D" w14:textId="09099FA7" w:rsidR="00E165DD" w:rsidRPr="004141D8" w:rsidRDefault="00AC6D19" w:rsidP="004141D8">
      <w:pPr>
        <w:rPr>
          <w:lang w:val="en-US"/>
        </w:rPr>
      </w:pPr>
      <w:r>
        <w:rPr>
          <w:noProof/>
          <w14:ligatures w14:val="standardContextual"/>
        </w:rPr>
        <w:lastRenderedPageBreak/>
        <w:drawing>
          <wp:inline distT="0" distB="0" distL="0" distR="0" wp14:anchorId="513E9053" wp14:editId="6EFFBC47">
            <wp:extent cx="5486400" cy="7428230"/>
            <wp:effectExtent l="0" t="0" r="0" b="1270"/>
            <wp:docPr id="84472620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6205" name="图片 1" descr="表格&#10;&#10;描述已自动生成"/>
                    <pic:cNvPicPr/>
                  </pic:nvPicPr>
                  <pic:blipFill>
                    <a:blip r:embed="rId13"/>
                    <a:stretch>
                      <a:fillRect/>
                    </a:stretch>
                  </pic:blipFill>
                  <pic:spPr>
                    <a:xfrm>
                      <a:off x="0" y="0"/>
                      <a:ext cx="5486400" cy="7428230"/>
                    </a:xfrm>
                    <a:prstGeom prst="rect">
                      <a:avLst/>
                    </a:prstGeom>
                  </pic:spPr>
                </pic:pic>
              </a:graphicData>
            </a:graphic>
          </wp:inline>
        </w:drawing>
      </w:r>
    </w:p>
    <w:p w14:paraId="16970FC8" w14:textId="762B256D" w:rsidR="00792408" w:rsidRDefault="00AC6D19"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315B8FBB" wp14:editId="75C35AA7">
            <wp:extent cx="5486400" cy="6137910"/>
            <wp:effectExtent l="0" t="0" r="0" b="0"/>
            <wp:docPr id="14786788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8839" name="图片 1" descr="表格&#10;&#10;描述已自动生成"/>
                    <pic:cNvPicPr/>
                  </pic:nvPicPr>
                  <pic:blipFill>
                    <a:blip r:embed="rId14"/>
                    <a:stretch>
                      <a:fillRect/>
                    </a:stretch>
                  </pic:blipFill>
                  <pic:spPr>
                    <a:xfrm>
                      <a:off x="0" y="0"/>
                      <a:ext cx="5486400" cy="6137910"/>
                    </a:xfrm>
                    <a:prstGeom prst="rect">
                      <a:avLst/>
                    </a:prstGeom>
                  </pic:spPr>
                </pic:pic>
              </a:graphicData>
            </a:graphic>
          </wp:inline>
        </w:drawing>
      </w:r>
      <w:r w:rsidR="008C6B3A">
        <w:rPr>
          <w:noProof/>
          <w14:ligatures w14:val="standardContextual"/>
        </w:rPr>
        <w:lastRenderedPageBreak/>
        <w:drawing>
          <wp:inline distT="0" distB="0" distL="0" distR="0" wp14:anchorId="7047B317" wp14:editId="2E763697">
            <wp:extent cx="5486400" cy="5889625"/>
            <wp:effectExtent l="0" t="0" r="0" b="0"/>
            <wp:docPr id="18115806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80642" name="图片 1" descr="表格&#10;&#10;描述已自动生成"/>
                    <pic:cNvPicPr/>
                  </pic:nvPicPr>
                  <pic:blipFill>
                    <a:blip r:embed="rId15"/>
                    <a:stretch>
                      <a:fillRect/>
                    </a:stretch>
                  </pic:blipFill>
                  <pic:spPr>
                    <a:xfrm>
                      <a:off x="0" y="0"/>
                      <a:ext cx="5486400" cy="5889625"/>
                    </a:xfrm>
                    <a:prstGeom prst="rect">
                      <a:avLst/>
                    </a:prstGeom>
                  </pic:spPr>
                </pic:pic>
              </a:graphicData>
            </a:graphic>
          </wp:inline>
        </w:drawing>
      </w:r>
    </w:p>
    <w:p w14:paraId="6CED4D71" w14:textId="467BBD1F" w:rsidR="008C6B3A" w:rsidRDefault="008C6B3A" w:rsidP="00E165DD">
      <w:pPr>
        <w:jc w:val="both"/>
        <w:rPr>
          <w:rFonts w:asciiTheme="minorHAnsi" w:eastAsiaTheme="minorEastAsia" w:hAnsiTheme="minorHAnsi" w:hint="eastAsia"/>
          <w:color w:val="000000" w:themeColor="text1"/>
          <w:lang w:val="en-US" w:eastAsia="zh-CN"/>
        </w:rPr>
      </w:pPr>
      <w:r>
        <w:rPr>
          <w:noProof/>
          <w14:ligatures w14:val="standardContextual"/>
        </w:rPr>
        <w:lastRenderedPageBreak/>
        <w:drawing>
          <wp:inline distT="0" distB="0" distL="0" distR="0" wp14:anchorId="141318F8" wp14:editId="2B41076E">
            <wp:extent cx="5486400" cy="7150100"/>
            <wp:effectExtent l="0" t="0" r="0" b="0"/>
            <wp:docPr id="625934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432" name="图片 1" descr="表格&#10;&#10;描述已自动生成"/>
                    <pic:cNvPicPr/>
                  </pic:nvPicPr>
                  <pic:blipFill>
                    <a:blip r:embed="rId16"/>
                    <a:stretch>
                      <a:fillRect/>
                    </a:stretch>
                  </pic:blipFill>
                  <pic:spPr>
                    <a:xfrm>
                      <a:off x="0" y="0"/>
                      <a:ext cx="5486400" cy="7150100"/>
                    </a:xfrm>
                    <a:prstGeom prst="rect">
                      <a:avLst/>
                    </a:prstGeom>
                  </pic:spPr>
                </pic:pic>
              </a:graphicData>
            </a:graphic>
          </wp:inline>
        </w:drawing>
      </w:r>
    </w:p>
    <w:p w14:paraId="47739E76" w14:textId="45EB7D1A" w:rsidR="00AC6D19" w:rsidRPr="00AC6D19" w:rsidRDefault="00AC6D19" w:rsidP="00E165DD">
      <w:pPr>
        <w:jc w:val="both"/>
        <w:rPr>
          <w:rFonts w:asciiTheme="minorHAnsi" w:eastAsiaTheme="minorEastAsia" w:hAnsiTheme="minorHAnsi" w:hint="eastAsia"/>
          <w:color w:val="000000" w:themeColor="text1"/>
          <w:lang w:val="en-US" w:eastAsia="zh-CN"/>
        </w:rPr>
      </w:pPr>
    </w:p>
    <w:sectPr w:rsidR="00AC6D19" w:rsidRPr="00AC6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D1C67" w14:textId="77777777" w:rsidR="00296644" w:rsidRDefault="00296644" w:rsidP="00D9238E">
      <w:r>
        <w:separator/>
      </w:r>
    </w:p>
  </w:endnote>
  <w:endnote w:type="continuationSeparator" w:id="0">
    <w:p w14:paraId="4E71E7E8" w14:textId="77777777" w:rsidR="00296644" w:rsidRDefault="00296644" w:rsidP="00D9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1A872" w14:textId="77777777" w:rsidR="00296644" w:rsidRDefault="00296644" w:rsidP="00D9238E">
      <w:r>
        <w:separator/>
      </w:r>
    </w:p>
  </w:footnote>
  <w:footnote w:type="continuationSeparator" w:id="0">
    <w:p w14:paraId="285DF00D" w14:textId="77777777" w:rsidR="00296644" w:rsidRDefault="00296644" w:rsidP="00D9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D96988"/>
    <w:multiLevelType w:val="hybridMultilevel"/>
    <w:tmpl w:val="8FF882C8"/>
    <w:lvl w:ilvl="0" w:tplc="13261E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5"/>
  </w:num>
  <w:num w:numId="3" w16cid:durableId="169103800">
    <w:abstractNumId w:val="0"/>
  </w:num>
  <w:num w:numId="4" w16cid:durableId="1530680518">
    <w:abstractNumId w:val="1"/>
  </w:num>
  <w:num w:numId="5" w16cid:durableId="209732030">
    <w:abstractNumId w:val="2"/>
  </w:num>
  <w:num w:numId="6" w16cid:durableId="131637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34BBD"/>
    <w:rsid w:val="000428B7"/>
    <w:rsid w:val="00151584"/>
    <w:rsid w:val="00155E22"/>
    <w:rsid w:val="001C492D"/>
    <w:rsid w:val="00296644"/>
    <w:rsid w:val="002F71A8"/>
    <w:rsid w:val="00301100"/>
    <w:rsid w:val="0033013F"/>
    <w:rsid w:val="003E056A"/>
    <w:rsid w:val="004141D8"/>
    <w:rsid w:val="004E157A"/>
    <w:rsid w:val="006030CE"/>
    <w:rsid w:val="00643D67"/>
    <w:rsid w:val="006942EE"/>
    <w:rsid w:val="00792408"/>
    <w:rsid w:val="0079464A"/>
    <w:rsid w:val="007A0EEA"/>
    <w:rsid w:val="007E60B2"/>
    <w:rsid w:val="008C6B3A"/>
    <w:rsid w:val="009E46CD"/>
    <w:rsid w:val="00AA601E"/>
    <w:rsid w:val="00AC6D19"/>
    <w:rsid w:val="00B5138E"/>
    <w:rsid w:val="00C26981"/>
    <w:rsid w:val="00D13034"/>
    <w:rsid w:val="00D559EE"/>
    <w:rsid w:val="00D9238E"/>
    <w:rsid w:val="00DB113E"/>
    <w:rsid w:val="00E165DD"/>
    <w:rsid w:val="00F5345B"/>
    <w:rsid w:val="00FA793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100"/>
    <w:rPr>
      <w:rFonts w:ascii="Times New Roman" w:eastAsia="Times New Roman" w:hAnsi="Times New Roman" w:cs="Times New Roman"/>
      <w:kern w:val="0"/>
      <w:lang w:eastAsia="fr-CA"/>
      <w14:ligatures w14:val="none"/>
    </w:rPr>
  </w:style>
  <w:style w:type="paragraph" w:styleId="1">
    <w:name w:val="heading 1"/>
    <w:basedOn w:val="a"/>
    <w:next w:val="a"/>
    <w:link w:val="10"/>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10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0110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0110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01100"/>
    <w:rPr>
      <w:rFonts w:eastAsiaTheme="majorEastAsia" w:cstheme="majorBidi"/>
      <w:i/>
      <w:iCs/>
      <w:color w:val="0F4761" w:themeColor="accent1" w:themeShade="BF"/>
    </w:rPr>
  </w:style>
  <w:style w:type="character" w:customStyle="1" w:styleId="50">
    <w:name w:val="标题 5 字符"/>
    <w:basedOn w:val="a0"/>
    <w:link w:val="5"/>
    <w:uiPriority w:val="9"/>
    <w:semiHidden/>
    <w:rsid w:val="00301100"/>
    <w:rPr>
      <w:rFonts w:eastAsiaTheme="majorEastAsia" w:cstheme="majorBidi"/>
      <w:color w:val="0F4761" w:themeColor="accent1" w:themeShade="BF"/>
    </w:rPr>
  </w:style>
  <w:style w:type="character" w:customStyle="1" w:styleId="60">
    <w:name w:val="标题 6 字符"/>
    <w:basedOn w:val="a0"/>
    <w:link w:val="6"/>
    <w:uiPriority w:val="9"/>
    <w:semiHidden/>
    <w:rsid w:val="00301100"/>
    <w:rPr>
      <w:rFonts w:eastAsiaTheme="majorEastAsia" w:cstheme="majorBidi"/>
      <w:i/>
      <w:iCs/>
      <w:color w:val="595959" w:themeColor="text1" w:themeTint="A6"/>
    </w:rPr>
  </w:style>
  <w:style w:type="character" w:customStyle="1" w:styleId="70">
    <w:name w:val="标题 7 字符"/>
    <w:basedOn w:val="a0"/>
    <w:link w:val="7"/>
    <w:uiPriority w:val="9"/>
    <w:semiHidden/>
    <w:rsid w:val="00301100"/>
    <w:rPr>
      <w:rFonts w:eastAsiaTheme="majorEastAsia" w:cstheme="majorBidi"/>
      <w:color w:val="595959" w:themeColor="text1" w:themeTint="A6"/>
    </w:rPr>
  </w:style>
  <w:style w:type="character" w:customStyle="1" w:styleId="80">
    <w:name w:val="标题 8 字符"/>
    <w:basedOn w:val="a0"/>
    <w:link w:val="8"/>
    <w:uiPriority w:val="9"/>
    <w:semiHidden/>
    <w:rsid w:val="00301100"/>
    <w:rPr>
      <w:rFonts w:eastAsiaTheme="majorEastAsia" w:cstheme="majorBidi"/>
      <w:i/>
      <w:iCs/>
      <w:color w:val="272727" w:themeColor="text1" w:themeTint="D8"/>
    </w:rPr>
  </w:style>
  <w:style w:type="character" w:customStyle="1" w:styleId="90">
    <w:name w:val="标题 9 字符"/>
    <w:basedOn w:val="a0"/>
    <w:link w:val="9"/>
    <w:uiPriority w:val="9"/>
    <w:semiHidden/>
    <w:rsid w:val="00301100"/>
    <w:rPr>
      <w:rFonts w:eastAsiaTheme="majorEastAsia" w:cstheme="majorBidi"/>
      <w:color w:val="272727" w:themeColor="text1" w:themeTint="D8"/>
    </w:rPr>
  </w:style>
  <w:style w:type="paragraph" w:styleId="a3">
    <w:name w:val="Title"/>
    <w:basedOn w:val="a"/>
    <w:next w:val="a"/>
    <w:link w:val="a4"/>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011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1100"/>
    <w:pPr>
      <w:spacing w:before="160" w:after="160"/>
      <w:jc w:val="center"/>
    </w:pPr>
    <w:rPr>
      <w:i/>
      <w:iCs/>
      <w:color w:val="404040" w:themeColor="text1" w:themeTint="BF"/>
    </w:rPr>
  </w:style>
  <w:style w:type="character" w:customStyle="1" w:styleId="a8">
    <w:name w:val="引用 字符"/>
    <w:basedOn w:val="a0"/>
    <w:link w:val="a7"/>
    <w:uiPriority w:val="29"/>
    <w:rsid w:val="00301100"/>
    <w:rPr>
      <w:i/>
      <w:iCs/>
      <w:color w:val="404040" w:themeColor="text1" w:themeTint="BF"/>
    </w:rPr>
  </w:style>
  <w:style w:type="paragraph" w:styleId="a9">
    <w:name w:val="List Paragraph"/>
    <w:basedOn w:val="a"/>
    <w:uiPriority w:val="34"/>
    <w:qFormat/>
    <w:rsid w:val="00301100"/>
    <w:pPr>
      <w:ind w:left="720"/>
      <w:contextualSpacing/>
    </w:pPr>
  </w:style>
  <w:style w:type="character" w:styleId="aa">
    <w:name w:val="Intense Emphasis"/>
    <w:basedOn w:val="a0"/>
    <w:uiPriority w:val="21"/>
    <w:qFormat/>
    <w:rsid w:val="00301100"/>
    <w:rPr>
      <w:i/>
      <w:iCs/>
      <w:color w:val="0F4761" w:themeColor="accent1" w:themeShade="BF"/>
    </w:rPr>
  </w:style>
  <w:style w:type="paragraph" w:styleId="ab">
    <w:name w:val="Intense Quote"/>
    <w:basedOn w:val="a"/>
    <w:next w:val="a"/>
    <w:link w:val="ac"/>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100"/>
    <w:rPr>
      <w:i/>
      <w:iCs/>
      <w:color w:val="0F4761" w:themeColor="accent1" w:themeShade="BF"/>
    </w:rPr>
  </w:style>
  <w:style w:type="character" w:styleId="ad">
    <w:name w:val="Intense Reference"/>
    <w:basedOn w:val="a0"/>
    <w:uiPriority w:val="32"/>
    <w:qFormat/>
    <w:rsid w:val="00301100"/>
    <w:rPr>
      <w:b/>
      <w:bCs/>
      <w:smallCaps/>
      <w:color w:val="0F4761" w:themeColor="accent1" w:themeShade="BF"/>
      <w:spacing w:val="5"/>
    </w:rPr>
  </w:style>
  <w:style w:type="paragraph" w:styleId="ae">
    <w:name w:val="Normal (Web)"/>
    <w:basedOn w:val="a"/>
    <w:uiPriority w:val="99"/>
    <w:semiHidden/>
    <w:unhideWhenUsed/>
    <w:rsid w:val="00301100"/>
  </w:style>
  <w:style w:type="character" w:styleId="af">
    <w:name w:val="Hyperlink"/>
    <w:basedOn w:val="a0"/>
    <w:uiPriority w:val="99"/>
    <w:unhideWhenUsed/>
    <w:rsid w:val="00151584"/>
    <w:rPr>
      <w:color w:val="467886" w:themeColor="hyperlink"/>
      <w:u w:val="single"/>
    </w:rPr>
  </w:style>
  <w:style w:type="character" w:styleId="af0">
    <w:name w:val="Unresolved Mention"/>
    <w:basedOn w:val="a0"/>
    <w:uiPriority w:val="99"/>
    <w:semiHidden/>
    <w:unhideWhenUsed/>
    <w:rsid w:val="00151584"/>
    <w:rPr>
      <w:color w:val="605E5C"/>
      <w:shd w:val="clear" w:color="auto" w:fill="E1DFDD"/>
    </w:rPr>
  </w:style>
  <w:style w:type="paragraph" w:styleId="af1">
    <w:name w:val="endnote text"/>
    <w:basedOn w:val="a"/>
    <w:link w:val="af2"/>
    <w:uiPriority w:val="99"/>
    <w:semiHidden/>
    <w:unhideWhenUsed/>
    <w:rsid w:val="00D9238E"/>
    <w:pPr>
      <w:snapToGrid w:val="0"/>
    </w:pPr>
  </w:style>
  <w:style w:type="character" w:customStyle="1" w:styleId="af2">
    <w:name w:val="尾注文本 字符"/>
    <w:basedOn w:val="a0"/>
    <w:link w:val="af1"/>
    <w:uiPriority w:val="99"/>
    <w:semiHidden/>
    <w:rsid w:val="00D9238E"/>
    <w:rPr>
      <w:rFonts w:ascii="Times New Roman" w:eastAsia="Times New Roman" w:hAnsi="Times New Roman" w:cs="Times New Roman"/>
      <w:kern w:val="0"/>
      <w:lang w:eastAsia="fr-CA"/>
      <w14:ligatures w14:val="none"/>
    </w:rPr>
  </w:style>
  <w:style w:type="character" w:styleId="af3">
    <w:name w:val="endnote reference"/>
    <w:basedOn w:val="a0"/>
    <w:uiPriority w:val="99"/>
    <w:semiHidden/>
    <w:unhideWhenUsed/>
    <w:rsid w:val="00D9238E"/>
    <w:rPr>
      <w:vertAlign w:val="superscript"/>
    </w:rPr>
  </w:style>
  <w:style w:type="character" w:styleId="HTML">
    <w:name w:val="HTML Code"/>
    <w:basedOn w:val="a0"/>
    <w:uiPriority w:val="99"/>
    <w:semiHidden/>
    <w:unhideWhenUsed/>
    <w:rsid w:val="006942EE"/>
    <w:rPr>
      <w:rFonts w:ascii="宋体" w:eastAsia="宋体" w:hAnsi="宋体" w:cs="宋体"/>
      <w:sz w:val="24"/>
      <w:szCs w:val="24"/>
    </w:rPr>
  </w:style>
  <w:style w:type="table" w:styleId="af4">
    <w:name w:val="Table Grid"/>
    <w:basedOn w:val="a1"/>
    <w:uiPriority w:val="39"/>
    <w:rsid w:val="00694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6942EE"/>
    <w:rPr>
      <w:b/>
      <w:bCs/>
    </w:rPr>
  </w:style>
  <w:style w:type="paragraph" w:styleId="af6">
    <w:name w:val="caption"/>
    <w:basedOn w:val="a"/>
    <w:next w:val="a"/>
    <w:uiPriority w:val="35"/>
    <w:unhideWhenUsed/>
    <w:qFormat/>
    <w:rsid w:val="003301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8">
      <w:bodyDiv w:val="1"/>
      <w:marLeft w:val="0"/>
      <w:marRight w:val="0"/>
      <w:marTop w:val="0"/>
      <w:marBottom w:val="0"/>
      <w:divBdr>
        <w:top w:val="none" w:sz="0" w:space="0" w:color="auto"/>
        <w:left w:val="none" w:sz="0" w:space="0" w:color="auto"/>
        <w:bottom w:val="none" w:sz="0" w:space="0" w:color="auto"/>
        <w:right w:val="none" w:sz="0" w:space="0" w:color="auto"/>
      </w:divBdr>
    </w:div>
    <w:div w:id="5774806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94">
          <w:marLeft w:val="0"/>
          <w:marRight w:val="0"/>
          <w:marTop w:val="0"/>
          <w:marBottom w:val="0"/>
          <w:divBdr>
            <w:top w:val="none" w:sz="0" w:space="0" w:color="auto"/>
            <w:left w:val="none" w:sz="0" w:space="0" w:color="auto"/>
            <w:bottom w:val="none" w:sz="0" w:space="0" w:color="auto"/>
            <w:right w:val="none" w:sz="0" w:space="0" w:color="auto"/>
          </w:divBdr>
          <w:divsChild>
            <w:div w:id="825432922">
              <w:marLeft w:val="0"/>
              <w:marRight w:val="0"/>
              <w:marTop w:val="0"/>
              <w:marBottom w:val="0"/>
              <w:divBdr>
                <w:top w:val="none" w:sz="0" w:space="0" w:color="auto"/>
                <w:left w:val="none" w:sz="0" w:space="0" w:color="auto"/>
                <w:bottom w:val="none" w:sz="0" w:space="0" w:color="auto"/>
                <w:right w:val="none" w:sz="0" w:space="0" w:color="auto"/>
              </w:divBdr>
              <w:divsChild>
                <w:div w:id="2048486222">
                  <w:marLeft w:val="0"/>
                  <w:marRight w:val="0"/>
                  <w:marTop w:val="0"/>
                  <w:marBottom w:val="0"/>
                  <w:divBdr>
                    <w:top w:val="none" w:sz="0" w:space="0" w:color="auto"/>
                    <w:left w:val="none" w:sz="0" w:space="0" w:color="auto"/>
                    <w:bottom w:val="none" w:sz="0" w:space="0" w:color="auto"/>
                    <w:right w:val="none" w:sz="0" w:space="0" w:color="auto"/>
                  </w:divBdr>
                  <w:divsChild>
                    <w:div w:id="808866024">
                      <w:marLeft w:val="0"/>
                      <w:marRight w:val="0"/>
                      <w:marTop w:val="0"/>
                      <w:marBottom w:val="0"/>
                      <w:divBdr>
                        <w:top w:val="single" w:sz="6" w:space="0" w:color="auto"/>
                        <w:left w:val="single" w:sz="6" w:space="0" w:color="auto"/>
                        <w:bottom w:val="single" w:sz="6" w:space="0" w:color="auto"/>
                        <w:right w:val="single" w:sz="6" w:space="0" w:color="auto"/>
                      </w:divBdr>
                      <w:divsChild>
                        <w:div w:id="1942106333">
                          <w:marLeft w:val="0"/>
                          <w:marRight w:val="0"/>
                          <w:marTop w:val="0"/>
                          <w:marBottom w:val="0"/>
                          <w:divBdr>
                            <w:top w:val="none" w:sz="0" w:space="0" w:color="auto"/>
                            <w:left w:val="none" w:sz="0" w:space="0" w:color="auto"/>
                            <w:bottom w:val="none" w:sz="0" w:space="0" w:color="auto"/>
                            <w:right w:val="none" w:sz="0" w:space="0" w:color="auto"/>
                          </w:divBdr>
                          <w:divsChild>
                            <w:div w:id="1795438118">
                              <w:marLeft w:val="0"/>
                              <w:marRight w:val="0"/>
                              <w:marTop w:val="0"/>
                              <w:marBottom w:val="0"/>
                              <w:divBdr>
                                <w:top w:val="none" w:sz="0" w:space="0" w:color="auto"/>
                                <w:left w:val="none" w:sz="0" w:space="0" w:color="auto"/>
                                <w:bottom w:val="none" w:sz="0" w:space="0" w:color="auto"/>
                                <w:right w:val="none" w:sz="0" w:space="0" w:color="auto"/>
                              </w:divBdr>
                            </w:div>
                            <w:div w:id="2041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33456">
          <w:marLeft w:val="0"/>
          <w:marRight w:val="0"/>
          <w:marTop w:val="0"/>
          <w:marBottom w:val="0"/>
          <w:divBdr>
            <w:top w:val="none" w:sz="0" w:space="0" w:color="auto"/>
            <w:left w:val="none" w:sz="0" w:space="0" w:color="auto"/>
            <w:bottom w:val="none" w:sz="0" w:space="0" w:color="auto"/>
            <w:right w:val="none" w:sz="0" w:space="0" w:color="auto"/>
          </w:divBdr>
          <w:divsChild>
            <w:div w:id="731854500">
              <w:marLeft w:val="0"/>
              <w:marRight w:val="0"/>
              <w:marTop w:val="0"/>
              <w:marBottom w:val="0"/>
              <w:divBdr>
                <w:top w:val="none" w:sz="0" w:space="0" w:color="auto"/>
                <w:left w:val="none" w:sz="0" w:space="0" w:color="auto"/>
                <w:bottom w:val="none" w:sz="0" w:space="0" w:color="auto"/>
                <w:right w:val="none" w:sz="0" w:space="0" w:color="auto"/>
              </w:divBdr>
              <w:divsChild>
                <w:div w:id="201865898">
                  <w:marLeft w:val="0"/>
                  <w:marRight w:val="0"/>
                  <w:marTop w:val="0"/>
                  <w:marBottom w:val="0"/>
                  <w:divBdr>
                    <w:top w:val="none" w:sz="0" w:space="0" w:color="auto"/>
                    <w:left w:val="none" w:sz="0" w:space="0" w:color="auto"/>
                    <w:bottom w:val="none" w:sz="0" w:space="0" w:color="auto"/>
                    <w:right w:val="none" w:sz="0" w:space="0" w:color="auto"/>
                  </w:divBdr>
                  <w:divsChild>
                    <w:div w:id="1489050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3545031">
          <w:marLeft w:val="0"/>
          <w:marRight w:val="0"/>
          <w:marTop w:val="0"/>
          <w:marBottom w:val="0"/>
          <w:divBdr>
            <w:top w:val="none" w:sz="0" w:space="0" w:color="auto"/>
            <w:left w:val="none" w:sz="0" w:space="0" w:color="auto"/>
            <w:bottom w:val="none" w:sz="0" w:space="0" w:color="auto"/>
            <w:right w:val="none" w:sz="0" w:space="0" w:color="auto"/>
          </w:divBdr>
          <w:divsChild>
            <w:div w:id="300619441">
              <w:marLeft w:val="0"/>
              <w:marRight w:val="0"/>
              <w:marTop w:val="0"/>
              <w:marBottom w:val="0"/>
              <w:divBdr>
                <w:top w:val="none" w:sz="0" w:space="0" w:color="auto"/>
                <w:left w:val="none" w:sz="0" w:space="0" w:color="auto"/>
                <w:bottom w:val="none" w:sz="0" w:space="0" w:color="auto"/>
                <w:right w:val="none" w:sz="0" w:space="0" w:color="auto"/>
              </w:divBdr>
              <w:divsChild>
                <w:div w:id="507254122">
                  <w:marLeft w:val="0"/>
                  <w:marRight w:val="0"/>
                  <w:marTop w:val="0"/>
                  <w:marBottom w:val="0"/>
                  <w:divBdr>
                    <w:top w:val="none" w:sz="0" w:space="0" w:color="auto"/>
                    <w:left w:val="none" w:sz="0" w:space="0" w:color="auto"/>
                    <w:bottom w:val="none" w:sz="0" w:space="0" w:color="auto"/>
                    <w:right w:val="none" w:sz="0" w:space="0" w:color="auto"/>
                  </w:divBdr>
                  <w:divsChild>
                    <w:div w:id="876162002">
                      <w:marLeft w:val="0"/>
                      <w:marRight w:val="0"/>
                      <w:marTop w:val="0"/>
                      <w:marBottom w:val="0"/>
                      <w:divBdr>
                        <w:top w:val="single" w:sz="6" w:space="0" w:color="auto"/>
                        <w:left w:val="single" w:sz="6" w:space="0" w:color="auto"/>
                        <w:bottom w:val="single" w:sz="6" w:space="0" w:color="auto"/>
                        <w:right w:val="single" w:sz="6" w:space="0" w:color="auto"/>
                      </w:divBdr>
                      <w:divsChild>
                        <w:div w:id="14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3895">
      <w:bodyDiv w:val="1"/>
      <w:marLeft w:val="0"/>
      <w:marRight w:val="0"/>
      <w:marTop w:val="0"/>
      <w:marBottom w:val="0"/>
      <w:divBdr>
        <w:top w:val="none" w:sz="0" w:space="0" w:color="auto"/>
        <w:left w:val="none" w:sz="0" w:space="0" w:color="auto"/>
        <w:bottom w:val="none" w:sz="0" w:space="0" w:color="auto"/>
        <w:right w:val="none" w:sz="0" w:space="0" w:color="auto"/>
      </w:divBdr>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4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701">
          <w:marLeft w:val="0"/>
          <w:marRight w:val="0"/>
          <w:marTop w:val="0"/>
          <w:marBottom w:val="0"/>
          <w:divBdr>
            <w:top w:val="none" w:sz="0" w:space="0" w:color="auto"/>
            <w:left w:val="none" w:sz="0" w:space="0" w:color="auto"/>
            <w:bottom w:val="none" w:sz="0" w:space="0" w:color="auto"/>
            <w:right w:val="none" w:sz="0" w:space="0" w:color="auto"/>
          </w:divBdr>
          <w:divsChild>
            <w:div w:id="841898532">
              <w:marLeft w:val="0"/>
              <w:marRight w:val="0"/>
              <w:marTop w:val="0"/>
              <w:marBottom w:val="0"/>
              <w:divBdr>
                <w:top w:val="none" w:sz="0" w:space="0" w:color="auto"/>
                <w:left w:val="none" w:sz="0" w:space="0" w:color="auto"/>
                <w:bottom w:val="none" w:sz="0" w:space="0" w:color="auto"/>
                <w:right w:val="none" w:sz="0" w:space="0" w:color="auto"/>
              </w:divBdr>
            </w:div>
            <w:div w:id="1121535572">
              <w:marLeft w:val="0"/>
              <w:marRight w:val="0"/>
              <w:marTop w:val="0"/>
              <w:marBottom w:val="0"/>
              <w:divBdr>
                <w:top w:val="none" w:sz="0" w:space="0" w:color="auto"/>
                <w:left w:val="none" w:sz="0" w:space="0" w:color="auto"/>
                <w:bottom w:val="none" w:sz="0" w:space="0" w:color="auto"/>
                <w:right w:val="none" w:sz="0" w:space="0" w:color="auto"/>
              </w:divBdr>
            </w:div>
            <w:div w:id="35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13149124">
      <w:bodyDiv w:val="1"/>
      <w:marLeft w:val="0"/>
      <w:marRight w:val="0"/>
      <w:marTop w:val="0"/>
      <w:marBottom w:val="0"/>
      <w:divBdr>
        <w:top w:val="none" w:sz="0" w:space="0" w:color="auto"/>
        <w:left w:val="none" w:sz="0" w:space="0" w:color="auto"/>
        <w:bottom w:val="none" w:sz="0" w:space="0" w:color="auto"/>
        <w:right w:val="none" w:sz="0" w:space="0" w:color="auto"/>
      </w:divBdr>
      <w:divsChild>
        <w:div w:id="777413958">
          <w:marLeft w:val="0"/>
          <w:marRight w:val="0"/>
          <w:marTop w:val="0"/>
          <w:marBottom w:val="0"/>
          <w:divBdr>
            <w:top w:val="none" w:sz="0" w:space="0" w:color="auto"/>
            <w:left w:val="none" w:sz="0" w:space="0" w:color="auto"/>
            <w:bottom w:val="none" w:sz="0" w:space="0" w:color="auto"/>
            <w:right w:val="none" w:sz="0" w:space="0" w:color="auto"/>
          </w:divBdr>
          <w:divsChild>
            <w:div w:id="1863934470">
              <w:marLeft w:val="0"/>
              <w:marRight w:val="0"/>
              <w:marTop w:val="0"/>
              <w:marBottom w:val="0"/>
              <w:divBdr>
                <w:top w:val="none" w:sz="0" w:space="0" w:color="auto"/>
                <w:left w:val="none" w:sz="0" w:space="0" w:color="auto"/>
                <w:bottom w:val="none" w:sz="0" w:space="0" w:color="auto"/>
                <w:right w:val="none" w:sz="0" w:space="0" w:color="auto"/>
              </w:divBdr>
              <w:divsChild>
                <w:div w:id="522551021">
                  <w:marLeft w:val="0"/>
                  <w:marRight w:val="0"/>
                  <w:marTop w:val="0"/>
                  <w:marBottom w:val="0"/>
                  <w:divBdr>
                    <w:top w:val="none" w:sz="0" w:space="0" w:color="auto"/>
                    <w:left w:val="none" w:sz="0" w:space="0" w:color="auto"/>
                    <w:bottom w:val="none" w:sz="0" w:space="0" w:color="auto"/>
                    <w:right w:val="none" w:sz="0" w:space="0" w:color="auto"/>
                  </w:divBdr>
                  <w:divsChild>
                    <w:div w:id="458455203">
                      <w:marLeft w:val="0"/>
                      <w:marRight w:val="0"/>
                      <w:marTop w:val="0"/>
                      <w:marBottom w:val="0"/>
                      <w:divBdr>
                        <w:top w:val="single" w:sz="6" w:space="0" w:color="auto"/>
                        <w:left w:val="single" w:sz="6" w:space="0" w:color="auto"/>
                        <w:bottom w:val="single" w:sz="6" w:space="0" w:color="auto"/>
                        <w:right w:val="single" w:sz="6" w:space="0" w:color="auto"/>
                      </w:divBdr>
                      <w:divsChild>
                        <w:div w:id="1149636730">
                          <w:marLeft w:val="0"/>
                          <w:marRight w:val="0"/>
                          <w:marTop w:val="0"/>
                          <w:marBottom w:val="0"/>
                          <w:divBdr>
                            <w:top w:val="none" w:sz="0" w:space="0" w:color="auto"/>
                            <w:left w:val="none" w:sz="0" w:space="0" w:color="auto"/>
                            <w:bottom w:val="none" w:sz="0" w:space="0" w:color="auto"/>
                            <w:right w:val="none" w:sz="0" w:space="0" w:color="auto"/>
                          </w:divBdr>
                          <w:divsChild>
                            <w:div w:id="334840446">
                              <w:marLeft w:val="0"/>
                              <w:marRight w:val="0"/>
                              <w:marTop w:val="0"/>
                              <w:marBottom w:val="0"/>
                              <w:divBdr>
                                <w:top w:val="none" w:sz="0" w:space="0" w:color="auto"/>
                                <w:left w:val="none" w:sz="0" w:space="0" w:color="auto"/>
                                <w:bottom w:val="none" w:sz="0" w:space="0" w:color="auto"/>
                                <w:right w:val="none" w:sz="0" w:space="0" w:color="auto"/>
                              </w:divBdr>
                            </w:div>
                            <w:div w:id="1998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769">
          <w:marLeft w:val="0"/>
          <w:marRight w:val="0"/>
          <w:marTop w:val="0"/>
          <w:marBottom w:val="0"/>
          <w:divBdr>
            <w:top w:val="none" w:sz="0" w:space="0" w:color="auto"/>
            <w:left w:val="none" w:sz="0" w:space="0" w:color="auto"/>
            <w:bottom w:val="none" w:sz="0" w:space="0" w:color="auto"/>
            <w:right w:val="none" w:sz="0" w:space="0" w:color="auto"/>
          </w:divBdr>
          <w:divsChild>
            <w:div w:id="1482578069">
              <w:marLeft w:val="0"/>
              <w:marRight w:val="0"/>
              <w:marTop w:val="0"/>
              <w:marBottom w:val="0"/>
              <w:divBdr>
                <w:top w:val="none" w:sz="0" w:space="0" w:color="auto"/>
                <w:left w:val="none" w:sz="0" w:space="0" w:color="auto"/>
                <w:bottom w:val="none" w:sz="0" w:space="0" w:color="auto"/>
                <w:right w:val="none" w:sz="0" w:space="0" w:color="auto"/>
              </w:divBdr>
              <w:divsChild>
                <w:div w:id="1475100325">
                  <w:marLeft w:val="0"/>
                  <w:marRight w:val="0"/>
                  <w:marTop w:val="0"/>
                  <w:marBottom w:val="0"/>
                  <w:divBdr>
                    <w:top w:val="none" w:sz="0" w:space="0" w:color="auto"/>
                    <w:left w:val="none" w:sz="0" w:space="0" w:color="auto"/>
                    <w:bottom w:val="none" w:sz="0" w:space="0" w:color="auto"/>
                    <w:right w:val="none" w:sz="0" w:space="0" w:color="auto"/>
                  </w:divBdr>
                  <w:divsChild>
                    <w:div w:id="1597054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2120561256">
              <w:marLeft w:val="0"/>
              <w:marRight w:val="0"/>
              <w:marTop w:val="0"/>
              <w:marBottom w:val="0"/>
              <w:divBdr>
                <w:top w:val="none" w:sz="0" w:space="0" w:color="auto"/>
                <w:left w:val="none" w:sz="0" w:space="0" w:color="auto"/>
                <w:bottom w:val="none" w:sz="0" w:space="0" w:color="auto"/>
                <w:right w:val="none" w:sz="0" w:space="0" w:color="auto"/>
              </w:divBdr>
              <w:divsChild>
                <w:div w:id="1713143737">
                  <w:marLeft w:val="0"/>
                  <w:marRight w:val="0"/>
                  <w:marTop w:val="0"/>
                  <w:marBottom w:val="0"/>
                  <w:divBdr>
                    <w:top w:val="none" w:sz="0" w:space="0" w:color="auto"/>
                    <w:left w:val="none" w:sz="0" w:space="0" w:color="auto"/>
                    <w:bottom w:val="none" w:sz="0" w:space="0" w:color="auto"/>
                    <w:right w:val="none" w:sz="0" w:space="0" w:color="auto"/>
                  </w:divBdr>
                  <w:divsChild>
                    <w:div w:id="920215791">
                      <w:marLeft w:val="0"/>
                      <w:marRight w:val="0"/>
                      <w:marTop w:val="0"/>
                      <w:marBottom w:val="0"/>
                      <w:divBdr>
                        <w:top w:val="single" w:sz="6" w:space="0" w:color="auto"/>
                        <w:left w:val="single" w:sz="6" w:space="0" w:color="auto"/>
                        <w:bottom w:val="single" w:sz="6" w:space="0" w:color="auto"/>
                        <w:right w:val="single" w:sz="6" w:space="0" w:color="auto"/>
                      </w:divBdr>
                      <w:divsChild>
                        <w:div w:id="79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2012">
      <w:bodyDiv w:val="1"/>
      <w:marLeft w:val="0"/>
      <w:marRight w:val="0"/>
      <w:marTop w:val="0"/>
      <w:marBottom w:val="0"/>
      <w:divBdr>
        <w:top w:val="none" w:sz="0" w:space="0" w:color="auto"/>
        <w:left w:val="none" w:sz="0" w:space="0" w:color="auto"/>
        <w:bottom w:val="none" w:sz="0" w:space="0" w:color="auto"/>
        <w:right w:val="none" w:sz="0" w:space="0" w:color="auto"/>
      </w:divBdr>
      <w:divsChild>
        <w:div w:id="1870533130">
          <w:marLeft w:val="480"/>
          <w:marRight w:val="0"/>
          <w:marTop w:val="0"/>
          <w:marBottom w:val="0"/>
          <w:divBdr>
            <w:top w:val="none" w:sz="0" w:space="0" w:color="auto"/>
            <w:left w:val="none" w:sz="0" w:space="0" w:color="auto"/>
            <w:bottom w:val="none" w:sz="0" w:space="0" w:color="auto"/>
            <w:right w:val="none" w:sz="0" w:space="0" w:color="auto"/>
          </w:divBdr>
          <w:divsChild>
            <w:div w:id="325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286">
      <w:bodyDiv w:val="1"/>
      <w:marLeft w:val="0"/>
      <w:marRight w:val="0"/>
      <w:marTop w:val="0"/>
      <w:marBottom w:val="0"/>
      <w:divBdr>
        <w:top w:val="none" w:sz="0" w:space="0" w:color="auto"/>
        <w:left w:val="none" w:sz="0" w:space="0" w:color="auto"/>
        <w:bottom w:val="none" w:sz="0" w:space="0" w:color="auto"/>
        <w:right w:val="none" w:sz="0" w:space="0" w:color="auto"/>
      </w:divBdr>
    </w:div>
    <w:div w:id="671178740">
      <w:bodyDiv w:val="1"/>
      <w:marLeft w:val="0"/>
      <w:marRight w:val="0"/>
      <w:marTop w:val="0"/>
      <w:marBottom w:val="0"/>
      <w:divBdr>
        <w:top w:val="none" w:sz="0" w:space="0" w:color="auto"/>
        <w:left w:val="none" w:sz="0" w:space="0" w:color="auto"/>
        <w:bottom w:val="none" w:sz="0" w:space="0" w:color="auto"/>
        <w:right w:val="none" w:sz="0" w:space="0" w:color="auto"/>
      </w:divBdr>
    </w:div>
    <w:div w:id="691223444">
      <w:bodyDiv w:val="1"/>
      <w:marLeft w:val="0"/>
      <w:marRight w:val="0"/>
      <w:marTop w:val="0"/>
      <w:marBottom w:val="0"/>
      <w:divBdr>
        <w:top w:val="none" w:sz="0" w:space="0" w:color="auto"/>
        <w:left w:val="none" w:sz="0" w:space="0" w:color="auto"/>
        <w:bottom w:val="none" w:sz="0" w:space="0" w:color="auto"/>
        <w:right w:val="none" w:sz="0" w:space="0" w:color="auto"/>
      </w:divBdr>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8705">
      <w:bodyDiv w:val="1"/>
      <w:marLeft w:val="0"/>
      <w:marRight w:val="0"/>
      <w:marTop w:val="0"/>
      <w:marBottom w:val="0"/>
      <w:divBdr>
        <w:top w:val="none" w:sz="0" w:space="0" w:color="auto"/>
        <w:left w:val="none" w:sz="0" w:space="0" w:color="auto"/>
        <w:bottom w:val="none" w:sz="0" w:space="0" w:color="auto"/>
        <w:right w:val="none" w:sz="0" w:space="0" w:color="auto"/>
      </w:divBdr>
    </w:div>
    <w:div w:id="894045345">
      <w:bodyDiv w:val="1"/>
      <w:marLeft w:val="0"/>
      <w:marRight w:val="0"/>
      <w:marTop w:val="0"/>
      <w:marBottom w:val="0"/>
      <w:divBdr>
        <w:top w:val="none" w:sz="0" w:space="0" w:color="auto"/>
        <w:left w:val="none" w:sz="0" w:space="0" w:color="auto"/>
        <w:bottom w:val="none" w:sz="0" w:space="0" w:color="auto"/>
        <w:right w:val="none" w:sz="0" w:space="0" w:color="auto"/>
      </w:divBdr>
    </w:div>
    <w:div w:id="958923327">
      <w:bodyDiv w:val="1"/>
      <w:marLeft w:val="0"/>
      <w:marRight w:val="0"/>
      <w:marTop w:val="0"/>
      <w:marBottom w:val="0"/>
      <w:divBdr>
        <w:top w:val="none" w:sz="0" w:space="0" w:color="auto"/>
        <w:left w:val="none" w:sz="0" w:space="0" w:color="auto"/>
        <w:bottom w:val="none" w:sz="0" w:space="0" w:color="auto"/>
        <w:right w:val="none" w:sz="0" w:space="0" w:color="auto"/>
      </w:divBdr>
      <w:divsChild>
        <w:div w:id="220213016">
          <w:marLeft w:val="480"/>
          <w:marRight w:val="0"/>
          <w:marTop w:val="0"/>
          <w:marBottom w:val="0"/>
          <w:divBdr>
            <w:top w:val="none" w:sz="0" w:space="0" w:color="auto"/>
            <w:left w:val="none" w:sz="0" w:space="0" w:color="auto"/>
            <w:bottom w:val="none" w:sz="0" w:space="0" w:color="auto"/>
            <w:right w:val="none" w:sz="0" w:space="0" w:color="auto"/>
          </w:divBdr>
          <w:divsChild>
            <w:div w:id="16838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311">
      <w:bodyDiv w:val="1"/>
      <w:marLeft w:val="0"/>
      <w:marRight w:val="0"/>
      <w:marTop w:val="0"/>
      <w:marBottom w:val="0"/>
      <w:divBdr>
        <w:top w:val="none" w:sz="0" w:space="0" w:color="auto"/>
        <w:left w:val="none" w:sz="0" w:space="0" w:color="auto"/>
        <w:bottom w:val="none" w:sz="0" w:space="0" w:color="auto"/>
        <w:right w:val="none" w:sz="0" w:space="0" w:color="auto"/>
      </w:divBdr>
    </w:div>
    <w:div w:id="1070810581">
      <w:bodyDiv w:val="1"/>
      <w:marLeft w:val="0"/>
      <w:marRight w:val="0"/>
      <w:marTop w:val="0"/>
      <w:marBottom w:val="0"/>
      <w:divBdr>
        <w:top w:val="none" w:sz="0" w:space="0" w:color="auto"/>
        <w:left w:val="none" w:sz="0" w:space="0" w:color="auto"/>
        <w:bottom w:val="none" w:sz="0" w:space="0" w:color="auto"/>
        <w:right w:val="none" w:sz="0" w:space="0" w:color="auto"/>
      </w:divBdr>
      <w:divsChild>
        <w:div w:id="712998545">
          <w:marLeft w:val="480"/>
          <w:marRight w:val="0"/>
          <w:marTop w:val="0"/>
          <w:marBottom w:val="0"/>
          <w:divBdr>
            <w:top w:val="none" w:sz="0" w:space="0" w:color="auto"/>
            <w:left w:val="none" w:sz="0" w:space="0" w:color="auto"/>
            <w:bottom w:val="none" w:sz="0" w:space="0" w:color="auto"/>
            <w:right w:val="none" w:sz="0" w:space="0" w:color="auto"/>
          </w:divBdr>
          <w:divsChild>
            <w:div w:id="527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76">
      <w:bodyDiv w:val="1"/>
      <w:marLeft w:val="0"/>
      <w:marRight w:val="0"/>
      <w:marTop w:val="0"/>
      <w:marBottom w:val="0"/>
      <w:divBdr>
        <w:top w:val="none" w:sz="0" w:space="0" w:color="auto"/>
        <w:left w:val="none" w:sz="0" w:space="0" w:color="auto"/>
        <w:bottom w:val="none" w:sz="0" w:space="0" w:color="auto"/>
        <w:right w:val="none" w:sz="0" w:space="0" w:color="auto"/>
      </w:divBdr>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9244">
      <w:bodyDiv w:val="1"/>
      <w:marLeft w:val="0"/>
      <w:marRight w:val="0"/>
      <w:marTop w:val="0"/>
      <w:marBottom w:val="0"/>
      <w:divBdr>
        <w:top w:val="none" w:sz="0" w:space="0" w:color="auto"/>
        <w:left w:val="none" w:sz="0" w:space="0" w:color="auto"/>
        <w:bottom w:val="none" w:sz="0" w:space="0" w:color="auto"/>
        <w:right w:val="none" w:sz="0" w:space="0" w:color="auto"/>
      </w:divBdr>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4928">
      <w:bodyDiv w:val="1"/>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23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994">
      <w:bodyDiv w:val="1"/>
      <w:marLeft w:val="0"/>
      <w:marRight w:val="0"/>
      <w:marTop w:val="0"/>
      <w:marBottom w:val="0"/>
      <w:divBdr>
        <w:top w:val="none" w:sz="0" w:space="0" w:color="auto"/>
        <w:left w:val="none" w:sz="0" w:space="0" w:color="auto"/>
        <w:bottom w:val="none" w:sz="0" w:space="0" w:color="auto"/>
        <w:right w:val="none" w:sz="0" w:space="0" w:color="auto"/>
      </w:divBdr>
    </w:div>
    <w:div w:id="1583643349">
      <w:bodyDiv w:val="1"/>
      <w:marLeft w:val="0"/>
      <w:marRight w:val="0"/>
      <w:marTop w:val="0"/>
      <w:marBottom w:val="0"/>
      <w:divBdr>
        <w:top w:val="none" w:sz="0" w:space="0" w:color="auto"/>
        <w:left w:val="none" w:sz="0" w:space="0" w:color="auto"/>
        <w:bottom w:val="none" w:sz="0" w:space="0" w:color="auto"/>
        <w:right w:val="none" w:sz="0" w:space="0" w:color="auto"/>
      </w:divBdr>
      <w:divsChild>
        <w:div w:id="619606994">
          <w:marLeft w:val="480"/>
          <w:marRight w:val="0"/>
          <w:marTop w:val="0"/>
          <w:marBottom w:val="0"/>
          <w:divBdr>
            <w:top w:val="none" w:sz="0" w:space="0" w:color="auto"/>
            <w:left w:val="none" w:sz="0" w:space="0" w:color="auto"/>
            <w:bottom w:val="none" w:sz="0" w:space="0" w:color="auto"/>
            <w:right w:val="none" w:sz="0" w:space="0" w:color="auto"/>
          </w:divBdr>
          <w:divsChild>
            <w:div w:id="201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445">
      <w:bodyDiv w:val="1"/>
      <w:marLeft w:val="0"/>
      <w:marRight w:val="0"/>
      <w:marTop w:val="0"/>
      <w:marBottom w:val="0"/>
      <w:divBdr>
        <w:top w:val="none" w:sz="0" w:space="0" w:color="auto"/>
        <w:left w:val="none" w:sz="0" w:space="0" w:color="auto"/>
        <w:bottom w:val="none" w:sz="0" w:space="0" w:color="auto"/>
        <w:right w:val="none" w:sz="0" w:space="0" w:color="auto"/>
      </w:divBdr>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551">
      <w:bodyDiv w:val="1"/>
      <w:marLeft w:val="0"/>
      <w:marRight w:val="0"/>
      <w:marTop w:val="0"/>
      <w:marBottom w:val="0"/>
      <w:divBdr>
        <w:top w:val="none" w:sz="0" w:space="0" w:color="auto"/>
        <w:left w:val="none" w:sz="0" w:space="0" w:color="auto"/>
        <w:bottom w:val="none" w:sz="0" w:space="0" w:color="auto"/>
        <w:right w:val="none" w:sz="0" w:space="0" w:color="auto"/>
      </w:divBdr>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564">
      <w:bodyDiv w:val="1"/>
      <w:marLeft w:val="0"/>
      <w:marRight w:val="0"/>
      <w:marTop w:val="0"/>
      <w:marBottom w:val="0"/>
      <w:divBdr>
        <w:top w:val="none" w:sz="0" w:space="0" w:color="auto"/>
        <w:left w:val="none" w:sz="0" w:space="0" w:color="auto"/>
        <w:bottom w:val="none" w:sz="0" w:space="0" w:color="auto"/>
        <w:right w:val="none" w:sz="0" w:space="0" w:color="auto"/>
      </w:divBdr>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423">
      <w:bodyDiv w:val="1"/>
      <w:marLeft w:val="0"/>
      <w:marRight w:val="0"/>
      <w:marTop w:val="0"/>
      <w:marBottom w:val="0"/>
      <w:divBdr>
        <w:top w:val="none" w:sz="0" w:space="0" w:color="auto"/>
        <w:left w:val="none" w:sz="0" w:space="0" w:color="auto"/>
        <w:bottom w:val="none" w:sz="0" w:space="0" w:color="auto"/>
        <w:right w:val="none" w:sz="0" w:space="0" w:color="auto"/>
      </w:divBdr>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57/jep.38.4.1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93-006-8739-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11/joca.12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EF87-0CCF-41FD-A55E-2EB644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1736</Words>
  <Characters>9900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Haotong Sun</cp:lastModifiedBy>
  <cp:revision>6</cp:revision>
  <dcterms:created xsi:type="dcterms:W3CDTF">2024-11-09T16:05:00Z</dcterms:created>
  <dcterms:modified xsi:type="dcterms:W3CDTF">2024-11-15T05:34:00Z</dcterms:modified>
</cp:coreProperties>
</file>