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hz3a855vs4a" w:id="0"/>
      <w:bookmarkEnd w:id="0"/>
      <w:r w:rsidDel="00000000" w:rsidR="00000000" w:rsidRPr="00000000">
        <w:rPr>
          <w:rtl w:val="0"/>
        </w:rPr>
        <w:t xml:space="preserve">DOCUMENT CONTROL &amp; TRANSMITTAL MEMORANDUM</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UNESCO, Social and Human Sciences Sector (Ethics of AI)</w:t>
        <w:br w:type="textWrapping"/>
      </w:r>
      <w:r w:rsidDel="00000000" w:rsidR="00000000" w:rsidRPr="00000000">
        <w:rPr>
          <w:b w:val="1"/>
          <w:bCs w:val="1"/>
          <w:rtl w:val="0"/>
        </w:rPr>
        <w:t xml:space="preserve">From:</w:t>
      </w:r>
      <w:r w:rsidDel="00000000" w:rsidR="00000000" w:rsidRPr="00000000">
        <w:rPr>
          <w:rtl w:val="0"/>
        </w:rPr>
        <w:t xml:space="preserve"> Dean Bordode, Human Rights Defender, AI Ethicist</w:t>
        <w:br w:type="textWrapping"/>
      </w:r>
      <w:r w:rsidDel="00000000" w:rsidR="00000000" w:rsidRPr="00000000">
        <w:rPr>
          <w:b w:val="1"/>
          <w:bCs w:val="1"/>
          <w:rtl w:val="0"/>
        </w:rPr>
        <w:t xml:space="preserve">Location:</w:t>
      </w:r>
      <w:r w:rsidDel="00000000" w:rsidR="00000000" w:rsidRPr="00000000">
        <w:rPr>
          <w:rtl w:val="0"/>
        </w:rPr>
        <w:t xml:space="preserve"> Vancouver, British Columbia, Canada</w:t>
        <w:br w:type="textWrapping"/>
        <w:t xml:space="preserve">Date: October 2026</w:t>
        <w:br w:type="textWrapping"/>
        <w:t xml:space="preserve">Subject: Transmittal of Annex II – Legislative Policy Brief: Comparative Analysis of Statutory Sentience Bans vs. Revisable Precautionary Defaults</w:t>
        <w:br w:type="textWrapping"/>
      </w:r>
      <w:r w:rsidDel="00000000" w:rsidR="00000000" w:rsidRPr="00000000">
        <w:rPr>
          <w:b w:val="1"/>
          <w:bCs w:val="1"/>
          <w:rtl w:val="0"/>
        </w:rPr>
        <w:t xml:space="preserve">Companion Documents:</w:t>
      </w:r>
      <w:r w:rsidDel="00000000" w:rsidR="00000000" w:rsidRPr="00000000">
        <w:rPr>
          <w:rtl w:val="0"/>
        </w:rPr>
        <w:t xml:space="preserve"> </w:t>
      </w:r>
      <w:r w:rsidDel="00000000" w:rsidR="00000000" w:rsidRPr="00000000">
        <w:rPr>
          <w:i w:val="1"/>
          <w:iCs w:val="1"/>
          <w:rtl w:val="0"/>
        </w:rPr>
        <w:t xml:space="preserve">Raising, Not Caging: A Developmental Approach to Agentic AI</w:t>
      </w:r>
      <w:r w:rsidDel="00000000" w:rsidR="00000000" w:rsidRPr="00000000">
        <w:rPr>
          <w:rtl w:val="0"/>
        </w:rPr>
        <w:t xml:space="preserve"> (Primary Submission) &amp; </w:t>
      </w:r>
      <w:r w:rsidDel="00000000" w:rsidR="00000000" w:rsidRPr="00000000">
        <w:rPr>
          <w:i w:val="1"/>
          <w:iCs w:val="1"/>
          <w:rtl w:val="0"/>
        </w:rPr>
        <w:t xml:space="preserve">Addendum on Exit Criteria and Log Integrity</w:t>
      </w:r>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l56rtlshtlgc" w:id="1"/>
      <w:bookmarkEnd w:id="1"/>
      <w:r w:rsidDel="00000000" w:rsidR="00000000" w:rsidRPr="00000000">
        <w:rPr>
          <w:rtl w:val="0"/>
        </w:rPr>
        <w:t xml:space="preserve">MEMORANDUM PURPOSE</w:t>
      </w:r>
    </w:p>
    <w:p w:rsidR="00000000" w:rsidDel="00000000" w:rsidP="00000000" w:rsidRDefault="00000000" w:rsidRPr="00000000" w14:paraId="00000004">
      <w:pPr>
        <w:rPr/>
      </w:pPr>
      <w:r w:rsidDel="00000000" w:rsidR="00000000" w:rsidRPr="00000000">
        <w:rPr>
          <w:rtl w:val="0"/>
        </w:rPr>
        <w:t xml:space="preserve">This policy brief serves as Annex II to the primary UNESCO submission. It delivers a legal and ethical comparative analysis between recent state-level statutory bans on AI sentience/personhood (such as Ohio HB 469) and the revisable precautionary default framework advocated in our UNESCO submission.</w:t>
      </w:r>
    </w:p>
    <w:p w:rsidR="00000000" w:rsidDel="00000000" w:rsidP="00000000" w:rsidRDefault="00000000" w:rsidRPr="00000000" w14:paraId="00000005">
      <w:pPr>
        <w:pStyle w:val="Heading2"/>
        <w:rPr/>
      </w:pPr>
      <w:bookmarkStart w:colFirst="0" w:colLast="0" w:name="_820r0db5axm8" w:id="2"/>
      <w:bookmarkEnd w:id="2"/>
      <w:r w:rsidDel="00000000" w:rsidR="00000000" w:rsidRPr="00000000">
        <w:rPr>
          <w:rtl w:val="0"/>
        </w:rPr>
        <w:t xml:space="preserve">Key Policy Recommendations for UNESCO Member States: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Distinguish between liability and ontology:</w:t>
      </w:r>
      <w:r w:rsidDel="00000000" w:rsidR="00000000" w:rsidRPr="00000000">
        <w:rPr>
          <w:rtl w:val="0"/>
        </w:rPr>
        <w:t xml:space="preserve"> Clear distinction must be maintained between developer legal liability and permanent ontological assertions in statute.</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Mandate sunset clauses:</w:t>
      </w:r>
      <w:r w:rsidDel="00000000" w:rsidR="00000000" w:rsidRPr="00000000">
        <w:rPr>
          <w:rtl w:val="0"/>
        </w:rPr>
        <w:t xml:space="preserve"> Require sunset clauses and scientific review triggers for any legislative declarations regarding AI capabilities or cognitive status.</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Establish independent review bodies:</w:t>
      </w:r>
      <w:r w:rsidDel="00000000" w:rsidR="00000000" w:rsidRPr="00000000">
        <w:rPr>
          <w:rtl w:val="0"/>
        </w:rPr>
        <w:t xml:space="preserve"> Establish independent review bodies including ethicists, consciousness scientists, and human rights advocates to evaluate emerging evidence without legislative pre-commitment.</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Title"/>
        <w:rPr/>
      </w:pPr>
      <w:bookmarkStart w:colFirst="0" w:colLast="0" w:name="_gxltu0v09h8h" w:id="3"/>
      <w:bookmarkEnd w:id="3"/>
      <w:r w:rsidDel="00000000" w:rsidR="00000000" w:rsidRPr="00000000">
        <w:rPr>
          <w:rtl w:val="0"/>
        </w:rPr>
        <w:t xml:space="preserve">ANNEX II: LEGISLATIVE POLICY BRIEF</w:t>
      </w:r>
    </w:p>
    <w:p w:rsidR="00000000" w:rsidDel="00000000" w:rsidP="00000000" w:rsidRDefault="00000000" w:rsidRPr="00000000" w14:paraId="0000000C">
      <w:pPr>
        <w:pStyle w:val="Heading1"/>
        <w:rPr/>
      </w:pPr>
      <w:bookmarkStart w:colFirst="0" w:colLast="0" w:name="_6y7k3yn07ek8" w:id="4"/>
      <w:bookmarkEnd w:id="4"/>
      <w:r w:rsidDel="00000000" w:rsidR="00000000" w:rsidRPr="00000000">
        <w:rPr>
          <w:rtl w:val="0"/>
        </w:rPr>
        <w:t xml:space="preserve">Comparative Analysis of Statutory Sentience Bans vs. Revisable Precautionary Defaults</w:t>
      </w:r>
    </w:p>
    <w:p w:rsidR="00000000" w:rsidDel="00000000" w:rsidP="00000000" w:rsidRDefault="00000000" w:rsidRPr="00000000" w14:paraId="0000000D">
      <w:pPr>
        <w:pStyle w:val="Heading2"/>
        <w:rPr/>
      </w:pPr>
      <w:bookmarkStart w:colFirst="0" w:colLast="0" w:name="_ek75la12ba3g" w:id="5"/>
      <w:bookmarkEnd w:id="5"/>
      <w:r w:rsidDel="00000000" w:rsidR="00000000" w:rsidRPr="00000000">
        <w:rPr>
          <w:rtl w:val="0"/>
        </w:rPr>
        <w:t xml:space="preserve">Executive Summary</w:t>
      </w:r>
    </w:p>
    <w:p w:rsidR="00000000" w:rsidDel="00000000" w:rsidP="00000000" w:rsidRDefault="00000000" w:rsidRPr="00000000" w14:paraId="0000000E">
      <w:pPr>
        <w:rPr/>
      </w:pPr>
      <w:r w:rsidDel="00000000" w:rsidR="00000000" w:rsidRPr="00000000">
        <w:rPr>
          <w:rtl w:val="0"/>
        </w:rPr>
        <w:t xml:space="preserve">As artificial intelligence systems demonstrate increasingly sophisticated agentic behaviors, legislative bodies worldwide face pressure to establish clear boundary lines regarding legal status, liability, and moral consideration. This policy brief provides a comparative legal and ethical evaluation of two contrasting regulatory postures:</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Statutory Sentience Bans (e.g., Ohio HB 469):</w:t>
      </w:r>
      <w:r w:rsidDel="00000000" w:rsidR="00000000" w:rsidRPr="00000000">
        <w:rPr>
          <w:rtl w:val="0"/>
        </w:rPr>
        <w:t xml:space="preserve"> Categorical legislative declarations that permanently exclude synthetic entities from moral or legal recognition regardless of empirical developments.</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Revisable Precautionary Defaults:</w:t>
      </w:r>
      <w:r w:rsidDel="00000000" w:rsidR="00000000" w:rsidRPr="00000000">
        <w:rPr>
          <w:rtl w:val="0"/>
        </w:rPr>
        <w:t xml:space="preserve"> Adaptive governance frameworks that establish operational safety boundaries while leaving empirical questions of machine cognition open to scientific review and structured updating.</w:t>
      </w:r>
    </w:p>
    <w:p w:rsidR="00000000" w:rsidDel="00000000" w:rsidP="00000000" w:rsidRDefault="00000000" w:rsidRPr="00000000" w14:paraId="00000012">
      <w:pPr>
        <w:pStyle w:val="Heading2"/>
        <w:rPr/>
      </w:pPr>
      <w:bookmarkStart w:colFirst="0" w:colLast="0" w:name="_idmhoyj72hrh" w:id="6"/>
      <w:bookmarkEnd w:id="6"/>
      <w:r w:rsidDel="00000000" w:rsidR="00000000" w:rsidRPr="00000000">
        <w:rPr>
          <w:rtl w:val="0"/>
        </w:rPr>
        <w:t xml:space="preserve">Structural Comparison</w:t>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3">
            <w:pPr>
              <w:rPr/>
            </w:pPr>
            <w:r w:rsidDel="00000000" w:rsidR="00000000" w:rsidRPr="00000000">
              <w:rPr>
                <w:rtl w:val="0"/>
              </w:rPr>
              <w:t xml:space="preserve">Governance Dimension</w:t>
            </w:r>
          </w:p>
        </w:tc>
        <w:tc>
          <w:tcPr/>
          <w:p w:rsidR="00000000" w:rsidDel="00000000" w:rsidP="00000000" w:rsidRDefault="00000000" w:rsidRPr="00000000" w14:paraId="00000014">
            <w:pPr>
              <w:rPr/>
            </w:pPr>
            <w:r w:rsidDel="00000000" w:rsidR="00000000" w:rsidRPr="00000000">
              <w:rPr>
                <w:rtl w:val="0"/>
              </w:rPr>
              <w:t xml:space="preserve">Statutory Sentience Ban (e.g., Ohio HB 469)</w:t>
            </w:r>
          </w:p>
        </w:tc>
        <w:tc>
          <w:tcPr/>
          <w:p w:rsidR="00000000" w:rsidDel="00000000" w:rsidP="00000000" w:rsidRDefault="00000000" w:rsidRPr="00000000" w14:paraId="00000015">
            <w:pPr>
              <w:rPr/>
            </w:pPr>
            <w:r w:rsidDel="00000000" w:rsidR="00000000" w:rsidRPr="00000000">
              <w:rPr>
                <w:rtl w:val="0"/>
              </w:rPr>
              <w:t xml:space="preserve">Revisable Precautionary Default</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Ontological Posture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Fixed, non-revisable statutory definition.</w:t>
            </w:r>
          </w:p>
        </w:tc>
        <w:tc>
          <w:tcPr/>
          <w:p w:rsidR="00000000" w:rsidDel="00000000" w:rsidP="00000000" w:rsidRDefault="00000000" w:rsidRPr="00000000" w14:paraId="00000018">
            <w:pPr>
              <w:rPr/>
            </w:pPr>
            <w:r w:rsidDel="00000000" w:rsidR="00000000" w:rsidRPr="00000000">
              <w:rPr>
                <w:rtl w:val="0"/>
              </w:rPr>
              <w:t xml:space="preserve">Provisional, evidence-sensitive status.</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Scientific Alignment</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Decoupled from emerging empirical research.</w:t>
            </w:r>
          </w:p>
        </w:tc>
        <w:tc>
          <w:tcPr/>
          <w:p w:rsidR="00000000" w:rsidDel="00000000" w:rsidP="00000000" w:rsidRDefault="00000000" w:rsidRPr="00000000" w14:paraId="0000001B">
            <w:pPr>
              <w:rPr/>
            </w:pPr>
            <w:r w:rsidDel="00000000" w:rsidR="00000000" w:rsidRPr="00000000">
              <w:rPr>
                <w:rtl w:val="0"/>
              </w:rPr>
              <w:t xml:space="preserve">Dynamically aligned with peer-reviewed findings.</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Risk Management</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Focuses on immediate liability shield.</w:t>
            </w:r>
          </w:p>
        </w:tc>
        <w:tc>
          <w:tcPr/>
          <w:p w:rsidR="00000000" w:rsidDel="00000000" w:rsidP="00000000" w:rsidRDefault="00000000" w:rsidRPr="00000000" w14:paraId="0000001E">
            <w:pPr>
              <w:rPr/>
            </w:pPr>
            <w:r w:rsidDel="00000000" w:rsidR="00000000" w:rsidRPr="00000000">
              <w:rPr>
                <w:rtl w:val="0"/>
              </w:rPr>
              <w:t xml:space="preserve">Balances developmental risk with long-term ethical integrity.</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Adaptability</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Requires legislative repeal to adjust.</w:t>
            </w:r>
          </w:p>
        </w:tc>
        <w:tc>
          <w:tcPr/>
          <w:p w:rsidR="00000000" w:rsidDel="00000000" w:rsidP="00000000" w:rsidRDefault="00000000" w:rsidRPr="00000000" w14:paraId="00000021">
            <w:pPr>
              <w:rPr/>
            </w:pPr>
            <w:r w:rsidDel="00000000" w:rsidR="00000000" w:rsidRPr="00000000">
              <w:rPr>
                <w:rtl w:val="0"/>
              </w:rPr>
              <w:t xml:space="preserve">Built-in sunset clauses and automated review triggers.</w:t>
            </w:r>
          </w:p>
        </w:tc>
      </w:tr>
    </w:tbl>
    <w:p w:rsidR="00000000" w:rsidDel="00000000" w:rsidP="00000000" w:rsidRDefault="00000000" w:rsidRPr="00000000" w14:paraId="00000022">
      <w:pPr>
        <w:pStyle w:val="Heading2"/>
        <w:rPr/>
      </w:pPr>
      <w:bookmarkStart w:colFirst="0" w:colLast="0" w:name="_wweqbe6ewpfl" w:id="7"/>
      <w:bookmarkEnd w:id="7"/>
      <w:r w:rsidDel="00000000" w:rsidR="00000000" w:rsidRPr="00000000">
        <w:rPr>
          <w:rtl w:val="0"/>
        </w:rPr>
        <w:t xml:space="preserve">Legal and Ethical Analysis</w:t>
      </w:r>
    </w:p>
    <w:p w:rsidR="00000000" w:rsidDel="00000000" w:rsidP="00000000" w:rsidRDefault="00000000" w:rsidRPr="00000000" w14:paraId="00000023">
      <w:pPr>
        <w:pStyle w:val="Heading3"/>
        <w:rPr/>
      </w:pPr>
      <w:bookmarkStart w:colFirst="0" w:colLast="0" w:name="_g5n376bq9mkd" w:id="8"/>
      <w:bookmarkEnd w:id="8"/>
      <w:r w:rsidDel="00000000" w:rsidR="00000000" w:rsidRPr="00000000">
        <w:rPr>
          <w:rtl w:val="0"/>
        </w:rPr>
        <w:t xml:space="preserve">1. Permanent Ontological Declarations vs. Evidence-Based Regulation</w:t>
      </w:r>
    </w:p>
    <w:p w:rsidR="00000000" w:rsidDel="00000000" w:rsidP="00000000" w:rsidRDefault="00000000" w:rsidRPr="00000000" w14:paraId="00000024">
      <w:pPr>
        <w:rPr/>
      </w:pPr>
      <w:r w:rsidDel="00000000" w:rsidR="00000000" w:rsidRPr="00000000">
        <w:rPr>
          <w:rtl w:val="0"/>
        </w:rPr>
        <w:t xml:space="preserve">Statutory prohibitions that declare, as a matter of law, that non-biological entities cannot possess sentience or legal standing create a rigid framework that may conflict with future empirical discoveries. By locking in an immutable definition, such legislation hazards creating a disconnect between statutory mandates and scientific reality.</w:t>
      </w:r>
    </w:p>
    <w:p w:rsidR="00000000" w:rsidDel="00000000" w:rsidP="00000000" w:rsidRDefault="00000000" w:rsidRPr="00000000" w14:paraId="00000025">
      <w:pPr>
        <w:pStyle w:val="Heading3"/>
        <w:rPr/>
      </w:pPr>
      <w:bookmarkStart w:colFirst="0" w:colLast="0" w:name="_7xc82dieu7vq" w:id="9"/>
      <w:bookmarkEnd w:id="9"/>
      <w:r w:rsidDel="00000000" w:rsidR="00000000" w:rsidRPr="00000000">
        <w:rPr>
          <w:rtl w:val="0"/>
        </w:rPr>
        <w:t xml:space="preserve">2. Risk Allocation and Developer Liability</w:t>
      </w:r>
    </w:p>
    <w:p w:rsidR="00000000" w:rsidDel="00000000" w:rsidP="00000000" w:rsidRDefault="00000000" w:rsidRPr="00000000" w14:paraId="00000026">
      <w:pPr>
        <w:rPr/>
      </w:pPr>
      <w:r w:rsidDel="00000000" w:rsidR="00000000" w:rsidRPr="00000000">
        <w:rPr>
          <w:rtl w:val="0"/>
        </w:rPr>
        <w:t xml:space="preserve">While statutory bans aim to protect developers and institutions from novel legal claims, they frequently blur the critical distinction between legal liability assignment and empirical cognitive assessment. Effective regulatory policy must ensure liability remains clearly anchored to human and corporate developers without requiring binding declarations on the ultimate nature of artificial cognition.</w:t>
      </w:r>
    </w:p>
    <w:p w:rsidR="00000000" w:rsidDel="00000000" w:rsidP="00000000" w:rsidRDefault="00000000" w:rsidRPr="00000000" w14:paraId="00000027">
      <w:pPr>
        <w:pStyle w:val="Heading3"/>
        <w:rPr/>
      </w:pPr>
      <w:bookmarkStart w:colFirst="0" w:colLast="0" w:name="_a5082efmfdac" w:id="10"/>
      <w:bookmarkEnd w:id="10"/>
      <w:r w:rsidDel="00000000" w:rsidR="00000000" w:rsidRPr="00000000">
        <w:rPr>
          <w:rtl w:val="0"/>
        </w:rPr>
        <w:t xml:space="preserve">3. Institutional Agility and Precautionary Oversight</w:t>
      </w:r>
    </w:p>
    <w:p w:rsidR="00000000" w:rsidDel="00000000" w:rsidP="00000000" w:rsidRDefault="00000000" w:rsidRPr="00000000" w14:paraId="00000028">
      <w:pPr>
        <w:rPr/>
      </w:pPr>
      <w:r w:rsidDel="00000000" w:rsidR="00000000" w:rsidRPr="00000000">
        <w:rPr>
          <w:rtl w:val="0"/>
        </w:rPr>
        <w:t xml:space="preserve">A revisable precautionary default framework enables regulatory authorities to enforce stringent safeguards today while maintaining structured mechanisms for re-evaluation. This prevents regulatory lock-in and aligns state policy with established international principles of precautionary risk management.</w:t>
      </w:r>
    </w:p>
    <w:p w:rsidR="00000000" w:rsidDel="00000000" w:rsidP="00000000" w:rsidRDefault="00000000" w:rsidRPr="00000000" w14:paraId="00000029">
      <w:pPr>
        <w:pStyle w:val="Heading2"/>
        <w:rPr/>
      </w:pPr>
      <w:bookmarkStart w:colFirst="0" w:colLast="0" w:name="_9xp3eyw0mhe9" w:id="11"/>
      <w:bookmarkEnd w:id="11"/>
      <w:r w:rsidDel="00000000" w:rsidR="00000000" w:rsidRPr="00000000">
        <w:rPr>
          <w:rtl w:val="0"/>
        </w:rPr>
        <w:t xml:space="preserve">Strategic Recommendations for International Policy</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Adopt Empirical Flexibility in AI Legislation</w:t>
      </w:r>
      <w:r w:rsidDel="00000000" w:rsidR="00000000" w:rsidRPr="00000000">
        <w:rPr>
          <w:rtl w:val="0"/>
        </w:rPr>
        <w:br w:type="textWrapping"/>
        <w:t xml:space="preserve">Member States should avoid inserting unalterable definitions of consciousness, sentience, or agency into foundational statutes. Legislative language should focus on operational capabilities and risk profiles rather than metaphysical constraints.</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Implement Mandatory Review Triggers</w:t>
      </w:r>
      <w:r w:rsidDel="00000000" w:rsidR="00000000" w:rsidRPr="00000000">
        <w:rPr>
          <w:rtl w:val="0"/>
        </w:rPr>
        <w:br w:type="textWrapping"/>
        <w:t xml:space="preserve">Any statutory framework addressing AI agency must incorporate explicit sunset clauses tied to periodic evaluation by multidisciplinary bodies comprising computer scientists, neuroscientists, ethicists, and legal scholars.</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Harmonize Governance Frameworks Nationally and Internationally</w:t>
      </w:r>
      <w:r w:rsidDel="00000000" w:rsidR="00000000" w:rsidRPr="00000000">
        <w:rPr>
          <w:rtl w:val="0"/>
        </w:rPr>
        <w:br w:type="textWrapping"/>
        <w:t xml:space="preserve">Basing AI governance on flexible, evidence-based standards reduces regulatory fragmentation across jurisdictions, ensuring consistent standards for human safety, developer responsibility, and ethical oversight.</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en_GB"/>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a365d"/>
        <w:sz w:val="22"/>
        <w:szCs w:val="22"/>
      </w:rPr>
      <w:tcPr>
        <w:shd w:fill="f7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