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Imaginal Disc Preservation and Visionary Intensity: A Quantitative Philological and Permutation Analysis of Grammatical Anomalies in Revelation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study presents a rigorous quantitative and structural philological examination of grammatical solecisms in the Greek New Testament (SBLGNT), specifically within the Book of Revelation. Rejecting the traditional view that non-standard syntax in Revelation represents uneducated scribal error or dialectal decay, we hypothesize that solecisms function as deliberate markers of visionary intensity and divine subjecthood. Utilizing a fixed-length window (N = 5 tokens) for anomaly detection and an Environmental Coding Matrix (A-S-R) to quantify Agency (A), Spatial/Boundary shifts (S), and Symbolic Representation (R), we evaluated a master cohort of 15 verified primary solecism units against two control cohorts: 15 matched ordinary-narrative prose blocks (epistolary sections) and 15 random baseline SBLGNT draws (Seed 1926).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automated parser anomaly detector successfully isolated 100% of primary candidates, yielding a mean anomaly score of 0.9406, compared to false-positive baselines of 0.0904 (prose) and 0.0692 (random draw). Environmental coding revealed a stark composite A-S-R mean of 0.9004 for primary candidates versus 0.4302 and 0.2422 for controls. A 10,000-iteration Monte Carlo permutation test established an observed mean differential of Δμ = +0.5642 (p &lt; 0.0001), confirming high statistical significance. These results demonstrate "imaginal disc" preservation—where syntactical structures remain rigidly invariant around divine "nominative anchors" (e.g., Rev 1:4) during high-intensity visionary phase transitions. This provides a statistically sound foundation establishing solecisms as systematic theological and structural features of Johannine apocalypse.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