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A502" w14:textId="6F56562C" w:rsidR="00E753D2" w:rsidRDefault="00322FE8">
      <w:r>
        <w:t xml:space="preserve">Actual model results at the quarter-section scale for all 63 species in this folder would take up &gt;500 GB of memory. Since the scripts can be used to </w:t>
      </w:r>
      <w:r w:rsidR="0021379F">
        <w:t>recreate the same results for all 63 species and more, I have opted to just include summarized table and figure results for species on the BAM shared drive. It takes about an hour to get results for one species</w:t>
      </w:r>
      <w:r w:rsidR="00035E2C">
        <w:t>, mostly to generate the NRV results.</w:t>
      </w:r>
    </w:p>
    <w:sectPr w:rsidR="00E75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02"/>
    <w:rsid w:val="00035E2C"/>
    <w:rsid w:val="0021379F"/>
    <w:rsid w:val="00322FE8"/>
    <w:rsid w:val="00AB3202"/>
    <w:rsid w:val="00E7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EE8E"/>
  <w15:chartTrackingRefBased/>
  <w15:docId w15:val="{60AEB021-02E5-4473-B113-C8F360FB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4</cp:revision>
  <dcterms:created xsi:type="dcterms:W3CDTF">2020-05-28T19:58:00Z</dcterms:created>
  <dcterms:modified xsi:type="dcterms:W3CDTF">2020-05-28T20:00:00Z</dcterms:modified>
</cp:coreProperties>
</file>