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0"/>
          <w:szCs w:val="30"/>
        </w:rPr>
      </w:pPr>
      <w:bookmarkStart w:colFirst="0" w:colLast="0" w:name="_7nd3xr1jbs7k" w:id="0"/>
      <w:bookmarkEnd w:id="0"/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Data sources required to operationalize framework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q9yoj19y1v6s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Policy &amp; Funding Frameworks 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(To Align Indicators with Existing Constraints)</w:t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National Action Plan to End Gender-Based Violence (NAP GBV)</w:t>
      </w:r>
    </w:p>
    <w:p w:rsidR="00000000" w:rsidDel="00000000" w:rsidP="00000000" w:rsidRDefault="00000000" w:rsidRPr="00000000" w14:paraId="00000004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Schedule B &amp; Annex D</w:t>
      </w:r>
      <w:r w:rsidDel="00000000" w:rsidR="00000000" w:rsidRPr="00000000">
        <w:rPr>
          <w:rtl w:val="0"/>
        </w:rPr>
        <w:t xml:space="preserve"> (outlines funding criteria, restrictions, and reporting requirements)</w:t>
      </w:r>
    </w:p>
    <w:p w:rsidR="00000000" w:rsidDel="00000000" w:rsidP="00000000" w:rsidRDefault="00000000" w:rsidRPr="00000000" w14:paraId="00000005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Federal </w:t>
      </w:r>
      <w:r w:rsidDel="00000000" w:rsidR="00000000" w:rsidRPr="00000000">
        <w:rPr>
          <w:b w:val="1"/>
          <w:bCs w:val="1"/>
          <w:rtl w:val="0"/>
        </w:rPr>
        <w:t xml:space="preserve">bilateral agreement</w:t>
      </w:r>
      <w:r w:rsidDel="00000000" w:rsidR="00000000" w:rsidRPr="00000000">
        <w:rPr>
          <w:rtl w:val="0"/>
        </w:rPr>
        <w:t xml:space="preserve"> between Canada &amp; Yukon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Yukon Government Budget &amp; Public Accounts</w:t>
      </w:r>
    </w:p>
    <w:p w:rsidR="00000000" w:rsidDel="00000000" w:rsidP="00000000" w:rsidRDefault="00000000" w:rsidRPr="00000000" w14:paraId="00000007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Breakdown of </w:t>
      </w:r>
      <w:r w:rsidDel="00000000" w:rsidR="00000000" w:rsidRPr="00000000">
        <w:rPr>
          <w:b w:val="1"/>
          <w:bCs w:val="1"/>
          <w:rtl w:val="0"/>
        </w:rPr>
        <w:t xml:space="preserve">NAP funding allocation</w:t>
      </w:r>
    </w:p>
    <w:p w:rsidR="00000000" w:rsidDel="00000000" w:rsidP="00000000" w:rsidRDefault="00000000" w:rsidRPr="00000000" w14:paraId="00000008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Territorial spending reports related to GBV services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Existing Contribution Agreements &amp; Granting Frameworks</w:t>
      </w:r>
    </w:p>
    <w:p w:rsidR="00000000" w:rsidDel="00000000" w:rsidP="00000000" w:rsidRDefault="00000000" w:rsidRPr="00000000" w14:paraId="0000000A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Service provider agreements outlining eligible vs. ineligible expenses</w:t>
      </w:r>
    </w:p>
    <w:p w:rsidR="00000000" w:rsidDel="00000000" w:rsidP="00000000" w:rsidRDefault="00000000" w:rsidRPr="00000000" w14:paraId="0000000B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Granting criteria for prevention, intervention, and support services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3susw8x5h1wn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Sector-Wide Reports &amp; Evaluations 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(To Establish Baseline &amp; Gaps)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Historical Evaluations &amp; Audits of GBV Services in Yukon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(Any existing assessments, performance reviews, or evaluations of funded GBV programs)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Yukon Women’s Coalition &amp; Sector Reports</w:t>
      </w:r>
    </w:p>
    <w:p w:rsidR="00000000" w:rsidDel="00000000" w:rsidP="00000000" w:rsidRDefault="00000000" w:rsidRPr="00000000" w14:paraId="00000010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Internal memos, annual reports, or funding position papers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Relevant Federal and Provincial/Territorial Benchmarking Reports</w:t>
      </w:r>
    </w:p>
    <w:p w:rsidR="00000000" w:rsidDel="00000000" w:rsidP="00000000" w:rsidRDefault="00000000" w:rsidRPr="00000000" w14:paraId="00000012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Women’s Shelters Canada</w:t>
      </w:r>
      <w:r w:rsidDel="00000000" w:rsidR="00000000" w:rsidRPr="00000000">
        <w:rPr>
          <w:rtl w:val="0"/>
        </w:rPr>
        <w:t xml:space="preserve"> sectoral data</w:t>
      </w:r>
    </w:p>
    <w:p w:rsidR="00000000" w:rsidDel="00000000" w:rsidP="00000000" w:rsidRDefault="00000000" w:rsidRPr="00000000" w14:paraId="00000013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Statistics Canada</w:t>
      </w:r>
      <w:r w:rsidDel="00000000" w:rsidR="00000000" w:rsidRPr="00000000">
        <w:rPr>
          <w:rtl w:val="0"/>
        </w:rPr>
        <w:t xml:space="preserve"> reports on GBV in rural and northern Canada</w:t>
      </w:r>
    </w:p>
    <w:p w:rsidR="00000000" w:rsidDel="00000000" w:rsidP="00000000" w:rsidRDefault="00000000" w:rsidRPr="00000000" w14:paraId="00000014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Provincial GBV sector evaluations</w:t>
      </w:r>
      <w:r w:rsidDel="00000000" w:rsidR="00000000" w:rsidRPr="00000000">
        <w:rPr>
          <w:rtl w:val="0"/>
        </w:rPr>
        <w:t xml:space="preserve"> for comparative analysis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kwn4rsb1visi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Data &amp; Accountability Mechanisms 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(To Assess Feasibility of Indicators)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Service Provider Reports &amp; Program Metrics</w:t>
      </w:r>
    </w:p>
    <w:p w:rsidR="00000000" w:rsidDel="00000000" w:rsidP="00000000" w:rsidRDefault="00000000" w:rsidRPr="00000000" w14:paraId="00000018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Intake &amp; occupancy data from shelters</w:t>
      </w:r>
    </w:p>
    <w:p w:rsidR="00000000" w:rsidDel="00000000" w:rsidP="00000000" w:rsidRDefault="00000000" w:rsidRPr="00000000" w14:paraId="00000019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Client service data from sexual assault centres, transition houses, crisis lines</w:t>
      </w:r>
    </w:p>
    <w:p w:rsidR="00000000" w:rsidDel="00000000" w:rsidP="00000000" w:rsidRDefault="00000000" w:rsidRPr="00000000" w14:paraId="0000001A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Workforce turnover, staffing levels, and training investments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Justice &amp; Law Enforcement Data</w:t>
      </w:r>
    </w:p>
    <w:p w:rsidR="00000000" w:rsidDel="00000000" w:rsidP="00000000" w:rsidRDefault="00000000" w:rsidRPr="00000000" w14:paraId="0000001C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RCMP &amp; court data on GBV-related charges, convictions, and protection orders</w:t>
      </w:r>
    </w:p>
    <w:p w:rsidR="00000000" w:rsidDel="00000000" w:rsidP="00000000" w:rsidRDefault="00000000" w:rsidRPr="00000000" w14:paraId="0000001D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Restorative justice and alternative sentencing program reports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Health &amp; Social Services Data</w:t>
      </w:r>
    </w:p>
    <w:p w:rsidR="00000000" w:rsidDel="00000000" w:rsidP="00000000" w:rsidRDefault="00000000" w:rsidRPr="00000000" w14:paraId="0000001F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Emergency room &amp; medical reports on GBV-related injuries</w:t>
      </w:r>
    </w:p>
    <w:p w:rsidR="00000000" w:rsidDel="00000000" w:rsidP="00000000" w:rsidRDefault="00000000" w:rsidRPr="00000000" w14:paraId="00000020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Mental health &amp; addiction service utilization related to GBV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Community-Based and Indigenous Data Collection Initiatives</w:t>
      </w:r>
    </w:p>
    <w:p w:rsidR="00000000" w:rsidDel="00000000" w:rsidP="00000000" w:rsidRDefault="00000000" w:rsidRPr="00000000" w14:paraId="00000022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Local research projects and participatory community assessments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3jhy9h8p2aco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Legislative &amp; Regulatory Context 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(To Identify Structural Barriers to Indicators)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Yukon Societies Act &amp; Recent Amendments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(Changes affecting nonprofit governance, especially paid board members &amp; implications for funding eligibility)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Yukon’s Child &amp; Family Services Act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(GBV-related child protection policies)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Domestic Violence &amp; Protection Order Legislation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Criminal Code Provisions Related to GBV Cases in the Yukon Context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Indigenous Self-Governance Agreements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(Where they intersect with GBV services and funding allocations)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4vdezicnfjx2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Indicator Frameworks &amp; Best Practices 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(To Strengthen Methodology)</w:t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Canadian Centre for Policy Alternatives (CCPA) GBV Indicators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(Equity-focused economic and social policy indicators)</w:t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OECD &amp; UN Women GBV Indicator Frameworks</w:t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Collective Impact &amp; Logic Model Examples</w:t>
      </w:r>
    </w:p>
    <w:p w:rsidR="00000000" w:rsidDel="00000000" w:rsidP="00000000" w:rsidRDefault="00000000" w:rsidRPr="00000000" w14:paraId="0000002F">
      <w:pPr>
        <w:numPr>
          <w:ilvl w:val="1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Frameworks that could help structure indicators for long-term adoption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8ba743nrxuam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Stakeholder Input &amp; Supplementary Data 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(To Validate Indicators)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Interview &amp; Focus Group Data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(If available, insights from frontline workers, survivors, and service providers)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Survey Results from the GBV Sector in Yukon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Indigenous Knowledge &amp; Perspectives on GBV Measurement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(Community-led frameworks that may complement or challenge traditional government-driven indicators)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