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ey7pvttqf6" w:id="0"/>
      <w:bookmarkEnd w:id="0"/>
      <w:hyperlink r:id="rId6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Why and How We Developed Our Indicator Framework and Categories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z0j56jz1tim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Strategic Integration of GBV Vitality and NAP Pillars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Recognizing that existing national-level performance measures did not adequately address Yukon’s unique demographic, geographic, and sector-specific contexts, we undertook an intensive process to develop an indicator framework specifically tailored for Yukon's GBV sector. This was achieved through a structured and iterative process that intentionally interfaced two critical guiding frameworks: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GBV Vitality Framework</w:t>
      </w:r>
      <w:r w:rsidDel="00000000" w:rsidR="00000000" w:rsidRPr="00000000">
        <w:rPr>
          <w:rtl w:val="0"/>
        </w:rPr>
        <w:t xml:space="preserve">: A locally-informed qualitative framework emphasizing the conditions necessary for a vibrant, sustainable, and effective GBV sector in Yukon.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Federal NAP Pillars</w:t>
      </w:r>
      <w:r w:rsidDel="00000000" w:rsidR="00000000" w:rsidRPr="00000000">
        <w:rPr>
          <w:rtl w:val="0"/>
        </w:rPr>
        <w:t xml:space="preserve">: Six federally mandated strategic pillars for addressing and preventing gender-based violence comprehensively across Canada.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this interface, we explicitly bridged local operational realities (vitality conditions) with strategic national priorities (NAP Pillars), resulting in a nuanced and practically feasible measurement framework.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wxq48nho99m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Development Process of the 24 Categories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24 final categories emerged through a deliberate inductive-deductive integration: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Indicator Extraction and Categorization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174 initial indicators were inductively identified from extensive qualitative and quantitative sources, reflecting Yukon’s realities.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These indicators naturally clustered into </w:t>
      </w:r>
      <w:r w:rsidDel="00000000" w:rsidR="00000000" w:rsidRPr="00000000">
        <w:rPr>
          <w:b w:val="1"/>
          <w:bCs w:val="1"/>
          <w:rtl w:val="0"/>
        </w:rPr>
        <w:t xml:space="preserve">24 emergent categories</w:t>
      </w:r>
      <w:r w:rsidDel="00000000" w:rsidR="00000000" w:rsidRPr="00000000">
        <w:rPr>
          <w:rtl w:val="0"/>
        </w:rPr>
        <w:t xml:space="preserve"> grounded in qualitative sector realities.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Alignment and Refinement for Measurability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emergent categories were then systematically aligned and cross-referenced with the six NAP pillars, clearly ensuring that each category contributed meaningfully to national goals.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Indicators were rigorously refined from qualitative descriptions to quantifiable metrics, explicitly enhancing measurability and operational feasibility.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Comparative Alignment &amp; Realignment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refined measurable indicator underwent a comparative alignment process against the standardized performance indicators in Annex D of the NAP, revealing significant gaps and areas needing further contextualization.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Indicators were realigned within categories to strengthen conceptual clarity, ensuring their precise and meaningful representation within the emergent categories.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Consolidation for Conceptual Clarity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Categories were consolidated intentionally to enhance conceptual coherence, notably merging closely related categories (e.g., merging "Funding &amp; Sustainability" and "Funding &amp; Disbursement" into "Funding and Resource Allocation" and integrating "Cultural Healing" into "Indigenous-Led &amp; Culturally Safe Services").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refinement clearly maintained qualitative integrity while enhancing strategic alignment and practical implementation.</w:t>
        <w:br w:type="textWrapping"/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r5ok469nf1p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Outcome: A Robust, Integrated Framework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resulting 24 clearly defined categories comprehensively reflect Yukon-specific GBV sector priorities while explicitly aligning with the NAP Pillars. Each indicator is strategically positioned to provide meaningful data, inform resource allocation, enhance accountability, and support evidence-based decision-making at both local and federal levels.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gpt.com/share/67eaebe6-1e0c-800a-bb97-7fcc4e554e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