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56" w:rsidRPr="00666C0A" w:rsidRDefault="006D2956" w:rsidP="006D2956">
      <w:pPr>
        <w:pStyle w:val="Titre3"/>
        <w:rPr>
          <w:sz w:val="22"/>
        </w:rPr>
      </w:pPr>
      <w:r w:rsidRPr="00666C0A">
        <w:rPr>
          <w:sz w:val="22"/>
        </w:rPr>
        <w:t xml:space="preserve">Risques </w:t>
      </w:r>
    </w:p>
    <w:p w:rsidR="006D2956" w:rsidRPr="00666C0A" w:rsidRDefault="006D2956" w:rsidP="006D2956">
      <w:pPr>
        <w:ind w:left="709"/>
        <w:rPr>
          <w:rFonts w:ascii="Times New Roman" w:hAnsi="Times New Roman" w:cs="Times New Roman"/>
          <w:sz w:val="24"/>
          <w:szCs w:val="22"/>
          <w:lang w:eastAsia="fr-FR"/>
        </w:rPr>
      </w:pPr>
      <w:r w:rsidRPr="00666C0A">
        <w:rPr>
          <w:rFonts w:ascii="Times New Roman" w:hAnsi="Times New Roman" w:cs="Times New Roman"/>
          <w:sz w:val="24"/>
          <w:szCs w:val="22"/>
          <w:lang w:eastAsia="fr-FR"/>
        </w:rPr>
        <w:t>Une attention particulière doit être apportée à l’analyse des risques. Au regard du contenu du document d’AO, nous rappelons les risques sous-jacents</w:t>
      </w:r>
    </w:p>
    <w:p w:rsidR="006D2956" w:rsidRPr="00666C0A" w:rsidRDefault="006D2956" w:rsidP="006D2956">
      <w:pPr>
        <w:ind w:left="709"/>
        <w:rPr>
          <w:rFonts w:ascii="Times New Roman" w:hAnsi="Times New Roman" w:cs="Times New Roman"/>
          <w:sz w:val="24"/>
          <w:szCs w:val="22"/>
          <w:lang w:eastAsia="fr-FR"/>
        </w:rPr>
      </w:pPr>
    </w:p>
    <w:p w:rsidR="006D2956" w:rsidRPr="00666C0A" w:rsidRDefault="006D2956" w:rsidP="006D2956">
      <w:pPr>
        <w:ind w:left="709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Nous avons identifié les </w:t>
      </w:r>
      <w:r w:rsidRPr="00666C0A">
        <w:rPr>
          <w:rFonts w:ascii="Times New Roman" w:hAnsi="Times New Roman" w:cs="Times New Roman"/>
          <w:b/>
          <w:sz w:val="24"/>
          <w:szCs w:val="22"/>
        </w:rPr>
        <w:t>familles de risque</w:t>
      </w:r>
      <w:r w:rsidRPr="00666C0A">
        <w:rPr>
          <w:rFonts w:ascii="Times New Roman" w:hAnsi="Times New Roman" w:cs="Times New Roman"/>
          <w:sz w:val="24"/>
          <w:szCs w:val="22"/>
        </w:rPr>
        <w:t>s suivantes :</w:t>
      </w:r>
    </w:p>
    <w:p w:rsidR="006D2956" w:rsidRPr="00666C0A" w:rsidRDefault="006D2956" w:rsidP="006D29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Risques liés au </w:t>
      </w:r>
      <w:r w:rsidRPr="00666C0A">
        <w:rPr>
          <w:rFonts w:ascii="Times New Roman" w:hAnsi="Times New Roman" w:cs="Times New Roman"/>
          <w:b/>
          <w:sz w:val="24"/>
          <w:szCs w:val="22"/>
        </w:rPr>
        <w:t>respect du planning</w:t>
      </w:r>
      <w:r w:rsidRPr="00666C0A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Découplage entre les 2 entités CCAS et CNS à date (31/12/2018) non respecté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Création de la SCIC au 01/01/2019 repoussée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Mise à disposition d’un système d’information de gestion de l’entreprise SCIC avec les procédures associées dès le 1 Novembre 2018 afin que le passage en production au 1 janvi</w:t>
      </w:r>
      <w:bookmarkStart w:id="0" w:name="_GoBack"/>
      <w:bookmarkEnd w:id="0"/>
      <w:r w:rsidRPr="00666C0A">
        <w:rPr>
          <w:rFonts w:ascii="Times New Roman" w:hAnsi="Times New Roman" w:cs="Times New Roman"/>
          <w:sz w:val="24"/>
          <w:szCs w:val="22"/>
        </w:rPr>
        <w:t xml:space="preserve">er se fasse de manière la plus transparente possible </w:t>
      </w:r>
    </w:p>
    <w:p w:rsidR="006D2956" w:rsidRPr="00666C0A" w:rsidRDefault="006D2956" w:rsidP="006D2956">
      <w:pPr>
        <w:ind w:left="1429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La </w:t>
      </w:r>
      <w:r w:rsidRPr="00666C0A">
        <w:rPr>
          <w:rFonts w:ascii="Times New Roman" w:hAnsi="Times New Roman" w:cs="Times New Roman"/>
          <w:b/>
          <w:sz w:val="24"/>
          <w:szCs w:val="22"/>
        </w:rPr>
        <w:t>mitigation de ces risques</w:t>
      </w:r>
      <w:r w:rsidRPr="00666C0A">
        <w:rPr>
          <w:rFonts w:ascii="Times New Roman" w:hAnsi="Times New Roman" w:cs="Times New Roman"/>
          <w:sz w:val="24"/>
          <w:szCs w:val="22"/>
        </w:rPr>
        <w:t xml:space="preserve"> passe par : </w:t>
      </w:r>
    </w:p>
    <w:p w:rsidR="006D2956" w:rsidRPr="00666C0A" w:rsidRDefault="006D2956" w:rsidP="006D29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Une identification des taches sur le chemin critique et les prioriser</w:t>
      </w:r>
    </w:p>
    <w:p w:rsidR="006D2956" w:rsidRPr="00666C0A" w:rsidRDefault="006D2956" w:rsidP="006D29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Une évaluation de la capacité à faire côté SCIC et plus particulièrement sur le domaine gestion de l’entreprise SCIC.</w:t>
      </w:r>
    </w:p>
    <w:p w:rsidR="006D2956" w:rsidRPr="00666C0A" w:rsidRDefault="006D2956" w:rsidP="006D29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Lancer un chantier interne SCIC (avec accompagnement) au plus tôt, et ce indépendamment de la recherche de l’infogérant du SI. Faire un « choix d’un prestataire ». Ce dernier sera réintégré </w:t>
      </w:r>
      <w:proofErr w:type="gramStart"/>
      <w:r w:rsidRPr="00666C0A">
        <w:rPr>
          <w:rFonts w:ascii="Times New Roman" w:hAnsi="Times New Roman" w:cs="Times New Roman"/>
          <w:sz w:val="24"/>
          <w:szCs w:val="22"/>
        </w:rPr>
        <w:t>a</w:t>
      </w:r>
      <w:proofErr w:type="gramEnd"/>
      <w:r w:rsidRPr="00666C0A">
        <w:rPr>
          <w:rFonts w:ascii="Times New Roman" w:hAnsi="Times New Roman" w:cs="Times New Roman"/>
          <w:sz w:val="24"/>
          <w:szCs w:val="22"/>
        </w:rPr>
        <w:t xml:space="preserve"> postériori sous la responsabilité de l’infogérant ou considérer cette étape comme transitoire (approche de prestataire de service)</w:t>
      </w:r>
    </w:p>
    <w:p w:rsidR="006D2956" w:rsidRPr="00666C0A" w:rsidRDefault="006D2956" w:rsidP="006D295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Définir l’organisation opérationnelle de la SCIC et la gouvernance sur les domaines précités</w:t>
      </w:r>
    </w:p>
    <w:p w:rsidR="006D2956" w:rsidRPr="00666C0A" w:rsidRDefault="006D2956" w:rsidP="006D2956">
      <w:pPr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Risques liés </w:t>
      </w:r>
      <w:r w:rsidRPr="00666C0A">
        <w:rPr>
          <w:rFonts w:ascii="Times New Roman" w:hAnsi="Times New Roman" w:cs="Times New Roman"/>
          <w:b/>
          <w:sz w:val="24"/>
          <w:szCs w:val="22"/>
        </w:rPr>
        <w:t>aux finances</w:t>
      </w:r>
      <w:r w:rsidRPr="00666C0A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Capacité d’investissement court terme (2019) par la SCIC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Demande de la part des potentiels infogérants d’être rémunérés pour la phase de Due Diligence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LA CCAS ne peut investir au sein du CNS avant le 31 Décembre 2018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Coûts récurrents de gestion du SI trop élevé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L’infogérant propose un modèle économique qui n’est pas aligné avec la stratégie de la </w:t>
      </w:r>
      <w:proofErr w:type="gramStart"/>
      <w:r w:rsidRPr="00666C0A">
        <w:rPr>
          <w:rFonts w:ascii="Times New Roman" w:hAnsi="Times New Roman" w:cs="Times New Roman"/>
          <w:sz w:val="24"/>
          <w:szCs w:val="22"/>
        </w:rPr>
        <w:t>SCIC  (</w:t>
      </w:r>
      <w:proofErr w:type="gramEnd"/>
      <w:r w:rsidRPr="00666C0A">
        <w:rPr>
          <w:rFonts w:ascii="Times New Roman" w:hAnsi="Times New Roman" w:cs="Times New Roman"/>
          <w:sz w:val="24"/>
          <w:szCs w:val="22"/>
        </w:rPr>
        <w:t xml:space="preserve">exemple : modèle de type « on </w:t>
      </w:r>
      <w:proofErr w:type="spellStart"/>
      <w:r w:rsidRPr="00666C0A">
        <w:rPr>
          <w:rFonts w:ascii="Times New Roman" w:hAnsi="Times New Roman" w:cs="Times New Roman"/>
          <w:sz w:val="24"/>
          <w:szCs w:val="22"/>
        </w:rPr>
        <w:t>Demand</w:t>
      </w:r>
      <w:proofErr w:type="spellEnd"/>
      <w:r w:rsidRPr="00666C0A">
        <w:rPr>
          <w:rFonts w:ascii="Times New Roman" w:hAnsi="Times New Roman" w:cs="Times New Roman"/>
          <w:sz w:val="24"/>
          <w:szCs w:val="22"/>
        </w:rPr>
        <w:t> » avec  absence de coût forfaitaire par mois</w:t>
      </w:r>
    </w:p>
    <w:p w:rsidR="006D2956" w:rsidRPr="00666C0A" w:rsidRDefault="006D2956" w:rsidP="006D2956">
      <w:pPr>
        <w:ind w:left="1429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La </w:t>
      </w:r>
      <w:r w:rsidRPr="00666C0A">
        <w:rPr>
          <w:rFonts w:ascii="Times New Roman" w:hAnsi="Times New Roman" w:cs="Times New Roman"/>
          <w:b/>
          <w:sz w:val="24"/>
          <w:szCs w:val="22"/>
        </w:rPr>
        <w:t>mitigation de ces risques</w:t>
      </w:r>
      <w:r w:rsidRPr="00666C0A">
        <w:rPr>
          <w:rFonts w:ascii="Times New Roman" w:hAnsi="Times New Roman" w:cs="Times New Roman"/>
          <w:sz w:val="24"/>
          <w:szCs w:val="22"/>
        </w:rPr>
        <w:t xml:space="preserve"> passe par : </w:t>
      </w:r>
    </w:p>
    <w:p w:rsidR="006D2956" w:rsidRPr="00666C0A" w:rsidRDefault="006D2956" w:rsidP="006D2956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Une identification des budgets par thèmes</w:t>
      </w:r>
    </w:p>
    <w:p w:rsidR="006D2956" w:rsidRPr="00666C0A" w:rsidRDefault="006D2956" w:rsidP="006D2956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Anticiper au plus tôt l’achat des matériels nécessaires au fonctionnement opérationnel du SCIC</w:t>
      </w:r>
    </w:p>
    <w:p w:rsidR="006D2956" w:rsidRPr="00666C0A" w:rsidRDefault="006D2956" w:rsidP="006D2956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Faire un benchmark sur le cout moyen de gestion d’un centre de service de santé (Prix au poste de travail, </w:t>
      </w:r>
      <w:proofErr w:type="gramStart"/>
      <w:r w:rsidRPr="00666C0A">
        <w:rPr>
          <w:rFonts w:ascii="Times New Roman" w:hAnsi="Times New Roman" w:cs="Times New Roman"/>
          <w:sz w:val="24"/>
          <w:szCs w:val="22"/>
        </w:rPr>
        <w:t xml:space="preserve"> ..</w:t>
      </w:r>
      <w:proofErr w:type="gramEnd"/>
      <w:r w:rsidRPr="00666C0A">
        <w:rPr>
          <w:rFonts w:ascii="Times New Roman" w:hAnsi="Times New Roman" w:cs="Times New Roman"/>
          <w:sz w:val="24"/>
          <w:szCs w:val="22"/>
        </w:rPr>
        <w:t>)</w:t>
      </w:r>
    </w:p>
    <w:p w:rsidR="006D2956" w:rsidRPr="00666C0A" w:rsidRDefault="006D2956" w:rsidP="006D2956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Demander au plus tôt aux infogérants une proposition et un engagement sur les composants d’infrastructure à acheter</w:t>
      </w:r>
    </w:p>
    <w:p w:rsidR="006D2956" w:rsidRPr="00666C0A" w:rsidRDefault="006D2956" w:rsidP="006D2956">
      <w:pPr>
        <w:ind w:left="709"/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Risques liés </w:t>
      </w:r>
      <w:r w:rsidRPr="00666C0A">
        <w:rPr>
          <w:rFonts w:ascii="Times New Roman" w:hAnsi="Times New Roman" w:cs="Times New Roman"/>
          <w:b/>
          <w:sz w:val="24"/>
          <w:szCs w:val="22"/>
        </w:rPr>
        <w:t>aux Technologiques et à l’architecture du SI du CNS</w:t>
      </w:r>
      <w:r w:rsidRPr="00666C0A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Obsolescence des infrastructures et incapacité d’upgrade des systèmes existants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Sauvegarde/ restauration et archivage des données médicales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La solution technique retenue impose des coûts de licences</w:t>
      </w:r>
    </w:p>
    <w:p w:rsidR="006D2956" w:rsidRPr="00666C0A" w:rsidRDefault="006D2956" w:rsidP="006D2956">
      <w:pPr>
        <w:ind w:left="709"/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ind w:left="1429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La </w:t>
      </w:r>
      <w:r w:rsidRPr="00666C0A">
        <w:rPr>
          <w:rFonts w:ascii="Times New Roman" w:hAnsi="Times New Roman" w:cs="Times New Roman"/>
          <w:b/>
          <w:sz w:val="24"/>
          <w:szCs w:val="22"/>
        </w:rPr>
        <w:t>mitigation de ces risques</w:t>
      </w:r>
      <w:r w:rsidRPr="00666C0A">
        <w:rPr>
          <w:rFonts w:ascii="Times New Roman" w:hAnsi="Times New Roman" w:cs="Times New Roman"/>
          <w:sz w:val="24"/>
          <w:szCs w:val="22"/>
        </w:rPr>
        <w:t xml:space="preserve"> passe par : </w:t>
      </w:r>
    </w:p>
    <w:p w:rsidR="006D2956" w:rsidRPr="00666C0A" w:rsidRDefault="006D2956" w:rsidP="006D295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Une refonte de l’architecture du SI existant</w:t>
      </w:r>
    </w:p>
    <w:p w:rsidR="006D2956" w:rsidRPr="00666C0A" w:rsidRDefault="006D2956" w:rsidP="006D295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Externalisation du SI chez un hébergeur qualifié par le ministère de la Santé et le considérer comme un pur </w:t>
      </w:r>
      <w:proofErr w:type="spellStart"/>
      <w:r w:rsidRPr="00666C0A">
        <w:rPr>
          <w:rFonts w:ascii="Times New Roman" w:hAnsi="Times New Roman" w:cs="Times New Roman"/>
          <w:sz w:val="24"/>
          <w:szCs w:val="22"/>
        </w:rPr>
        <w:t>player</w:t>
      </w:r>
      <w:proofErr w:type="spellEnd"/>
      <w:r w:rsidRPr="00666C0A">
        <w:rPr>
          <w:rFonts w:ascii="Times New Roman" w:hAnsi="Times New Roman" w:cs="Times New Roman"/>
          <w:sz w:val="24"/>
          <w:szCs w:val="22"/>
        </w:rPr>
        <w:t xml:space="preserve"> de services </w:t>
      </w:r>
    </w:p>
    <w:p w:rsidR="006D2956" w:rsidRPr="00666C0A" w:rsidRDefault="006D2956" w:rsidP="006D295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Aucune personnalisation du SI</w:t>
      </w:r>
    </w:p>
    <w:p w:rsidR="006D2956" w:rsidRPr="00666C0A" w:rsidRDefault="006D2956" w:rsidP="006D2956">
      <w:pPr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Risques liés </w:t>
      </w:r>
      <w:r w:rsidRPr="00666C0A">
        <w:rPr>
          <w:rFonts w:ascii="Times New Roman" w:hAnsi="Times New Roman" w:cs="Times New Roman"/>
          <w:b/>
          <w:sz w:val="24"/>
          <w:szCs w:val="22"/>
        </w:rPr>
        <w:t>au choix de l’infogérant</w:t>
      </w:r>
      <w:r w:rsidRPr="00666C0A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Aucun Infogérant satisfait les exigences définies par le CDC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Les infogérants contactés ne souhaitent pas </w:t>
      </w:r>
    </w:p>
    <w:p w:rsidR="006D2956" w:rsidRPr="00666C0A" w:rsidRDefault="006D2956" w:rsidP="006D2956">
      <w:pPr>
        <w:ind w:left="1789"/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ind w:left="1429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La </w:t>
      </w:r>
      <w:r w:rsidRPr="00666C0A">
        <w:rPr>
          <w:rFonts w:ascii="Times New Roman" w:hAnsi="Times New Roman" w:cs="Times New Roman"/>
          <w:b/>
          <w:sz w:val="24"/>
          <w:szCs w:val="22"/>
        </w:rPr>
        <w:t>mitigation</w:t>
      </w:r>
      <w:r w:rsidRPr="00666C0A">
        <w:rPr>
          <w:rFonts w:ascii="Times New Roman" w:hAnsi="Times New Roman" w:cs="Times New Roman"/>
          <w:sz w:val="24"/>
          <w:szCs w:val="22"/>
        </w:rPr>
        <w:t xml:space="preserve"> de ces risques passe par : </w:t>
      </w:r>
    </w:p>
    <w:p w:rsidR="006D2956" w:rsidRPr="00666C0A" w:rsidRDefault="006D2956" w:rsidP="006D2956">
      <w:pPr>
        <w:pStyle w:val="Paragraphedeliste"/>
        <w:numPr>
          <w:ilvl w:val="0"/>
          <w:numId w:val="7"/>
        </w:numPr>
        <w:ind w:left="2127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Définir les scénarii et pour chacun d’eux définir la stratégie d’implémentation</w:t>
      </w:r>
    </w:p>
    <w:p w:rsidR="006D2956" w:rsidRPr="00666C0A" w:rsidRDefault="006D2956" w:rsidP="006D2956">
      <w:pPr>
        <w:pStyle w:val="Paragraphedeliste"/>
        <w:numPr>
          <w:ilvl w:val="0"/>
          <w:numId w:val="7"/>
        </w:numPr>
        <w:ind w:left="2127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Imposer une délégation totale en définissant précisément les engagements de chaque partie</w:t>
      </w:r>
    </w:p>
    <w:p w:rsidR="006D2956" w:rsidRPr="00666C0A" w:rsidRDefault="006D2956" w:rsidP="006D2956">
      <w:pPr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Risques liés </w:t>
      </w:r>
      <w:r w:rsidRPr="00666C0A">
        <w:rPr>
          <w:rFonts w:ascii="Times New Roman" w:hAnsi="Times New Roman" w:cs="Times New Roman"/>
          <w:b/>
          <w:sz w:val="24"/>
          <w:szCs w:val="22"/>
        </w:rPr>
        <w:t>à la stratégie et métier de la SCIC</w:t>
      </w:r>
      <w:r w:rsidRPr="00666C0A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Création de la SCIC en tant qu’entité juridique repoussée (Capacité d’engagement à date)</w:t>
      </w:r>
    </w:p>
    <w:p w:rsidR="006D2956" w:rsidRPr="00666C0A" w:rsidRDefault="006D2956" w:rsidP="006D295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Difficulté pour déléguer les activités et les relations avec les fournisseurs historiques externes</w:t>
      </w:r>
    </w:p>
    <w:p w:rsidR="006D2956" w:rsidRPr="00666C0A" w:rsidRDefault="006D2956" w:rsidP="006D2956">
      <w:pPr>
        <w:ind w:left="1789"/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ind w:left="1429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 xml:space="preserve">La </w:t>
      </w:r>
      <w:r w:rsidRPr="00666C0A">
        <w:rPr>
          <w:rFonts w:ascii="Times New Roman" w:hAnsi="Times New Roman" w:cs="Times New Roman"/>
          <w:b/>
          <w:sz w:val="24"/>
          <w:szCs w:val="22"/>
        </w:rPr>
        <w:t>mitigation</w:t>
      </w:r>
      <w:r w:rsidRPr="00666C0A">
        <w:rPr>
          <w:rFonts w:ascii="Times New Roman" w:hAnsi="Times New Roman" w:cs="Times New Roman"/>
          <w:sz w:val="24"/>
          <w:szCs w:val="22"/>
        </w:rPr>
        <w:t xml:space="preserve"> de ces risques passe par : </w:t>
      </w:r>
    </w:p>
    <w:p w:rsidR="006D2956" w:rsidRPr="00666C0A" w:rsidRDefault="006D2956" w:rsidP="006D2956">
      <w:pPr>
        <w:pStyle w:val="Paragraphedeliste"/>
        <w:numPr>
          <w:ilvl w:val="0"/>
          <w:numId w:val="7"/>
        </w:numPr>
        <w:ind w:left="2127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Définir les scénarii et pour chacun d’eux définir la stratégie d’implémentation</w:t>
      </w:r>
    </w:p>
    <w:p w:rsidR="006D2956" w:rsidRPr="00666C0A" w:rsidRDefault="006D2956" w:rsidP="006D2956">
      <w:pPr>
        <w:pStyle w:val="Paragraphedeliste"/>
        <w:numPr>
          <w:ilvl w:val="0"/>
          <w:numId w:val="7"/>
        </w:numPr>
        <w:ind w:left="2127"/>
        <w:rPr>
          <w:rFonts w:ascii="Times New Roman" w:hAnsi="Times New Roman" w:cs="Times New Roman"/>
          <w:sz w:val="24"/>
          <w:szCs w:val="22"/>
        </w:rPr>
      </w:pPr>
      <w:r w:rsidRPr="00666C0A">
        <w:rPr>
          <w:rFonts w:ascii="Times New Roman" w:hAnsi="Times New Roman" w:cs="Times New Roman"/>
          <w:sz w:val="24"/>
          <w:szCs w:val="22"/>
        </w:rPr>
        <w:t>Imposer une délégation totale en définissant précisément les engagements de chaque partie</w:t>
      </w:r>
    </w:p>
    <w:p w:rsidR="006D2956" w:rsidRPr="00666C0A" w:rsidRDefault="006D2956" w:rsidP="006D2956">
      <w:pPr>
        <w:pStyle w:val="Paragraphedeliste"/>
        <w:ind w:left="1429"/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rPr>
          <w:rFonts w:ascii="Times New Roman" w:hAnsi="Times New Roman" w:cs="Times New Roman"/>
          <w:sz w:val="24"/>
          <w:szCs w:val="22"/>
        </w:rPr>
      </w:pPr>
    </w:p>
    <w:p w:rsidR="006D2956" w:rsidRPr="00666C0A" w:rsidRDefault="006D2956" w:rsidP="006D2956">
      <w:pPr>
        <w:ind w:left="709"/>
        <w:rPr>
          <w:rFonts w:ascii="Times New Roman" w:hAnsi="Times New Roman" w:cs="Times New Roman"/>
          <w:b/>
          <w:sz w:val="24"/>
          <w:szCs w:val="22"/>
          <w:lang w:eastAsia="fr-FR"/>
        </w:rPr>
      </w:pPr>
      <w:r w:rsidRPr="00666C0A">
        <w:rPr>
          <w:rFonts w:ascii="Times New Roman" w:hAnsi="Times New Roman" w:cs="Times New Roman"/>
          <w:sz w:val="24"/>
          <w:szCs w:val="22"/>
          <w:lang w:eastAsia="fr-FR"/>
        </w:rPr>
        <w:t xml:space="preserve">La mitigation de ces risques, et les décisions associés seront de la </w:t>
      </w:r>
      <w:r w:rsidRPr="00666C0A">
        <w:rPr>
          <w:rFonts w:ascii="Times New Roman" w:hAnsi="Times New Roman" w:cs="Times New Roman"/>
          <w:b/>
          <w:sz w:val="24"/>
          <w:szCs w:val="22"/>
          <w:lang w:eastAsia="fr-FR"/>
        </w:rPr>
        <w:t>responsabilité du comité de gouvernance du projet</w:t>
      </w:r>
    </w:p>
    <w:p w:rsidR="003C5765" w:rsidRPr="00666C0A" w:rsidRDefault="003C5765">
      <w:pPr>
        <w:rPr>
          <w:sz w:val="22"/>
        </w:rPr>
      </w:pPr>
    </w:p>
    <w:sectPr w:rsidR="003C5765" w:rsidRPr="0066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5FD8"/>
    <w:multiLevelType w:val="hybridMultilevel"/>
    <w:tmpl w:val="7A3A60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4522E"/>
    <w:multiLevelType w:val="hybridMultilevel"/>
    <w:tmpl w:val="071C3524"/>
    <w:lvl w:ilvl="0" w:tplc="04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4B0170"/>
    <w:multiLevelType w:val="multilevel"/>
    <w:tmpl w:val="4782C63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2701" w:hanging="432"/>
      </w:pPr>
      <w:rPr>
        <w:b w:val="0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."/>
      <w:lvlJc w:val="left"/>
      <w:pPr>
        <w:ind w:left="7309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2350" w:hanging="648"/>
      </w:pPr>
      <w:rPr>
        <w:b w:val="0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3B0B83"/>
    <w:multiLevelType w:val="hybridMultilevel"/>
    <w:tmpl w:val="97F877BA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CFF65C2"/>
    <w:multiLevelType w:val="hybridMultilevel"/>
    <w:tmpl w:val="246218A8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5EA357C8"/>
    <w:multiLevelType w:val="multilevel"/>
    <w:tmpl w:val="DC5095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F755714"/>
    <w:multiLevelType w:val="hybridMultilevel"/>
    <w:tmpl w:val="C8ECA960"/>
    <w:lvl w:ilvl="0" w:tplc="384871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CA"/>
    <w:rsid w:val="002305A7"/>
    <w:rsid w:val="00305BCA"/>
    <w:rsid w:val="003C5765"/>
    <w:rsid w:val="00666C0A"/>
    <w:rsid w:val="006D2956"/>
    <w:rsid w:val="006F455C"/>
    <w:rsid w:val="0082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B082"/>
  <w15:chartTrackingRefBased/>
  <w15:docId w15:val="{C70C9463-682D-4465-8B0F-4FEE2B78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BCA"/>
    <w:pPr>
      <w:spacing w:after="0" w:line="240" w:lineRule="auto"/>
      <w:jc w:val="both"/>
    </w:pPr>
    <w:rPr>
      <w:rFonts w:ascii="Arial" w:eastAsia="MS Mincho" w:hAnsi="Arial" w:cs="Arial"/>
      <w:sz w:val="20"/>
      <w:szCs w:val="20"/>
      <w:lang w:eastAsia="ja-JP"/>
    </w:rPr>
  </w:style>
  <w:style w:type="paragraph" w:styleId="Titre1">
    <w:name w:val="heading 1"/>
    <w:aliases w:val="Arial 14 Fett,Arial 14 Fett1,Arial 14 Fett2,1titre,1titre1,1titre2,1titre3,1titre4,1titre5,1titre6,Titre 11,t1.T1.Titre 1,t1,t1.T1,1titre7,1titre11,1titre21,1titre31,1titre41,1titre51,1titre61,Activité,Titre 12,t1.T1.Titre 11,t11,18 Gras,Quest,1"/>
    <w:basedOn w:val="Normal"/>
    <w:next w:val="Normal"/>
    <w:link w:val="Titre1Car"/>
    <w:uiPriority w:val="9"/>
    <w:qFormat/>
    <w:rsid w:val="00305BCA"/>
    <w:pPr>
      <w:keepNext/>
      <w:numPr>
        <w:numId w:val="1"/>
      </w:numPr>
      <w:pBdr>
        <w:bottom w:val="single" w:sz="12" w:space="1" w:color="FF9900"/>
      </w:pBdr>
      <w:autoSpaceDE w:val="0"/>
      <w:autoSpaceDN w:val="0"/>
      <w:outlineLvl w:val="0"/>
    </w:pPr>
    <w:rPr>
      <w:color w:val="000000"/>
      <w:spacing w:val="-20"/>
      <w:sz w:val="28"/>
      <w:szCs w:val="28"/>
      <w:lang w:eastAsia="fr-FR"/>
    </w:rPr>
  </w:style>
  <w:style w:type="paragraph" w:styleId="Titre2">
    <w:name w:val="heading 2"/>
    <w:aliases w:val="Heading2,Arial 12 Fett Kursiv,t2.Titre 2,Titre 22,t2.T2.Titre 21,t2.Titre 2 1,t21,14 Gras,Heading21,Arial 12 Fett Kursiv1,Second Level Topic,h2,H2,H21,NCS-H2,Premier sous-titre,Titre 2 - RAO,2 headline,l2,l21,l22,l23,l24,l25,l211,l26,t2,paragrap"/>
    <w:basedOn w:val="Normal"/>
    <w:next w:val="Normal"/>
    <w:link w:val="Titre2Car"/>
    <w:autoRedefine/>
    <w:uiPriority w:val="9"/>
    <w:qFormat/>
    <w:rsid w:val="00305BCA"/>
    <w:pPr>
      <w:keepNext/>
      <w:widowControl w:val="0"/>
      <w:numPr>
        <w:ilvl w:val="1"/>
        <w:numId w:val="1"/>
      </w:numPr>
      <w:tabs>
        <w:tab w:val="left" w:pos="0"/>
        <w:tab w:val="left" w:pos="851"/>
      </w:tabs>
      <w:spacing w:before="240" w:after="120"/>
      <w:ind w:left="431" w:hanging="431"/>
      <w:outlineLvl w:val="1"/>
    </w:pPr>
    <w:rPr>
      <w:b/>
      <w:bCs/>
      <w:lang w:eastAsia="fr-FR"/>
    </w:rPr>
  </w:style>
  <w:style w:type="paragraph" w:styleId="Titre3">
    <w:name w:val="heading 3"/>
    <w:aliases w:val="Arial 12 Fett,H3,h3,heading 3,3rd level,Titre 31,t3.T3,H31,Section,Titre 32,t3.T3.Titre 31,t31,12 Gras,NCS-H3,T3,Deuxième sous-titre,Arial 12 Fett1,H32,h31,heading 31,3rd level1,Titre 311,t3.T31,H311,Section1,Arial 12 Fett2,H33,h32,heading 32,b"/>
    <w:basedOn w:val="Normal"/>
    <w:next w:val="Normal"/>
    <w:link w:val="Titre3Car"/>
    <w:autoRedefine/>
    <w:uiPriority w:val="9"/>
    <w:qFormat/>
    <w:rsid w:val="00305BCA"/>
    <w:pPr>
      <w:keepNext/>
      <w:keepLines/>
      <w:numPr>
        <w:ilvl w:val="2"/>
        <w:numId w:val="1"/>
      </w:numPr>
      <w:tabs>
        <w:tab w:val="left" w:pos="1418"/>
      </w:tabs>
      <w:spacing w:before="120" w:after="120" w:line="288" w:lineRule="atLeast"/>
      <w:ind w:left="1185" w:hanging="505"/>
      <w:jc w:val="left"/>
      <w:outlineLvl w:val="2"/>
    </w:pPr>
    <w:rPr>
      <w:b/>
      <w:bCs/>
      <w:iCs/>
      <w:lang w:eastAsia="fr-FR"/>
    </w:rPr>
  </w:style>
  <w:style w:type="paragraph" w:styleId="Titre4">
    <w:name w:val="heading 4"/>
    <w:aliases w:val="H4,Titre 41,t4.T4,(Shift Ctrl 4),12 Souligné,NCS-H4,T4,H41,Titre 411,t4.T41,(Shift Ctrl 4)1,H42,Titre 412,t4.T42,(Shift Ctrl 4)2,First Level Subtopic,h4,Level 4 Topic Heading,First Subheading,l4,I4,H1,niveau 2,Titre niveau 4,t4,H43,4,Contrat 4,d"/>
    <w:basedOn w:val="Normal"/>
    <w:next w:val="Normal"/>
    <w:link w:val="Titre4Car"/>
    <w:uiPriority w:val="9"/>
    <w:qFormat/>
    <w:rsid w:val="00305BCA"/>
    <w:pPr>
      <w:keepNext/>
      <w:numPr>
        <w:ilvl w:val="3"/>
        <w:numId w:val="1"/>
      </w:numPr>
      <w:autoSpaceDE w:val="0"/>
      <w:autoSpaceDN w:val="0"/>
      <w:spacing w:after="120"/>
      <w:ind w:left="1780" w:hanging="646"/>
      <w:outlineLvl w:val="3"/>
    </w:pPr>
    <w:rPr>
      <w:lang w:eastAsia="fr-FR"/>
    </w:rPr>
  </w:style>
  <w:style w:type="paragraph" w:styleId="Titre5">
    <w:name w:val="heading 5"/>
    <w:aliases w:val="Second Level Subtopic,h5,Level 5 Topic Heading,H5,H51,H52,H511,Roman list,Contrat 5,Heading5_Titre5,Second Subheading,Article,Org Heading 3,Titre51,t5,Titre 1.1111,Titre niveau 5,T5,Titre5,Edf Titre 5,(Shift Ctrl 5),Bloc,Bloc1,Bloc2,Bloc3,Bloc4"/>
    <w:basedOn w:val="Normal"/>
    <w:next w:val="Normal"/>
    <w:link w:val="Titre5Car"/>
    <w:uiPriority w:val="9"/>
    <w:qFormat/>
    <w:rsid w:val="00305BCA"/>
    <w:pPr>
      <w:keepNext/>
      <w:numPr>
        <w:ilvl w:val="4"/>
        <w:numId w:val="1"/>
      </w:numPr>
      <w:jc w:val="center"/>
      <w:outlineLvl w:val="4"/>
    </w:pPr>
    <w:rPr>
      <w:b/>
      <w:bCs/>
      <w:lang w:eastAsia="fr-FR"/>
    </w:rPr>
  </w:style>
  <w:style w:type="paragraph" w:styleId="Titre6">
    <w:name w:val="heading 6"/>
    <w:basedOn w:val="Normal"/>
    <w:next w:val="Normal"/>
    <w:link w:val="Titre6Car"/>
    <w:uiPriority w:val="99"/>
    <w:qFormat/>
    <w:rsid w:val="006D2956"/>
    <w:pPr>
      <w:keepNext/>
      <w:numPr>
        <w:ilvl w:val="5"/>
        <w:numId w:val="6"/>
      </w:numPr>
      <w:autoSpaceDE w:val="0"/>
      <w:autoSpaceDN w:val="0"/>
      <w:outlineLvl w:val="5"/>
    </w:pPr>
    <w:rPr>
      <w:b/>
      <w:bCs/>
      <w:lang w:eastAsia="fr-FR"/>
    </w:rPr>
  </w:style>
  <w:style w:type="paragraph" w:styleId="Titre7">
    <w:name w:val="heading 7"/>
    <w:basedOn w:val="Normal"/>
    <w:next w:val="Normal"/>
    <w:link w:val="Titre7Car"/>
    <w:uiPriority w:val="99"/>
    <w:qFormat/>
    <w:rsid w:val="006D2956"/>
    <w:pPr>
      <w:keepNext/>
      <w:numPr>
        <w:ilvl w:val="6"/>
        <w:numId w:val="6"/>
      </w:numPr>
      <w:autoSpaceDE w:val="0"/>
      <w:autoSpaceDN w:val="0"/>
      <w:outlineLvl w:val="6"/>
    </w:pPr>
    <w:rPr>
      <w:i/>
      <w:iCs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6D2956"/>
    <w:pPr>
      <w:keepNext/>
      <w:numPr>
        <w:ilvl w:val="7"/>
        <w:numId w:val="6"/>
      </w:numPr>
      <w:autoSpaceDE w:val="0"/>
      <w:autoSpaceDN w:val="0"/>
      <w:outlineLvl w:val="7"/>
    </w:pPr>
    <w:rPr>
      <w:b/>
      <w:bCs/>
      <w:sz w:val="32"/>
      <w:szCs w:val="32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6D2956"/>
    <w:pPr>
      <w:keepNext/>
      <w:numPr>
        <w:ilvl w:val="8"/>
        <w:numId w:val="6"/>
      </w:numPr>
      <w:autoSpaceDE w:val="0"/>
      <w:autoSpaceDN w:val="0"/>
      <w:outlineLvl w:val="8"/>
    </w:pPr>
    <w:rPr>
      <w:b/>
      <w:bCs/>
      <w:sz w:val="34"/>
      <w:szCs w:val="3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BCA"/>
    <w:rPr>
      <w:rFonts w:ascii="Arial" w:eastAsia="MS Mincho" w:hAnsi="Arial" w:cs="Arial"/>
      <w:color w:val="000000"/>
      <w:spacing w:val="-20"/>
      <w:sz w:val="28"/>
      <w:szCs w:val="28"/>
      <w:lang w:eastAsia="fr-FR"/>
    </w:rPr>
  </w:style>
  <w:style w:type="character" w:customStyle="1" w:styleId="Titre2Car">
    <w:name w:val="Titre 2 Car"/>
    <w:aliases w:val="Heading2 Car,Arial 12 Fett Kursiv Car,t2.Titre 2 Car,Titre 22 Car,t2.T2.Titre 21 Car,t2.Titre 2 1 Car,t21 Car,14 Gras Car,Heading21 Car,Arial 12 Fett Kursiv1 Car,Second Level Topic Car,h2 Car,H2 Car,H21 Car,NCS-H2 Car,Premier sous-titre Car"/>
    <w:basedOn w:val="Policepardfaut"/>
    <w:link w:val="Titre2"/>
    <w:uiPriority w:val="9"/>
    <w:rsid w:val="00305BCA"/>
    <w:rPr>
      <w:rFonts w:ascii="Arial" w:eastAsia="MS Mincho" w:hAnsi="Arial" w:cs="Arial"/>
      <w:b/>
      <w:bCs/>
      <w:sz w:val="20"/>
      <w:szCs w:val="20"/>
      <w:lang w:eastAsia="fr-FR"/>
    </w:rPr>
  </w:style>
  <w:style w:type="character" w:customStyle="1" w:styleId="Titre3Car">
    <w:name w:val="Titre 3 Car"/>
    <w:aliases w:val="Arial 12 Fett Car,H3 Car,h3 Car,heading 3 Car,3rd level Car,Titre 31 Car,t3.T3 Car,H31 Car,Section Car,Titre 32 Car,t3.T3.Titre 31 Car,t31 Car,12 Gras Car,NCS-H3 Car,T3 Car,Deuxième sous-titre Car,Arial 12 Fett1 Car,H32 Car,h31 Car,H311 Car"/>
    <w:basedOn w:val="Policepardfaut"/>
    <w:link w:val="Titre3"/>
    <w:uiPriority w:val="9"/>
    <w:rsid w:val="00305BCA"/>
    <w:rPr>
      <w:rFonts w:ascii="Arial" w:eastAsia="MS Mincho" w:hAnsi="Arial" w:cs="Arial"/>
      <w:b/>
      <w:bCs/>
      <w:i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05BCA"/>
    <w:rPr>
      <w:rFonts w:ascii="Arial" w:eastAsia="MS Mincho" w:hAnsi="Arial" w:cs="Arial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05BCA"/>
    <w:rPr>
      <w:rFonts w:ascii="Arial" w:eastAsia="MS Mincho" w:hAnsi="Arial" w:cs="Arial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305BCA"/>
    <w:pPr>
      <w:spacing w:after="120"/>
      <w:ind w:left="709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05BCA"/>
    <w:rPr>
      <w:rFonts w:ascii="Arial" w:eastAsia="MS Mincho" w:hAnsi="Arial" w:cs="Arial"/>
      <w:sz w:val="20"/>
      <w:szCs w:val="20"/>
      <w:lang w:eastAsia="ja-JP"/>
    </w:rPr>
  </w:style>
  <w:style w:type="character" w:customStyle="1" w:styleId="Titre6Car">
    <w:name w:val="Titre 6 Car"/>
    <w:basedOn w:val="Policepardfaut"/>
    <w:link w:val="Titre6"/>
    <w:uiPriority w:val="99"/>
    <w:rsid w:val="006D2956"/>
    <w:rPr>
      <w:rFonts w:ascii="Arial" w:eastAsia="MS Mincho" w:hAnsi="Arial" w:cs="Arial"/>
      <w:b/>
      <w:bCs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6D2956"/>
    <w:rPr>
      <w:rFonts w:ascii="Arial" w:eastAsia="MS Mincho" w:hAnsi="Arial" w:cs="Arial"/>
      <w:i/>
      <w:iCs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6D2956"/>
    <w:rPr>
      <w:rFonts w:ascii="Arial" w:eastAsia="MS Mincho" w:hAnsi="Arial" w:cs="Arial"/>
      <w:b/>
      <w:bCs/>
      <w:sz w:val="32"/>
      <w:szCs w:val="32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6D2956"/>
    <w:rPr>
      <w:rFonts w:ascii="Arial" w:eastAsia="MS Mincho" w:hAnsi="Arial" w:cs="Arial"/>
      <w:b/>
      <w:bCs/>
      <w:sz w:val="34"/>
      <w:szCs w:val="3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CHAMFRAULT</dc:creator>
  <cp:keywords/>
  <dc:description/>
  <cp:lastModifiedBy>Thierry CHAMFRAULT</cp:lastModifiedBy>
  <cp:revision>2</cp:revision>
  <dcterms:created xsi:type="dcterms:W3CDTF">2018-06-07T07:53:00Z</dcterms:created>
  <dcterms:modified xsi:type="dcterms:W3CDTF">2018-06-07T14:31:00Z</dcterms:modified>
</cp:coreProperties>
</file>