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2019-01-10</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03/2015-PRESENT</w:t>
      </w:r>
      <w:r>
        <w:t xml:space="preserve"> </w:t>
      </w:r>
      <w:r>
        <w:t xml:space="preserve">FCT investigator, public contract at the Faculty of Social and Human Sciences (FCSH) funded by the Fundação para a Ciência e a Tecnologia IF/00382/2014) at CICS.NOVA, FCSH</w:t>
      </w:r>
      <w:r>
        <w:t xml:space="preserve"> </w:t>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type="textWrapping"/>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09/2003-07/2007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 URL:</w:t>
      </w:r>
      <w:r>
        <w:t xml:space="preserve"> </w:t>
      </w:r>
      <w:hyperlink r:id="rId25">
        <w:r>
          <w:rPr>
            <w:rStyle w:val="Hyperlink"/>
          </w:rPr>
          <w:t xml:space="preserve">https://www.comparativeagendas.net/portugal</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6">
        <w:r>
          <w:rPr>
            <w:rStyle w:val="Hyperlink"/>
          </w:rPr>
          <w:t xml:space="preserve">https://goo.gl/ExHizi</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7">
        <w:r>
          <w:rPr>
            <w:rStyle w:val="Hyperlink"/>
          </w:rPr>
          <w:t xml:space="preserve">https://goo.gl/HMBMaK</w:t>
        </w:r>
      </w:hyperlink>
    </w:p>
    <w:p>
      <w:pPr>
        <w:numPr>
          <w:numId w:val="1003"/>
          <w:ilvl w:val="0"/>
        </w:numPr>
      </w:pPr>
      <w:r>
        <w:rPr>
          <w:b/>
        </w:rPr>
        <w:t xml:space="preserve">Sept 2017/Jan 2018</w:t>
      </w:r>
      <w:r>
        <w:t xml:space="preserve"> </w:t>
      </w:r>
      <w:r>
        <w:t xml:space="preserve">Visiting Researcher, Department of Government</w:t>
      </w:r>
      <w:r>
        <w:br w:type="textWrapping"/>
      </w:r>
      <w:r>
        <w:t xml:space="preserve">University of Texas, Austin, USA</w:t>
      </w:r>
    </w:p>
    <w:p>
      <w:pPr>
        <w:numPr>
          <w:numId w:val="1003"/>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2010-2012</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8">
        <w:r>
          <w:rPr>
            <w:rStyle w:val="Hyperlink"/>
          </w:rPr>
          <w:t xml:space="preserve">https://www.comparativeagendas.net/italy</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9" w:name="teaching-experience"/>
      <w:r>
        <w:t xml:space="preserve">TEACHING EXPERIENCE</w:t>
      </w:r>
      <w:bookmarkEnd w:id="29"/>
    </w:p>
    <w:p>
      <w:pPr>
        <w:numPr>
          <w:numId w:val="1004"/>
          <w:ilvl w:val="0"/>
        </w:numPr>
      </w:pPr>
      <w:r>
        <w:rPr>
          <w:b/>
        </w:rPr>
        <w:t xml:space="preserve">27/8/2016-05/09/2016</w:t>
      </w:r>
      <w:r>
        <w:t xml:space="preserve"> </w:t>
      </w:r>
      <w:r>
        <w:t xml:space="preserve">The Essentials of Data Analysis in R (25 hours)</w:t>
      </w:r>
      <w:r>
        <w:t xml:space="preserve"> </w:t>
      </w:r>
      <w:r>
        <w:t xml:space="preserve">Lisbon Summer School, NOVA University of Lisbon</w:t>
      </w:r>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 (44 hours)</w:t>
      </w:r>
    </w:p>
    <w:p>
      <w:pPr>
        <w:numPr>
          <w:numId w:val="1004"/>
          <w:ilvl w:val="0"/>
        </w:numPr>
      </w:pPr>
      <w:r>
        <w:rPr>
          <w:b/>
        </w:rPr>
        <w:t xml:space="preserve">05/02/2018-08/02/2018</w:t>
      </w:r>
      <w:r>
        <w:t xml:space="preserve"> </w:t>
      </w:r>
      <w:r>
        <w:t xml:space="preserve">Research design</w:t>
      </w:r>
      <w:r>
        <w:br w:type="textWrapping"/>
      </w:r>
      <w:r>
        <w:t xml:space="preserve">Lisbon Winter School in Research Skills and Methods, NOVA University of Lisbon, 2 ECTS (12 hours)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 (15 hours)</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 (44 hours)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 (12 hours)</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 (12 hours)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30" w:name="grants-awarded"/>
      <w:r>
        <w:t xml:space="preserve">GRANTS AWARDED</w:t>
      </w:r>
      <w:bookmarkEnd w:id="30"/>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1" w:name="publications"/>
      <w:r>
        <w:t xml:space="preserve">PUBLICATIONS</w:t>
      </w:r>
      <w:bookmarkEnd w:id="31"/>
    </w:p>
    <w:p>
      <w:pPr>
        <w:numPr>
          <w:numId w:val="1006"/>
          <w:ilvl w:val="0"/>
        </w:numPr>
      </w:pPr>
      <w:r>
        <w:t xml:space="preserve">with Ana Belchior (Forthcoming).</w:t>
      </w:r>
      <w:r>
        <w:t xml:space="preserve"> </w:t>
      </w:r>
      <w:r>
        <w:t xml:space="preserve">“</w:t>
      </w:r>
      <w:r>
        <w:t xml:space="preserve">Party manifestos, opposition and media as determinants of the cabinet agenda</w:t>
      </w:r>
      <w:r>
        <w:t xml:space="preserve">”</w:t>
      </w:r>
      <w:r>
        <w:t xml:space="preserve">, Political Studies</w:t>
      </w:r>
    </w:p>
    <w:p>
      <w:pPr>
        <w:numPr>
          <w:numId w:val="1006"/>
          <w:ilvl w:val="0"/>
        </w:numPr>
      </w:pPr>
      <w:r>
        <w:t xml:space="preserve">with Marco Lisi (Forthcoming).</w:t>
      </w:r>
      <w:r>
        <w:t xml:space="preserve"> </w:t>
      </w:r>
      <w:r>
        <w:t xml:space="preserve">“</w:t>
      </w:r>
      <w:r>
        <w:t xml:space="preserve">Populism, blame shifting and the crisis: discourse strategies in Portuguese political parties</w:t>
      </w:r>
      <w:r>
        <w:t xml:space="preserve">”</w:t>
      </w:r>
      <w:r>
        <w:t xml:space="preserve">, South European Society and Politics</w:t>
      </w:r>
    </w:p>
    <w:p>
      <w:pPr>
        <w:numPr>
          <w:numId w:val="1006"/>
          <w:ilvl w:val="0"/>
        </w:numPr>
      </w:pPr>
      <w:r>
        <w:t xml:space="preserve">with Marcello Carammia and Federico Russo (2018)</w:t>
      </w:r>
      <w:r>
        <w:t xml:space="preserve"> </w:t>
      </w:r>
      <w:r>
        <w:t xml:space="preserve">“</w:t>
      </w:r>
      <w:r>
        <w:t xml:space="preserve">Policy Agendas in Italy: introduction to the special issue</w:t>
      </w:r>
      <w:r>
        <w:t xml:space="preserve">”</w:t>
      </w:r>
      <w:r>
        <w:t xml:space="preserve"> </w:t>
      </w:r>
      <w:r>
        <w:t xml:space="preserve">Italian Political Science Review / Rivista Italiana di Scienza Politica, 48(3):265-274</w:t>
      </w:r>
    </w:p>
    <w:p>
      <w:pPr>
        <w:numPr>
          <w:numId w:val="1006"/>
          <w:ilvl w:val="0"/>
        </w:numPr>
      </w:pPr>
      <w:r>
        <w:t xml:space="preserve">with Marcello Carammia and Shaun Bevan (2018)</w:t>
      </w:r>
      <w:r>
        <w:t xml:space="preserve"> </w:t>
      </w:r>
      <w:r>
        <w:t xml:space="preserve">“</w:t>
      </w:r>
      <w:r>
        <w:t xml:space="preserve">Changing the transmission belt: the programme-to-policy link in Italy between the First and Second Republic</w:t>
      </w:r>
      <w:r>
        <w:t xml:space="preserve">”</w:t>
      </w:r>
      <w:r>
        <w:t xml:space="preserve"> </w:t>
      </w:r>
      <w:r>
        <w:t xml:space="preserve">Italian Political Science Review / Rivista Italiana di Scienza Politica, 48(3):275-288</w:t>
      </w:r>
    </w:p>
    <w:p>
      <w:pPr>
        <w:numPr>
          <w:numId w:val="1006"/>
          <w:ilvl w:val="0"/>
        </w:numPr>
      </w:pPr>
      <w:r>
        <w:t xml:space="preserve">with Marco Lisi (2018)</w:t>
      </w:r>
      <w:r>
        <w:t xml:space="preserve"> </w:t>
      </w:r>
      <w:r>
        <w:t xml:space="preserve">“</w:t>
      </w:r>
      <w:r>
        <w:t xml:space="preserve">Productivity and re-selection in a party-based environment: evidence from the Portuguese case</w:t>
      </w:r>
      <w:r>
        <w:t xml:space="preserve">”</w:t>
      </w:r>
      <w:r>
        <w:t xml:space="preserve"> </w:t>
      </w:r>
      <w:r>
        <w:t xml:space="preserve">Parliamentary Affairs, 71(4):868-887</w:t>
      </w:r>
    </w:p>
    <w:p>
      <w:pPr>
        <w:numPr>
          <w:numId w:val="1006"/>
          <w:ilvl w:val="0"/>
        </w:numPr>
      </w:pPr>
      <w:r>
        <w:t xml:space="preserve">, (2018)</w:t>
      </w:r>
      <w:r>
        <w:t xml:space="preserve"> </w:t>
      </w:r>
      <w:r>
        <w:t xml:space="preserve">“</w:t>
      </w:r>
      <w:r>
        <w:t xml:space="preserve">Delegated decree authority in a parliamentary system. The exercise of legislative delegation in Italy (1987-2013)</w:t>
      </w:r>
      <w:r>
        <w:t xml:space="preserve">”</w:t>
      </w:r>
      <w:r>
        <w:t xml:space="preserve"> </w:t>
      </w:r>
      <w:r>
        <w:t xml:space="preserve">Journal of legislative Studies, 24(2):179-196</w:t>
      </w:r>
    </w:p>
    <w:p>
      <w:pPr>
        <w:numPr>
          <w:numId w:val="1006"/>
          <w:ilvl w:val="0"/>
        </w:numPr>
      </w:pPr>
      <w:r>
        <w:t xml:space="preserve">, (Forthcoming,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06"/>
          <w:ilvl w:val="0"/>
        </w:numPr>
      </w:pPr>
      <w:r>
        <w:t xml:space="preserve">with Federico Russo (2018) From agenda setters to agenda takers? The determinants of party issue attention in times of crisis. Party Politics 24(1):65-77</w:t>
      </w:r>
    </w:p>
    <w:p>
      <w:pPr>
        <w:numPr>
          <w:numId w:val="1006"/>
          <w:ilvl w:val="0"/>
        </w:numPr>
      </w:pPr>
      <w:r>
        <w:t xml:space="preserve">with Ivan Kopric, Eva Marin Hlynsdottir, Jasmina Dzinic (2018), Institutional Environments and Mayors’ Role Perceptions, In H. Heinelt et al. (eds.), Political Leaders and Changing Local Democracy, Palgrave Macmillan pp.149-173</w:t>
      </w:r>
    </w:p>
    <w:p>
      <w:pPr>
        <w:numPr>
          <w:numId w:val="1006"/>
          <w:ilvl w:val="0"/>
        </w:numPr>
      </w:pPr>
      <w:r>
        <w:t xml:space="preserve">with Francesco Visconti and Marco Michieli (2017)</w:t>
      </w:r>
      <w:r>
        <w:t xml:space="preserve"> </w:t>
      </w:r>
      <w:r>
        <w:t xml:space="preserve">“</w:t>
      </w:r>
      <w:r>
        <w:t xml:space="preserve">Government Agenda Setting in Italian Coalitions, Testing the partisan hypothesis using Italian investiture speeches 1979-2014</w:t>
      </w:r>
      <w:r>
        <w:t xml:space="preserve">”</w:t>
      </w:r>
      <w:r>
        <w:t xml:space="preserve"> </w:t>
      </w:r>
      <w:r>
        <w:t xml:space="preserve">Italian Journal of Public Policies (2): 193-220</w:t>
      </w:r>
    </w:p>
    <w:p>
      <w:pPr>
        <w:numPr>
          <w:numId w:val="1006"/>
          <w:ilvl w:val="0"/>
        </w:numPr>
      </w:pPr>
      <w:r>
        <w:t xml:space="preserve">, (2016), Book review</w:t>
      </w:r>
      <w:r>
        <w:t xml:space="preserve"> </w:t>
      </w:r>
      <w:r>
        <w:t xml:space="preserve">“</w:t>
      </w:r>
      <w:r>
        <w:t xml:space="preserve">Crise Econ?mica, Pol?ticas de Austeridade e Representa??o Pol?tica, Lisboa, Assembleia da Rep?blica - Divis?o de edi??es, 2015</w:t>
      </w:r>
      <w:r>
        <w:t xml:space="preserve">”</w:t>
      </w:r>
      <w:r>
        <w:t xml:space="preserve">. An?lise Social, 219, li (2.?), pp. 462-466.</w:t>
      </w:r>
    </w:p>
    <w:p>
      <w:pPr>
        <w:numPr>
          <w:numId w:val="1006"/>
          <w:ilvl w:val="0"/>
        </w:numPr>
      </w:pPr>
      <w:r>
        <w:t xml:space="preserve">, (2015),</w:t>
      </w:r>
      <w:r>
        <w:t xml:space="preserve"> </w:t>
      </w:r>
      <w:r>
        <w:t xml:space="preserve">“</w:t>
      </w:r>
      <w:r>
        <w:t xml:space="preserve">Questioning the government in time of crisis. An analysis of Question Time in Spain</w:t>
      </w:r>
      <w:r>
        <w:t xml:space="preserve">”</w:t>
      </w:r>
      <w:r>
        <w:t xml:space="preserve">, In J. Preunkert and G. Vobruba (Eds) Aftermath. Beyond the Crisis of the European Currency, Lisbon: Colibri, 91-116</w:t>
      </w:r>
    </w:p>
    <w:p>
      <w:pPr>
        <w:numPr>
          <w:numId w:val="1006"/>
          <w:ilvl w:val="0"/>
        </w:numPr>
      </w:pPr>
      <w:r>
        <w:t xml:space="preserve">, (2015),</w:t>
      </w:r>
      <w:r>
        <w:t xml:space="preserve"> </w:t>
      </w:r>
      <w:r>
        <w:t xml:space="preserve">“</w:t>
      </w:r>
      <w:r>
        <w:t xml:space="preserve">Challenging Italian Centralism through the Vertical Shift of Competences to the Subnational and Supranational Levels.</w:t>
      </w:r>
      <w:r>
        <w:t xml:space="preserve">”</w:t>
      </w:r>
      <w:r>
        <w:t xml:space="preserve"> </w:t>
      </w:r>
      <w:r>
        <w:t xml:space="preserve">Contemporary Italian Politics 7 (1): 58-75.</w:t>
      </w:r>
    </w:p>
    <w:p>
      <w:pPr>
        <w:numPr>
          <w:numId w:val="1006"/>
          <w:ilvl w:val="0"/>
        </w:numPr>
      </w:pPr>
      <w:r>
        <w:t xml:space="preserve">with Marcello Carammia (2015)</w:t>
      </w:r>
      <w:r>
        <w:t xml:space="preserve"> </w:t>
      </w:r>
      <w:r>
        <w:t xml:space="preserve">“</w:t>
      </w:r>
      <w:r>
        <w:t xml:space="preserve">The Influence of Coalition Parties on Executive Agendas in Italy (1983-2008).</w:t>
      </w:r>
      <w:r>
        <w:t xml:space="preserve">”</w:t>
      </w:r>
      <w:r>
        <w:t xml:space="preserve"> </w:t>
      </w:r>
      <w:r>
        <w:t xml:space="preserve">In The Challenge of Coalition Government: The Italian Case, eds. Nicol? Conti and Francesco Marangoni. Abingdon: Routledge, 36-57.</w:t>
      </w:r>
    </w:p>
    <w:p>
      <w:pPr>
        <w:numPr>
          <w:numId w:val="1006"/>
          <w:ilvl w:val="0"/>
        </w:numPr>
      </w:pPr>
      <w:r>
        <w:t xml:space="preserve">with Francesco Visconti (2015)</w:t>
      </w:r>
      <w:r>
        <w:t xml:space="preserve"> </w:t>
      </w:r>
      <w:r>
        <w:t xml:space="preserve">“</w:t>
      </w:r>
      <w:r>
        <w:t xml:space="preserve">Governing by Revising. A Study on Post-Enactment Policy Change in Italy.</w:t>
      </w:r>
      <w:r>
        <w:t xml:space="preserve">”</w:t>
      </w:r>
      <w:r>
        <w:t xml:space="preserve"> </w:t>
      </w:r>
      <w:r>
        <w:t xml:space="preserve">In The Challenge of Coalition Government: The Italian Case, eds. Nicol? Conti and Francesco Marangoni. Abingdon: Routledge, 106-27.</w:t>
      </w:r>
    </w:p>
    <w:p>
      <w:pPr>
        <w:numPr>
          <w:numId w:val="1006"/>
          <w:ilvl w:val="0"/>
        </w:numPr>
      </w:pPr>
      <w:r>
        <w:t xml:space="preserve">, (2014)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 (2013)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w:t>
      </w:r>
      <w:r>
        <w:t xml:space="preserve"> </w:t>
      </w:r>
      <w:r>
        <w:t xml:space="preserve">“</w:t>
      </w:r>
      <w:r>
        <w:t xml:space="preserve">Leading governments and unwilling legislators. The European Union and the Italian Law making (1987-2006)</w:t>
      </w:r>
      <w:r>
        <w:t xml:space="preserve">”</w:t>
      </w:r>
      <w:r>
        <w:t xml:space="preserve">, in S. Brouard, O. Costa and T.K?nig (Eds), The Europeanization of Domestic Legislatures, New York:Springer, pp.109-130</w:t>
      </w:r>
    </w:p>
    <w:p>
      <w:pPr>
        <w:numPr>
          <w:numId w:val="1006"/>
          <w:ilvl w:val="0"/>
        </w:numPr>
      </w:pPr>
      <w:r>
        <w:t xml:space="preserve">with Fabio Franchino (2010)</w:t>
      </w:r>
      <w:r>
        <w:t xml:space="preserve"> </w:t>
      </w:r>
      <w:r>
        <w:t xml:space="preserve">“</w:t>
      </w:r>
      <w:r>
        <w:t xml:space="preserve">The Role of Subnational Authorities in the Implementation of EU Directives</w:t>
      </w:r>
      <w:r>
        <w:t xml:space="preserve">”</w:t>
      </w:r>
      <w:r>
        <w:t xml:space="preserve">, Journal of European Public Policy, 17:6, pp. 759 - 780</w:t>
      </w:r>
    </w:p>
    <w:p>
      <w:pPr>
        <w:numPr>
          <w:numId w:val="1006"/>
          <w:ilvl w:val="0"/>
        </w:numPr>
      </w:pPr>
      <w:r>
        <w:t xml:space="preserve">with Marcello Carammia (2010)</w:t>
      </w:r>
      <w:r>
        <w:t xml:space="preserve"> </w:t>
      </w:r>
      <w:r>
        <w:t xml:space="preserve">“</w:t>
      </w:r>
      <w:r>
        <w:t xml:space="preserve">L’analisi comparata delle agenda politiche: il Comparative Agendas Project</w:t>
      </w:r>
      <w:r>
        <w:t xml:space="preserve">”</w:t>
      </w:r>
      <w:r>
        <w:t xml:space="preserve">, Rivista Italiana di Scienza Politica, n.2, pp.301-315</w:t>
      </w:r>
    </w:p>
    <w:p>
      <w:pPr>
        <w:numPr>
          <w:numId w:val="1006"/>
          <w:ilvl w:val="0"/>
        </w:numPr>
      </w:pPr>
      <w:r>
        <w:t xml:space="preserve">with Marco Giuliani and Francesco Zucchini (2009)</w:t>
      </w:r>
      <w:r>
        <w:t xml:space="preserve"> </w:t>
      </w:r>
      <w:r>
        <w:t xml:space="preserve">“</w:t>
      </w:r>
      <w:r>
        <w:t xml:space="preserve">Quanta Bruxelles c’? a Roma? L’europeizzazione della produzione normativa italiana.</w:t>
      </w:r>
      <w:r>
        <w:t xml:space="preserve">”</w:t>
      </w:r>
      <w:r>
        <w:t xml:space="preserve">, Rivista italiana di Politiche Pubbliche, n.1, pp.135-162</w:t>
      </w:r>
    </w:p>
    <w:p>
      <w:pPr>
        <w:numPr>
          <w:numId w:val="1006"/>
          <w:ilvl w:val="0"/>
        </w:numPr>
      </w:pPr>
      <w:r>
        <w:t xml:space="preserve">with Fabio Franchino and Daniela Giannetti (2006)</w:t>
      </w:r>
      <w:r>
        <w:t xml:space="preserve"> </w:t>
      </w:r>
      <w:r>
        <w:t xml:space="preserve">“</w:t>
      </w:r>
      <w:r>
        <w:t xml:space="preserve">Complying with the Transposition Deadlines of EU Directives: Evidence from Italy</w:t>
      </w:r>
      <w:r>
        <w:t xml:space="preserve">”</w:t>
      </w:r>
      <w:r>
        <w:t xml:space="preserve">, Rivista Italiana di Politiche Pubbliche, n.5, pp. 7-38.</w:t>
      </w:r>
    </w:p>
    <w:p>
      <w:pPr>
        <w:pStyle w:val="Heading2"/>
      </w:pPr>
      <w:bookmarkStart w:id="32" w:name="other-research-outputs"/>
      <w:r>
        <w:t xml:space="preserve">OTHER RESEARCH OUTPUTS</w:t>
      </w:r>
      <w:bookmarkEnd w:id="32"/>
    </w:p>
    <w:p>
      <w:pPr>
        <w:numPr>
          <w:numId w:val="1007"/>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The respect of transposition deadlines in Italy: do political priorities matter? URGE Working paper 7/2007</w:t>
      </w:r>
    </w:p>
    <w:p>
      <w:pPr>
        <w:pStyle w:val="Heading2"/>
      </w:pPr>
      <w:bookmarkStart w:id="33" w:name="work-in-progress"/>
      <w:r>
        <w:t xml:space="preserve">WORK IN PROGRESS</w:t>
      </w:r>
      <w:bookmarkEnd w:id="33"/>
    </w:p>
    <w:p>
      <w:pPr>
        <w:numPr>
          <w:numId w:val="1008"/>
          <w:ilvl w:val="0"/>
        </w:numPr>
      </w:pPr>
      <w:r>
        <w:t xml:space="preserve">with Derek Epp. Economic inequality and legislative agendas in Europe [under review]</w:t>
      </w:r>
    </w:p>
    <w:p>
      <w:pPr>
        <w:numPr>
          <w:numId w:val="1008"/>
          <w:ilvl w:val="0"/>
        </w:numPr>
      </w:pPr>
      <w:r>
        <w:t xml:space="preserve">with Alessandro Pellegata. Exploring bill winnowing in the Italian Chamber of Deputies. Working paper</w:t>
      </w:r>
    </w:p>
    <w:p>
      <w:pPr>
        <w:numPr>
          <w:numId w:val="1008"/>
          <w:ilvl w:val="0"/>
        </w:numPr>
      </w:pPr>
      <w:r>
        <w:t xml:space="preserve">with André Freire and José Santana Lopes. Constituency Characteristics, Expertise, Civil Society Links and Parliamentary Questions: Evidence from Portugal. Working paper</w:t>
      </w:r>
    </w:p>
    <w:p>
      <w:pPr>
        <w:numPr>
          <w:numId w:val="1008"/>
          <w:ilvl w:val="0"/>
        </w:numPr>
      </w:pPr>
      <w:r>
        <w:t xml:space="preserve">with Marco Lisi. Parliamentary questions and individual representation in a party-dominated environment: evidence from Portugal. Working paper</w:t>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with Elisabetta de Giorgi. The Five-Star Movement in Parliament: a Truly New Kind of Parliamentary Opposition?. Working paper</w:t>
      </w:r>
    </w:p>
    <w:p>
      <w:pPr>
        <w:numPr>
          <w:numId w:val="1008"/>
          <w:ilvl w:val="0"/>
        </w:numPr>
      </w:pPr>
      <w:r>
        <w:t xml:space="preserve">The issue strategies of niche parties between elections: an analysis of question time in six countries. Working paper</w:t>
      </w:r>
    </w:p>
    <w:p>
      <w:pPr>
        <w:numPr>
          <w:numId w:val="1008"/>
          <w:ilvl w:val="0"/>
        </w:numPr>
      </w:pPr>
      <w:r>
        <w:t xml:space="preserve">with Emmanouil Tsatsanis, José Ramón Montero, André Freire. What kind of democrats? Ideological and generational gaps in forms of support for democracy in Southern Europe in the aftermath of the economic crisis. Working paper</w:t>
      </w:r>
    </w:p>
    <w:p>
      <w:pPr>
        <w:numPr>
          <w:numId w:val="1008"/>
          <w:ilvl w:val="0"/>
        </w:numPr>
      </w:pPr>
      <w:r>
        <w:t xml:space="preserve">with Julie Sevenans, Emiliano Grossman. Seeking information or pressing for action: analysing the function of parliamentary questions in a comparative perspective. Working paper</w:t>
      </w:r>
    </w:p>
    <w:p>
      <w:pPr>
        <w:pStyle w:val="Heading2"/>
      </w:pPr>
      <w:bookmarkStart w:id="34" w:name="conference-papers-a-selection"/>
      <w:r>
        <w:t xml:space="preserve">CONFERENCE PAPERS (A SELECTION)</w:t>
      </w:r>
      <w:bookmarkEnd w:id="34"/>
    </w:p>
    <w:p>
      <w:pPr>
        <w:numPr>
          <w:numId w:val="1009"/>
          <w:ilvl w:val="0"/>
        </w:numPr>
      </w:pPr>
      <w:r>
        <w:t xml:space="preserve">“</w:t>
      </w:r>
      <w:r>
        <w:t xml:space="preserve">The issue strategies of niche parties between elections: an analysis of question time in six countries.</w:t>
      </w:r>
      <w:r>
        <w:t xml:space="preserve">”</w:t>
      </w:r>
      <w:r>
        <w:t xml:space="preserve">" ECPR General Conference, Hamburg, 2018.</w:t>
      </w:r>
    </w:p>
    <w:p>
      <w:pPr>
        <w:numPr>
          <w:numId w:val="1009"/>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ECPR General Conference, Hamburg, 2018.</w:t>
      </w:r>
    </w:p>
    <w:p>
      <w:pPr>
        <w:numPr>
          <w:numId w:val="1009"/>
          <w:ilvl w:val="0"/>
        </w:numPr>
      </w:pPr>
      <w:r>
        <w:t xml:space="preserve">Enrico Borghetto, Julie Sevenans, Emiliano Grossman. Seeking information or pressing for action: analysing the function of parliamentary questions in a comparative perspective." Comparative Agendas Project, Amsterdam, 2018.</w:t>
      </w:r>
    </w:p>
    <w:p>
      <w:pPr>
        <w:numPr>
          <w:numId w:val="1009"/>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09"/>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09"/>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09"/>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09"/>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09"/>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09"/>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09"/>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09"/>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09"/>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09"/>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09"/>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09"/>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09"/>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09"/>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09"/>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09"/>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09"/>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09"/>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09"/>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09"/>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09"/>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09"/>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09"/>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09"/>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09"/>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09"/>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09"/>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09"/>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09"/>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5" w:name="additional-training"/>
      <w:r>
        <w:t xml:space="preserve">ADDITIONAL TRAINING</w:t>
      </w:r>
      <w:bookmarkEnd w:id="35"/>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6" w:name="other-professional-activities"/>
      <w:r>
        <w:t xml:space="preserve">OTHER PROFESSIONAL ACTIVITIES</w:t>
      </w:r>
      <w:bookmarkEnd w:id="36"/>
    </w:p>
    <w:p>
      <w:pPr>
        <w:pStyle w:val="Heading3"/>
      </w:pPr>
      <w:bookmarkStart w:id="37" w:name="academic-service"/>
      <w:r>
        <w:t xml:space="preserve">Academic service</w:t>
      </w:r>
      <w:bookmarkEnd w:id="37"/>
    </w:p>
    <w:p>
      <w:pPr>
        <w:numPr>
          <w:numId w:val="1011"/>
          <w:ilvl w:val="0"/>
        </w:numPr>
      </w:pPr>
      <w:r>
        <w:t xml:space="preserve">Coordinator for the working group</w:t>
      </w:r>
      <w:r>
        <w:t xml:space="preserve"> </w:t>
      </w:r>
      <w:r>
        <w:t xml:space="preserve">“</w:t>
      </w:r>
      <w:r>
        <w:t xml:space="preserve">Citizenship, Work and Technology - Participação Política, Ativismo e Liderança</w:t>
      </w:r>
      <w:r>
        <w:t xml:space="preserve">”</w:t>
      </w:r>
      <w:r>
        <w:t xml:space="preserve"> </w:t>
      </w:r>
      <w:r>
        <w:t xml:space="preserve">inside of CICS.NOVA.</w:t>
      </w:r>
    </w:p>
    <w:p>
      <w:pPr>
        <w:numPr>
          <w:numId w:val="1011"/>
          <w:ilvl w:val="0"/>
        </w:numPr>
      </w:pPr>
      <w:r>
        <w:t xml:space="preserve">Member of the Italian Political Science Association (since 2008) and the Portuguese Political Science Association (since 2013).</w:t>
      </w:r>
    </w:p>
    <w:p>
      <w:pPr>
        <w:numPr>
          <w:numId w:val="1011"/>
          <w:ilvl w:val="0"/>
        </w:numPr>
      </w:pPr>
      <w:r>
        <w:t xml:space="preserve">Co-chair for the 8th annual International Conference of the Comparative Agendas Project, Nova University of Lisbon/ISCTE, 22-24 June 2015.</w:t>
      </w:r>
      <w:r>
        <w:t xml:space="preserve"> </w:t>
      </w:r>
      <w:hyperlink r:id="rId38">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1"/>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1"/>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9" w:name="translation"/>
      <w:r>
        <w:t xml:space="preserve">Translation</w:t>
      </w:r>
      <w:bookmarkEnd w:id="39"/>
    </w:p>
    <w:p>
      <w:pPr>
        <w:pStyle w:val="Compact"/>
        <w:numPr>
          <w:numId w:val="1012"/>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0" w:name="peer-review"/>
      <w:r>
        <w:t xml:space="preserve">Peer Review</w:t>
      </w:r>
      <w:bookmarkEnd w:id="40"/>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1" w:name="language-skills"/>
      <w:r>
        <w:t xml:space="preserve">LANGUAGE SKILLS</w:t>
      </w:r>
      <w:bookmarkEnd w:id="41"/>
    </w:p>
    <w:p>
      <w:pPr>
        <w:pStyle w:val="Compact"/>
        <w:numPr>
          <w:numId w:val="1014"/>
          <w:ilvl w:val="0"/>
        </w:numPr>
      </w:pPr>
      <w:r>
        <w:t xml:space="preserve">Proficient user in both written and spoken English (ESOL Certificate in Advanced English) and Portuguese.</w:t>
      </w:r>
    </w:p>
    <w:p>
      <w:pPr>
        <w:pStyle w:val="Compact"/>
        <w:numPr>
          <w:numId w:val="1014"/>
          <w:ilvl w:val="0"/>
        </w:numPr>
      </w:pPr>
      <w:r>
        <w:t xml:space="preserve">School knowledge of Spanish, French and German.</w:t>
      </w:r>
    </w:p>
    <w:p>
      <w:pPr>
        <w:pStyle w:val="Heading2"/>
      </w:pPr>
      <w:bookmarkStart w:id="42" w:name="special-skills"/>
      <w:r>
        <w:t xml:space="preserve">SPECIAL SKILLS</w:t>
      </w:r>
      <w:bookmarkEnd w:id="42"/>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b4cdb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56aab6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comparativeagendas.net/pages/2015-conference-in-lisbon-portugal" TargetMode="External" /><Relationship Type="http://schemas.openxmlformats.org/officeDocument/2006/relationships/hyperlink" Id="rId26" Target="https://goo.gl/ExHizi" TargetMode="External" /><Relationship Type="http://schemas.openxmlformats.org/officeDocument/2006/relationships/hyperlink" Id="rId27" Target="https://goo.gl/HMBMaK" TargetMode="External" /><Relationship Type="http://schemas.openxmlformats.org/officeDocument/2006/relationships/hyperlink" Id="rId28"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38" Target="http://www.comparativeagendas.net/pages/2015-conference-in-lisbon-portugal" TargetMode="External" /><Relationship Type="http://schemas.openxmlformats.org/officeDocument/2006/relationships/hyperlink" Id="rId26" Target="https://goo.gl/ExHizi" TargetMode="External" /><Relationship Type="http://schemas.openxmlformats.org/officeDocument/2006/relationships/hyperlink" Id="rId27" Target="https://goo.gl/HMBMaK" TargetMode="External" /><Relationship Type="http://schemas.openxmlformats.org/officeDocument/2006/relationships/hyperlink" Id="rId28"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2019-01-10T17:39:11Z</dcterms:created>
  <dcterms:modified xsi:type="dcterms:W3CDTF">2019-01-10T17:39:11Z</dcterms:modified>
</cp:coreProperties>
</file>