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2020-02-17</w:t>
      </w:r>
    </w:p>
    <w:p>
      <w:pPr>
        <w:pStyle w:val="Heading2"/>
      </w:pPr>
      <w:bookmarkStart w:id="20" w:name="work-address"/>
      <w:r>
        <w:t xml:space="preserve">WORK ADDRESS</w:t>
      </w:r>
      <w:bookmarkEnd w:id="20"/>
    </w:p>
    <w:p>
      <w:pPr>
        <w:pStyle w:val="FirstParagraph"/>
      </w:pPr>
      <w:r>
        <w:t xml:space="preserve">Instituto Português de Relações Internacionais (IPRI)</w:t>
      </w:r>
      <w:r>
        <w:br/>
      </w:r>
      <w:r>
        <w:t xml:space="preserve">Faculty of Human and Social Sciences</w:t>
      </w:r>
      <w:r>
        <w:br/>
      </w:r>
      <w:r>
        <w:t xml:space="preserve">NOVA University of Lisbon</w:t>
      </w:r>
      <w:r>
        <w:br/>
      </w:r>
      <w:r>
        <w:t xml:space="preserve">Avenida de Berna, n. 26-C, 1069-061 Lisboa</w:t>
      </w:r>
    </w:p>
    <w:p>
      <w:pPr>
        <w:pStyle w:val="Heading2"/>
      </w:pPr>
      <w:bookmarkStart w:id="21" w:name="academic-appointments"/>
      <w:r>
        <w:t xml:space="preserve">ACADEMIC APPOINTMENTS</w:t>
      </w:r>
      <w:bookmarkEnd w:id="21"/>
    </w:p>
    <w:p>
      <w:pPr>
        <w:numPr>
          <w:numId w:val="1001"/>
          <w:ilvl w:val="0"/>
        </w:numPr>
      </w:pPr>
      <w:r>
        <w:rPr>
          <w:b/>
        </w:rPr>
        <w:t xml:space="preserve">11/2019-PRESENT</w:t>
      </w:r>
      <w:r>
        <w:t xml:space="preserve"> </w:t>
      </w:r>
      <w:r>
        <w:t xml:space="preserve">Researcher, contract funded by the Fundação para a Ciência e a Tecnologia at IPRI, Faculty of Social and Human Sciences (FCSH)</w:t>
      </w:r>
      <w:r>
        <w:br/>
      </w:r>
      <w:r>
        <w:t xml:space="preserve">University NOVA of Lisbon, Portugal</w:t>
      </w:r>
    </w:p>
    <w:p>
      <w:pPr>
        <w:numPr>
          <w:numId w:val="1001"/>
          <w:ilvl w:val="0"/>
        </w:numPr>
      </w:pPr>
      <w:r>
        <w:rPr>
          <w:b/>
        </w:rPr>
        <w:t xml:space="preserve">03/2015-10/2019</w:t>
      </w:r>
      <w:r>
        <w:t xml:space="preserve"> </w:t>
      </w:r>
      <w:r>
        <w:t xml:space="preserve">FCT investigator, contract funded by the Fundação para a Ciência e a Tecnologia (IF/00382/2014) at CICS.NOVA, Faculty of Social and Human Sciences (FCSH)</w:t>
      </w:r>
      <w:r>
        <w:br/>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r>
      <w:r>
        <w:t xml:space="preserve">Graduate School in Social, Economic and Political Sciences of the University of Milan</w:t>
      </w:r>
      <w:r>
        <w:br/>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r>
      <w:r>
        <w:t xml:space="preserve">University of Bologna (Forlì), Faculty of International and Diplomatic Sciences</w:t>
      </w:r>
      <w:r>
        <w:br/>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7">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8">
        <w:r>
          <w:rPr>
            <w:rStyle w:val="Hyperlink"/>
          </w:rPr>
          <w:t xml:space="preserve">https://goo.gl/HMBMaK</w:t>
        </w:r>
      </w:hyperlink>
    </w:p>
    <w:p>
      <w:pPr>
        <w:pStyle w:val="Heading3"/>
      </w:pPr>
      <w:bookmarkStart w:id="29" w:name="past-projects"/>
      <w:r>
        <w:t xml:space="preserve">PAST PROJECTS</w:t>
      </w:r>
      <w:bookmarkEnd w:id="29"/>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r>
      <w:r>
        <w:t xml:space="preserve">ILMA originated from an idea of a group of scholars affiliated with the Department of Social and Political Studies at the Universita’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r>
      <w:r>
        <w:t xml:space="preserve">Collegio Carlo Alberto di Moncalieri, Torino, Italy</w:t>
      </w:r>
      <w:r>
        <w:br/>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r>
      <w:r>
        <w:t xml:space="preserve">University College London, School of Public Policy, London, UK</w:t>
      </w:r>
      <w:r>
        <w:br/>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r>
      <w:r>
        <w:t xml:space="preserve">Istituto Carlo Cattaneo and Universita’ di Bologna, Bologna, Italy</w:t>
      </w:r>
      <w:r>
        <w:br/>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r>
      <w:r>
        <w:t xml:space="preserve">Tel Aviv, Israel</w:t>
      </w:r>
    </w:p>
    <w:p>
      <w:pPr>
        <w:numPr>
          <w:numId w:val="1005"/>
          <w:ilvl w:val="0"/>
        </w:numPr>
      </w:pPr>
      <w:r>
        <w:rPr>
          <w:b/>
        </w:rPr>
        <w:t xml:space="preserve">Sept 2017/Jan 2018</w:t>
      </w:r>
      <w:r>
        <w:t xml:space="preserve"> </w:t>
      </w:r>
      <w:r>
        <w:t xml:space="preserve">Visiting Researcher, Department of Government</w:t>
      </w:r>
      <w:r>
        <w:br/>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10/02/2020-13/02/2020</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03/10/2019-17/12/2019</w:t>
      </w:r>
      <w:r>
        <w:t xml:space="preserve"> </w:t>
      </w:r>
      <w:r>
        <w:t xml:space="preserve">Course for PhD students</w:t>
      </w:r>
      <w:r>
        <w:t xml:space="preserve"> </w:t>
      </w:r>
      <w:r>
        <w:t xml:space="preserve">“</w:t>
      </w:r>
      <w:r>
        <w:t xml:space="preserve">The Maestri of Political Science</w:t>
      </w:r>
      <w:r>
        <w:t xml:space="preserve">”</w:t>
      </w:r>
      <w:r>
        <w:t xml:space="preserve">, FCSH, Nova University of Lisbon (20 hours)</w:t>
      </w:r>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30/10/2019</w:t>
      </w:r>
      <w:r>
        <w:t xml:space="preserve"> </w:t>
      </w:r>
      <w:r>
        <w:t xml:space="preserve">“</w:t>
      </w:r>
      <w:r>
        <w:t xml:space="preserve">Populism</w:t>
      </w:r>
      <w:r>
        <w:t xml:space="preserve">”</w:t>
      </w:r>
      <w:r>
        <w:t xml:space="preserve">, class for the undergraduate course in Sociology, FCSH, NOVA University of Lisbon</w:t>
      </w:r>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Santana‐Pereira J and Freire A (online first) Parliamentary Questions as an Instrument for Geographic Representation: The Hard Case of Portugal. Swiss Political Science Review n/a(n/a). DOI: 10.1111/spsr.12387.</w:t>
      </w:r>
    </w:p>
    <w:p>
      <w:pPr>
        <w:numPr>
          <w:numId w:val="1009"/>
          <w:ilvl w:val="0"/>
        </w:numPr>
      </w:pPr>
      <w:r>
        <w:t xml:space="preserve">Borghetto E and Belchior AM (2020) Party Manifestos, Opposition and Media as Determinants of the Cabinet Agenda. Political Studies 68(1): 37–53. DOI: 10.1177/0032321718820738.</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Carammia M, Borghetto E and Sousa Galito M (2019) A Agenda do Conselho Europeu face às Crises. In: Camisão I and Brandão AP (eds) O Estado Da União Europeia: Da(s) Crise(s) à Mudança? Petrony, pp. 23–42.</w:t>
      </w:r>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 145-151</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 282-299</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 120-128</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numPr>
          <w:numId w:val="1013"/>
          <w:ilvl w:val="0"/>
        </w:numPr>
      </w:pPr>
      <w:r>
        <w:t xml:space="preserve">The issue strategies of niche parties between elections: an analysis of question time in six countries. Working paper [under review]</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2020-02-17T10:38:16Z</dcterms:created>
  <dcterms:modified xsi:type="dcterms:W3CDTF">2020-02-17T10:38:16Z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enrico.borghetto@fcsh.unl.pt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