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2018-07-25</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2015-PRESENT</w:t>
      </w:r>
      <w:r>
        <w:t xml:space="preserve"> </w:t>
      </w:r>
      <w:r>
        <w:t xml:space="preserve">FCT investigator at CICS.NOVA, FCSH</w:t>
      </w:r>
      <w:r>
        <w:br w:type="textWrapping"/>
      </w:r>
      <w:r>
        <w:t xml:space="preserve">University NOVA of Lisbon, Portugal</w:t>
      </w:r>
    </w:p>
    <w:p>
      <w:pPr>
        <w:numPr>
          <w:numId w:val="1001"/>
          <w:ilvl w:val="0"/>
        </w:numPr>
      </w:pPr>
      <w:r>
        <w:rPr>
          <w:b/>
        </w:rPr>
        <w:t xml:space="preserve">2013-2015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(Grant funded by the Fundação para a Ciência e a Tecnologia, SFRH/BPD/89968/2012)</w:t>
      </w:r>
      <w:r>
        <w:br w:type="textWrapping"/>
      </w:r>
      <w:r>
        <w:t xml:space="preserve">University NOVA of Lisbon, Portugal</w:t>
      </w:r>
    </w:p>
    <w:p>
      <w:pPr>
        <w:numPr>
          <w:numId w:val="1001"/>
          <w:ilvl w:val="0"/>
        </w:numPr>
      </w:pPr>
      <w:r>
        <w:rPr>
          <w:b/>
        </w:rPr>
        <w:t xml:space="preserve">2008-2012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2003-2007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1998-2003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Project financed by the Fundação para a Ciência e a Tecnologia (IF/00382/2014)</w:t>
      </w:r>
    </w:p>
    <w:p>
      <w:pPr>
        <w:numPr>
          <w:numId w:val="1003"/>
          <w:ilvl w:val="0"/>
        </w:numPr>
      </w:pPr>
      <w:r>
        <w:rPr>
          <w:b/>
        </w:rPr>
        <w:t xml:space="preserve">2015-PRESENT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5">
        <w:r>
          <w:rPr>
            <w:rStyle w:val="Hyperlink"/>
          </w:rPr>
          <w:t xml:space="preserve">https://goo.gl/ExHizi</w:t>
        </w:r>
      </w:hyperlink>
    </w:p>
    <w:p>
      <w:pPr>
        <w:numPr>
          <w:numId w:val="1003"/>
          <w:ilvl w:val="0"/>
        </w:numPr>
      </w:pPr>
      <w:r>
        <w:rPr>
          <w:b/>
        </w:rPr>
        <w:t xml:space="preserve">2015-PRESENT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6">
        <w:r>
          <w:rPr>
            <w:rStyle w:val="Hyperlink"/>
          </w:rPr>
          <w:t xml:space="preserve">https://goo.gl/HMBMaK</w:t>
        </w:r>
      </w:hyperlink>
    </w:p>
    <w:p>
      <w:pPr>
        <w:numPr>
          <w:numId w:val="1003"/>
          <w:ilvl w:val="0"/>
        </w:numPr>
      </w:pPr>
      <w:r>
        <w:rPr>
          <w:b/>
        </w:rPr>
        <w:t xml:space="preserve">2014-PRESENT</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2010-PRESENT</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7">
        <w:r>
          <w:rPr>
            <w:rStyle w:val="Hyperlink"/>
          </w:rPr>
          <w:t xml:space="preserve">http://italianpolicyagendas.weebly.com</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8" w:name="teaching-experience"/>
      <w:r>
        <w:t xml:space="preserve">TEACHING EXPERIENCE</w:t>
      </w:r>
      <w:bookmarkEnd w:id="28"/>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w:t>
      </w:r>
    </w:p>
    <w:p>
      <w:pPr>
        <w:numPr>
          <w:numId w:val="1004"/>
          <w:ilvl w:val="0"/>
        </w:numPr>
      </w:pPr>
      <w:r>
        <w:rPr>
          <w:b/>
        </w:rPr>
        <w:t xml:space="preserve">05/02/2018-08/02/2018</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29" w:name="grants-awarded"/>
      <w:r>
        <w:t xml:space="preserve">GRANTS AWARDED</w:t>
      </w:r>
      <w:bookmarkEnd w:id="29"/>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0" w:name="publications"/>
      <w:r>
        <w:t xml:space="preserve">PUBLICATIONS</w:t>
      </w:r>
      <w:bookmarkEnd w:id="30"/>
    </w:p>
    <w:p>
      <w:pPr>
        <w:numPr>
          <w:numId w:val="1006"/>
          <w:ilvl w:val="0"/>
        </w:numPr>
      </w:pPr>
      <w:r>
        <w:t xml:space="preserve">with Marcello Carammia and Shaun Bevan (Forthcoming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w:t>
      </w:r>
    </w:p>
    <w:p>
      <w:pPr>
        <w:numPr>
          <w:numId w:val="1006"/>
          <w:ilvl w:val="0"/>
        </w:numPr>
      </w:pPr>
      <w:r>
        <w:t xml:space="preserve">with Marco Lisi (Forthcoming,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w:t>
      </w:r>
    </w:p>
    <w:p>
      <w:pPr>
        <w:pStyle w:val="Compact"/>
        <w:numPr>
          <w:numId w:val="1007"/>
          <w:ilvl w:val="1"/>
        </w:numPr>
      </w:pP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 65-77</w:t>
      </w:r>
    </w:p>
    <w:p>
      <w:pPr>
        <w:numPr>
          <w:numId w:val="1006"/>
          <w:ilvl w:val="0"/>
        </w:numPr>
      </w:pPr>
      <w:r>
        <w:t xml:space="preserve">with Ivan Kopric, Eva Mar?n Hlynsd?ttir,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1" w:name="other-research-outputs"/>
      <w:r>
        <w:t xml:space="preserve">OTHER RESEARCH OUTPUTS</w:t>
      </w:r>
      <w:bookmarkEnd w:id="31"/>
    </w:p>
    <w:p>
      <w:pPr>
        <w:numPr>
          <w:numId w:val="1008"/>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8"/>
          <w:ilvl w:val="0"/>
        </w:numPr>
      </w:pPr>
      <w:r>
        <w:t xml:space="preserve">The respect of transposition deadlines in Italy: do political priorities matter? URGE Working paper 7/2007</w:t>
      </w:r>
    </w:p>
    <w:p>
      <w:pPr>
        <w:pStyle w:val="Heading2"/>
      </w:pPr>
      <w:bookmarkStart w:id="32" w:name="work-in-progress"/>
      <w:r>
        <w:t xml:space="preserve">WORK IN PROGRESS</w:t>
      </w:r>
      <w:bookmarkEnd w:id="32"/>
    </w:p>
    <w:p>
      <w:pPr>
        <w:numPr>
          <w:numId w:val="1009"/>
          <w:ilvl w:val="0"/>
        </w:numPr>
      </w:pPr>
      <w:r>
        <w:t xml:space="preserve">with Marco Lisi. Populism, blame shifting and the crisis: communication strategies in Portuguese political parties [under review]</w:t>
      </w:r>
    </w:p>
    <w:p>
      <w:pPr>
        <w:numPr>
          <w:numId w:val="1009"/>
          <w:ilvl w:val="0"/>
        </w:numPr>
      </w:pPr>
      <w:r>
        <w:t xml:space="preserve">with Derek Epp. Economic inequality and legislative agendas in Europe [under review]</w:t>
      </w:r>
    </w:p>
    <w:p>
      <w:pPr>
        <w:numPr>
          <w:numId w:val="1009"/>
          <w:ilvl w:val="0"/>
        </w:numPr>
      </w:pPr>
      <w:r>
        <w:t xml:space="preserve">with Ana Belchior. Party manifestos, opposition and media as determinants of the cabinet agenda [under review]</w:t>
      </w:r>
    </w:p>
    <w:p>
      <w:pPr>
        <w:numPr>
          <w:numId w:val="1009"/>
          <w:ilvl w:val="0"/>
        </w:numPr>
      </w:pPr>
      <w:r>
        <w:t xml:space="preserve">with Alessandro Pellegata. Exploring bill winnowing in the Italian Chamber of Deputies. Working paper</w:t>
      </w:r>
    </w:p>
    <w:p>
      <w:pPr>
        <w:numPr>
          <w:numId w:val="1009"/>
          <w:ilvl w:val="0"/>
        </w:numPr>
      </w:pPr>
      <w:r>
        <w:t xml:space="preserve">with André Freire and José Santana Lopes. Constituency Characteristics, Expertise, Civil Society Links and Parliamentary Questions: Evidence from Portugal. Working paper</w:t>
      </w:r>
    </w:p>
    <w:p>
      <w:pPr>
        <w:pStyle w:val="Compact"/>
        <w:numPr>
          <w:numId w:val="1009"/>
          <w:ilvl w:val="0"/>
        </w:numPr>
      </w:pPr>
      <w:r>
        <w:t xml:space="preserve">with Marco Lisi. Parliamentary questions and individual representation in a party-dominated environment: evidence from Portugal. Working paper</w:t>
      </w:r>
      <w:r>
        <w:br w:type="textWrapping"/>
      </w:r>
    </w:p>
    <w:p>
      <w:pPr>
        <w:numPr>
          <w:numId w:val="1009"/>
          <w:ilvl w:val="0"/>
        </w:numPr>
      </w:pPr>
      <w:r>
        <w:t xml:space="preserve">with Ana Belchior. The transmission of policy agendas. The effect of party competition on the gap between electoral priorities and policy outputs. Working paper</w:t>
      </w:r>
    </w:p>
    <w:p>
      <w:pPr>
        <w:numPr>
          <w:numId w:val="1009"/>
          <w:ilvl w:val="0"/>
        </w:numPr>
      </w:pPr>
      <w:r>
        <w:t xml:space="preserve">with Elisabetta de Giorgi. The Five-Star Movement in Parliament: a Truly New Kind of Parliamentary Opposition?</w:t>
      </w:r>
    </w:p>
    <w:p>
      <w:pPr>
        <w:pStyle w:val="Heading2"/>
      </w:pPr>
      <w:bookmarkStart w:id="33" w:name="conference-papers-a-selection"/>
      <w:r>
        <w:t xml:space="preserve">CONFERENCE PAPERS (A SELECTION)</w:t>
      </w:r>
      <w:bookmarkEnd w:id="33"/>
    </w:p>
    <w:p>
      <w:pPr>
        <w:numPr>
          <w:numId w:val="1010"/>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0"/>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10"/>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10"/>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0"/>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10"/>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0"/>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0"/>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0"/>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0"/>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0"/>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0"/>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0"/>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0"/>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0"/>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0"/>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0"/>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0"/>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0"/>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0"/>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0"/>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0"/>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0"/>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0"/>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0"/>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0"/>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0"/>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0"/>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0"/>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0"/>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0"/>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0"/>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0"/>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0"/>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0"/>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0"/>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0"/>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0"/>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4" w:name="additional-training"/>
      <w:r>
        <w:t xml:space="preserve">ADDITIONAL TRAINING</w:t>
      </w:r>
      <w:bookmarkEnd w:id="34"/>
    </w:p>
    <w:p>
      <w:pPr>
        <w:numPr>
          <w:numId w:val="1011"/>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1"/>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1"/>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1"/>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1"/>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1"/>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5" w:name="other-professional-activities"/>
      <w:r>
        <w:t xml:space="preserve">OTHER PROFESSIONAL ACTIVITIES</w:t>
      </w:r>
      <w:bookmarkEnd w:id="35"/>
    </w:p>
    <w:p>
      <w:pPr>
        <w:pStyle w:val="Heading3"/>
      </w:pPr>
      <w:bookmarkStart w:id="36" w:name="academic-service"/>
      <w:r>
        <w:t xml:space="preserve">Academic service</w:t>
      </w:r>
      <w:bookmarkEnd w:id="36"/>
    </w:p>
    <w:p>
      <w:pPr>
        <w:numPr>
          <w:numId w:val="1012"/>
          <w:ilvl w:val="0"/>
        </w:numPr>
      </w:pPr>
      <w:r>
        <w:t xml:space="preserve">Co-chair for the 8th annual International Conference of the Comparative Agendas Project, Nova University of Lisbon/ISCTE, 22-24 June 2015.</w:t>
      </w:r>
      <w:r>
        <w:t xml:space="preserve"> </w:t>
      </w:r>
      <w:hyperlink r:id="rId37">
        <w:r>
          <w:rPr>
            <w:rStyle w:val="Hyperlink"/>
          </w:rPr>
          <w:t xml:space="preserve">http://www.comparativeagendas.net/pages/2015-conference-in-lisbon-portugal</w:t>
        </w:r>
      </w:hyperlink>
    </w:p>
    <w:p>
      <w:pPr>
        <w:numPr>
          <w:numId w:val="1012"/>
          <w:ilvl w:val="0"/>
        </w:numPr>
      </w:pPr>
      <w:r>
        <w:t xml:space="preserve">Organizer for the Pedro Hispano Winter School in Research Skills and Methods 2014 and 2015, Lisboa</w:t>
      </w:r>
    </w:p>
    <w:p>
      <w:pPr>
        <w:numPr>
          <w:numId w:val="1012"/>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2"/>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2"/>
          <w:ilvl w:val="0"/>
        </w:numPr>
      </w:pPr>
      <w:r>
        <w:t xml:space="preserve">Member of the organizing committee for the 4th annual International Conference of the Comparative Agendas Project, University of Catania, 23-25 June 2011</w:t>
      </w:r>
    </w:p>
    <w:p>
      <w:pPr>
        <w:numPr>
          <w:numId w:val="1012"/>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2"/>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8" w:name="translation"/>
      <w:r>
        <w:t xml:space="preserve">Translation</w:t>
      </w:r>
      <w:bookmarkEnd w:id="38"/>
    </w:p>
    <w:p>
      <w:pPr>
        <w:pStyle w:val="Compact"/>
        <w:numPr>
          <w:numId w:val="1013"/>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39" w:name="peer-review"/>
      <w:r>
        <w:t xml:space="preserve">Peer Review</w:t>
      </w:r>
      <w:bookmarkEnd w:id="39"/>
    </w:p>
    <w:p>
      <w:pPr>
        <w:pStyle w:val="Compact"/>
        <w:numPr>
          <w:numId w:val="1014"/>
          <w:ilvl w:val="0"/>
        </w:numPr>
      </w:pPr>
      <w:r>
        <w:t xml:space="preserve">European Union Politics</w:t>
      </w:r>
      <w:r>
        <w:br w:type="textWrapping"/>
      </w:r>
    </w:p>
    <w:p>
      <w:pPr>
        <w:pStyle w:val="Compact"/>
        <w:numPr>
          <w:numId w:val="1014"/>
          <w:ilvl w:val="0"/>
        </w:numPr>
      </w:pPr>
      <w:r>
        <w:t xml:space="preserve">Journal of European Political Research</w:t>
      </w:r>
      <w:r>
        <w:br w:type="textWrapping"/>
      </w:r>
    </w:p>
    <w:p>
      <w:pPr>
        <w:pStyle w:val="Compact"/>
        <w:numPr>
          <w:numId w:val="1014"/>
          <w:ilvl w:val="0"/>
        </w:numPr>
      </w:pPr>
      <w:r>
        <w:t xml:space="preserve">Political Studies</w:t>
      </w:r>
      <w:r>
        <w:br w:type="textWrapping"/>
      </w:r>
    </w:p>
    <w:p>
      <w:pPr>
        <w:pStyle w:val="Compact"/>
        <w:numPr>
          <w:numId w:val="1014"/>
          <w:ilvl w:val="0"/>
        </w:numPr>
      </w:pPr>
      <w:r>
        <w:t xml:space="preserve">Comparative political studies</w:t>
      </w:r>
      <w:r>
        <w:br w:type="textWrapping"/>
      </w:r>
    </w:p>
    <w:p>
      <w:pPr>
        <w:pStyle w:val="Compact"/>
        <w:numPr>
          <w:numId w:val="1014"/>
          <w:ilvl w:val="0"/>
        </w:numPr>
      </w:pPr>
      <w:r>
        <w:t xml:space="preserve">Rivista Italiana di Scienza Politica</w:t>
      </w:r>
      <w:r>
        <w:br w:type="textWrapping"/>
      </w:r>
    </w:p>
    <w:p>
      <w:pPr>
        <w:pStyle w:val="Compact"/>
        <w:numPr>
          <w:numId w:val="1014"/>
          <w:ilvl w:val="0"/>
        </w:numPr>
      </w:pPr>
      <w:r>
        <w:t xml:space="preserve">Publius</w:t>
      </w:r>
      <w:r>
        <w:br w:type="textWrapping"/>
      </w:r>
    </w:p>
    <w:p>
      <w:pPr>
        <w:pStyle w:val="Compact"/>
        <w:numPr>
          <w:numId w:val="1014"/>
          <w:ilvl w:val="0"/>
        </w:numPr>
      </w:pPr>
      <w:r>
        <w:t xml:space="preserve">Journal of Legislative Studies</w:t>
      </w:r>
      <w:r>
        <w:br w:type="textWrapping"/>
      </w:r>
    </w:p>
    <w:p>
      <w:pPr>
        <w:pStyle w:val="Compact"/>
        <w:numPr>
          <w:numId w:val="1014"/>
          <w:ilvl w:val="0"/>
        </w:numPr>
      </w:pPr>
      <w:r>
        <w:t xml:space="preserve">Analise Social</w:t>
      </w:r>
    </w:p>
    <w:p>
      <w:pPr>
        <w:pStyle w:val="Heading2"/>
      </w:pPr>
      <w:bookmarkStart w:id="40" w:name="language-skills"/>
      <w:r>
        <w:t xml:space="preserve">LANGUAGE SKILLS</w:t>
      </w:r>
      <w:bookmarkEnd w:id="40"/>
    </w:p>
    <w:p>
      <w:pPr>
        <w:pStyle w:val="Compact"/>
        <w:numPr>
          <w:numId w:val="1015"/>
          <w:ilvl w:val="0"/>
        </w:numPr>
      </w:pPr>
      <w:r>
        <w:t xml:space="preserve">Proficient user in both written and spoken English (ESOL Certificate in Advanced English) and Portuguese.</w:t>
      </w:r>
    </w:p>
    <w:p>
      <w:pPr>
        <w:pStyle w:val="Compact"/>
        <w:numPr>
          <w:numId w:val="1015"/>
          <w:ilvl w:val="0"/>
        </w:numPr>
      </w:pPr>
      <w:r>
        <w:t xml:space="preserve">School knowledge of Spanish, French and German.</w:t>
      </w:r>
    </w:p>
    <w:p>
      <w:pPr>
        <w:pStyle w:val="Heading2"/>
      </w:pPr>
      <w:bookmarkStart w:id="41" w:name="special-skills"/>
      <w:r>
        <w:t xml:space="preserve">SPECIAL SKILLS</w:t>
      </w:r>
      <w:bookmarkEnd w:id="41"/>
    </w:p>
    <w:p>
      <w:pPr>
        <w:pStyle w:val="Compact"/>
        <w:numPr>
          <w:numId w:val="1016"/>
          <w:ilvl w:val="0"/>
        </w:numPr>
      </w:pPr>
      <w:r>
        <w:t xml:space="preserve">R, Rmarkdown</w:t>
      </w:r>
    </w:p>
    <w:p>
      <w:pPr>
        <w:pStyle w:val="Compact"/>
        <w:numPr>
          <w:numId w:val="1016"/>
          <w:ilvl w:val="0"/>
        </w:numPr>
      </w:pPr>
      <w:r>
        <w:t xml:space="preserve">Ms Office</w:t>
      </w:r>
    </w:p>
    <w:p>
      <w:pPr>
        <w:pStyle w:val="Compact"/>
        <w:numPr>
          <w:numId w:val="1016"/>
          <w:ilvl w:val="0"/>
        </w:numPr>
      </w:pPr>
      <w:r>
        <w:t xml:space="preserve">SQL</w:t>
      </w:r>
    </w:p>
    <w:p>
      <w:pPr>
        <w:pStyle w:val="Compact"/>
        <w:numPr>
          <w:numId w:val="1016"/>
          <w:ilvl w:val="0"/>
        </w:numPr>
      </w:pPr>
      <w:r>
        <w:t xml:space="preserve">SPARQL</w:t>
      </w:r>
    </w:p>
    <w:p>
      <w:pPr>
        <w:pStyle w:val="Compact"/>
        <w:numPr>
          <w:numId w:val="1016"/>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b1b1f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2678fa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18">
    <w:nsid w:val="eb6c0261"/>
    <w:multiLevelType w:val="multilevel"/>
    <w:lvl w:ilvl="0">
      <w:start w:val="2018"/>
      <w:numFmt w:val="decimal"/>
      <w:lvlText w:val="(%1)"/>
      <w:lvlJc w:val="left"/>
      <w:pPr>
        <w:tabs>
          <w:tab w:val="num" w:pos="0"/>
        </w:tabs>
        <w:ind w:left="480" w:hanging="480"/>
      </w:pPr>
    </w:lvl>
    <w:lvl w:ilvl="1">
      <w:start w:val="2018"/>
      <w:numFmt w:val="decimal"/>
      <w:lvlText w:val="(%2)"/>
      <w:lvlJc w:val="left"/>
      <w:pPr>
        <w:tabs>
          <w:tab w:val="num" w:pos="720"/>
        </w:tabs>
        <w:ind w:left="1200" w:hanging="480"/>
      </w:pPr>
    </w:lvl>
    <w:lvl w:ilvl="2">
      <w:start w:val="2018"/>
      <w:numFmt w:val="decimal"/>
      <w:lvlText w:val="(%3)"/>
      <w:lvlJc w:val="left"/>
      <w:pPr>
        <w:tabs>
          <w:tab w:val="num" w:pos="1440"/>
        </w:tabs>
        <w:ind w:left="1920" w:hanging="480"/>
      </w:pPr>
    </w:lvl>
    <w:lvl w:ilvl="3">
      <w:start w:val="2018"/>
      <w:numFmt w:val="decimal"/>
      <w:lvlText w:val="(%4)"/>
      <w:lvlJc w:val="left"/>
      <w:pPr>
        <w:tabs>
          <w:tab w:val="num" w:pos="2160"/>
        </w:tabs>
        <w:ind w:left="2640" w:hanging="480"/>
      </w:pPr>
    </w:lvl>
    <w:lvl w:ilvl="4">
      <w:start w:val="2018"/>
      <w:numFmt w:val="decimal"/>
      <w:lvlText w:val="(%5)"/>
      <w:lvlJc w:val="left"/>
      <w:pPr>
        <w:tabs>
          <w:tab w:val="num" w:pos="2880"/>
        </w:tabs>
        <w:ind w:left="3360" w:hanging="480"/>
      </w:pPr>
    </w:lvl>
    <w:lvl w:ilvl="5">
      <w:start w:val="2018"/>
      <w:numFmt w:val="decimal"/>
      <w:lvlText w:val="(%6)"/>
      <w:lvlJc w:val="left"/>
      <w:pPr>
        <w:tabs>
          <w:tab w:val="num" w:pos="3600"/>
        </w:tabs>
        <w:ind w:left="4080" w:hanging="480"/>
      </w:pPr>
    </w:lvl>
    <w:lvl w:ilvl="6">
      <w:start w:val="2018"/>
      <w:numFmt w:val="decimal"/>
      <w:lvlText w:val="(%7)"/>
      <w:lvlJc w:val="left"/>
      <w:pPr>
        <w:tabs>
          <w:tab w:val="num" w:pos="4320"/>
        </w:tabs>
        <w:ind w:left="4800" w:hanging="480"/>
      </w:pPr>
    </w:lvl>
    <w:lvl w:ilvl="7">
      <w:start w:val="2018"/>
      <w:numFmt w:val="decimal"/>
      <w:lvlText w:val="(%8)"/>
      <w:lvlJc w:val="left"/>
      <w:pPr>
        <w:tabs>
          <w:tab w:val="num" w:pos="5040"/>
        </w:tabs>
        <w:ind w:left="5520" w:hanging="480"/>
      </w:pPr>
    </w:lvl>
    <w:lvl w:ilvl="8">
      <w:start w:val="2018"/>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32018"/>
    <w:lvlOverride w:ilvl="0">
      <w:startOverride w:val="2018"/>
    </w:lvlOverride>
    <w:lvlOverride w:ilvl="1">
      <w:startOverride w:val="2018"/>
    </w:lvlOverride>
    <w:lvlOverride w:ilvl="2">
      <w:startOverride w:val="2018"/>
    </w:lvlOverride>
    <w:lvlOverride w:ilvl="3">
      <w:startOverride w:val="2018"/>
    </w:lvlOverride>
    <w:lvlOverride w:ilvl="4">
      <w:startOverride w:val="2018"/>
    </w:lvlOverride>
    <w:lvlOverride w:ilvl="5">
      <w:startOverride w:val="2018"/>
    </w:lvlOverride>
    <w:lvlOverride w:ilvl="6">
      <w:startOverride w:val="2018"/>
    </w:lvlOverride>
    <w:lvlOverride w:ilvl="7">
      <w:startOverride w:val="2018"/>
    </w:lvlOverride>
    <w:lvlOverride w:ilvl="8">
      <w:startOverride w:val="2018"/>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_rels/footnotes.xml.rels><?xml version="1.0" encoding="UTF-8"?>
<Relationships xmlns="http://schemas.openxmlformats.org/package/2006/relationships"><Relationship Type="http://schemas.openxmlformats.org/officeDocument/2006/relationships/hyperlink" Id="rId27" Target="http://italianpolicyagendas.weebly.com" TargetMode="External" /><Relationship Type="http://schemas.openxmlformats.org/officeDocument/2006/relationships/hyperlink" Id="rId37" Target="http://www.comparativeagendas.net/pages/2015-conference-in-lisbon-portugal" TargetMode="External" /><Relationship Type="http://schemas.openxmlformats.org/officeDocument/2006/relationships/hyperlink" Id="rId25" Target="https://goo.gl/ExHizi" TargetMode="External" /><Relationship Type="http://schemas.openxmlformats.org/officeDocument/2006/relationships/hyperlink" Id="rId26" Target="https://goo.gl/HMBM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2018-07-25T13:42:49Z</dcterms:created>
  <dcterms:modified xsi:type="dcterms:W3CDTF">2018-07-25T13:42:49Z</dcterms:modified>
</cp:coreProperties>
</file>