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2018-06-20</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w:t>
      </w:r>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r>
        <w:t xml:space="preserve">TEACHING EXPERIENCE</w:t>
      </w:r>
      <w:bookmarkEnd w:id="28"/>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w:t>
      </w:r>
    </w:p>
    <w:p>
      <w:pPr>
        <w:numPr>
          <w:numId w:val="1004"/>
          <w:ilvl w:val="0"/>
        </w:numPr>
      </w:pPr>
      <w:r>
        <w:rPr>
          <w:b/>
        </w:rPr>
        <w:t xml:space="preserve">05/02/2018-08/02/2018</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r>
        <w:t xml:space="preserve">GRANTS AWARDED</w:t>
      </w:r>
      <w:bookmarkEnd w:id="29"/>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r>
        <w:t xml:space="preserve">PUBLICATIONS</w:t>
      </w:r>
      <w:bookmarkEnd w:id="30"/>
    </w:p>
    <w:p>
      <w:pPr>
        <w:numPr>
          <w:numId w:val="1006"/>
          <w:ilvl w:val="0"/>
        </w:numPr>
      </w:pPr>
      <w:r>
        <w:t xml:space="preserve">with Marco Lisi (Forthcoming,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w:t>
      </w:r>
    </w:p>
    <w:p>
      <w:pPr>
        <w:numPr>
          <w:numId w:val="1006"/>
          <w:ilvl w:val="0"/>
        </w:numPr>
      </w:pPr>
      <w:r>
        <w:t xml:space="preserve">(Forthcoming,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w:t>
      </w:r>
    </w:p>
    <w:p>
      <w:pPr>
        <w:numPr>
          <w:numId w:val="1006"/>
          <w:ilvl w:val="0"/>
        </w:numPr>
      </w:pPr>
      <w:r>
        <w:t xml:space="preserve">(Forthcoming,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 65-77</w:t>
      </w:r>
    </w:p>
    <w:p>
      <w:pPr>
        <w:numPr>
          <w:numId w:val="1006"/>
          <w:ilvl w:val="0"/>
        </w:numPr>
      </w:pPr>
      <w:r>
        <w:t xml:space="preserve">with Ivan Kopric, Eva Mar?n Hlynsd?ttir,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1" w:name="other-research-outputs"/>
      <w:r>
        <w:t xml:space="preserve">OTHER RESEARCH OUTPUTS</w:t>
      </w:r>
      <w:bookmarkEnd w:id="31"/>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2" w:name="work-in-progress"/>
      <w:r>
        <w:t xml:space="preserve">WORK IN PROGRESS</w:t>
      </w:r>
      <w:bookmarkEnd w:id="32"/>
    </w:p>
    <w:p>
      <w:pPr>
        <w:numPr>
          <w:numId w:val="1008"/>
          <w:ilvl w:val="0"/>
        </w:numPr>
      </w:pPr>
      <w:r>
        <w:t xml:space="preserve">with Marcello Carammia and Shaun Bevan. Changing the Transmission Belt: The Programme-to-Policy Link in Italy between the First and Second Republic. [submitted]</w:t>
      </w:r>
    </w:p>
    <w:p>
      <w:pPr>
        <w:numPr>
          <w:numId w:val="1008"/>
          <w:ilvl w:val="0"/>
        </w:numPr>
      </w:pPr>
      <w:r>
        <w:t xml:space="preserve">with Marco Lisi. Populism, blame shifting and the crisis: communication strategies in Portuguese political parties [submitted]</w:t>
      </w:r>
    </w:p>
    <w:p>
      <w:pPr>
        <w:numPr>
          <w:numId w:val="1008"/>
          <w:ilvl w:val="0"/>
        </w:numPr>
      </w:pPr>
      <w:r>
        <w:t xml:space="preserve">with Derek Epp. Economic inequality and legislative agendas in Europe [submitted].</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w:t>
      </w:r>
    </w:p>
    <w:p>
      <w:pPr>
        <w:numPr>
          <w:numId w:val="1008"/>
          <w:ilvl w:val="0"/>
        </w:numPr>
      </w:pPr>
      <w:r>
        <w:t xml:space="preserve">with Ana Belchior. The determinants of the executive weekly agenda in Portugal: party mandates vs media attention</w:t>
      </w:r>
    </w:p>
    <w:p>
      <w:pPr>
        <w:pStyle w:val="Heading2"/>
      </w:pPr>
      <w:bookmarkStart w:id="33" w:name="conference-papers-a-selection"/>
      <w:r>
        <w:t xml:space="preserve">CONFERENCE PAPERS (A SELECTION)</w:t>
      </w:r>
      <w:bookmarkEnd w:id="33"/>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4" w:name="additional-training"/>
      <w:r>
        <w:t xml:space="preserve">ADDITIONAL TRAINING</w:t>
      </w:r>
      <w:bookmarkEnd w:id="34"/>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r>
        <w:t xml:space="preserve">OTHER PROFESSIONAL ACTIVITIES</w:t>
      </w:r>
      <w:bookmarkEnd w:id="35"/>
    </w:p>
    <w:p>
      <w:pPr>
        <w:pStyle w:val="Heading3"/>
      </w:pPr>
      <w:bookmarkStart w:id="36" w:name="academic-service"/>
      <w:r>
        <w:t xml:space="preserve">Academic service</w:t>
      </w:r>
      <w:bookmarkEnd w:id="36"/>
    </w:p>
    <w:p>
      <w:pPr>
        <w:numPr>
          <w:numId w:val="1011"/>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8" w:name="translation"/>
      <w:r>
        <w:t xml:space="preserve">Translation</w:t>
      </w:r>
      <w:bookmarkEnd w:id="38"/>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39" w:name="peer-review"/>
      <w:r>
        <w:t xml:space="preserve">Peer Review</w:t>
      </w:r>
      <w:bookmarkEnd w:id="39"/>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0" w:name="language-skills"/>
      <w:r>
        <w:t xml:space="preserve">LANGUAGE SKILLS</w:t>
      </w:r>
      <w:bookmarkEnd w:id="40"/>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1" w:name="special-skills"/>
      <w:r>
        <w:t xml:space="preserve">SPECIAL SKILLS</w:t>
      </w:r>
      <w:bookmarkEnd w:id="41"/>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884da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3e2b6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2018-06-20T08:51:56Z</dcterms:created>
  <dcterms:modified xsi:type="dcterms:W3CDTF">2018-06-20T08:51:56Z</dcterms:modified>
</cp:coreProperties>
</file>