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2020-05-02</w:t>
      </w:r>
    </w:p>
    <w:p>
      <w:pPr>
        <w:pStyle w:val="Heading2"/>
      </w:pPr>
      <w:bookmarkStart w:id="20" w:name="work-address"/>
      <w:r>
        <w:t xml:space="preserve">WORK ADDRESS</w:t>
      </w:r>
      <w:bookmarkEnd w:id="20"/>
    </w:p>
    <w:p>
      <w:pPr>
        <w:pStyle w:val="FirstParagraph"/>
      </w:pPr>
      <w:r>
        <w:t xml:space="preserve">Dipartimento di Scienze Politiche e Sociali</w:t>
      </w:r>
      <w:r>
        <w:br/>
      </w:r>
      <w:r>
        <w:t xml:space="preserve">Università degli Studi di Firenze</w:t>
      </w:r>
      <w:r>
        <w:br/>
      </w:r>
      <w:r>
        <w:t xml:space="preserve">via delle Pandette, 32 (Building D1) 3rd floor, Florence, FI 50127</w:t>
      </w:r>
    </w:p>
    <w:p>
      <w:pPr>
        <w:pStyle w:val="Heading2"/>
      </w:pPr>
      <w:bookmarkStart w:id="21" w:name="academic-appointments"/>
      <w:r>
        <w:t xml:space="preserve">ACADEMIC APPOINTMENTS</w:t>
      </w:r>
      <w:bookmarkEnd w:id="21"/>
    </w:p>
    <w:p>
      <w:pPr>
        <w:numPr>
          <w:numId w:val="1001"/>
          <w:ilvl w:val="0"/>
        </w:numPr>
      </w:pPr>
      <w:r>
        <w:rPr>
          <w:b/>
        </w:rPr>
        <w:t xml:space="preserve">04/2020-PRESENT</w:t>
      </w:r>
      <w:r>
        <w:t xml:space="preserve"> </w:t>
      </w:r>
      <w:r>
        <w:t xml:space="preserve">Assistant Professor, Department of Political and Social Sciences (DSPS)</w:t>
      </w:r>
      <w:r>
        <w:br/>
      </w:r>
      <w:r>
        <w:t xml:space="preserve">University of Florence, Italy</w:t>
      </w:r>
    </w:p>
    <w:p>
      <w:pPr>
        <w:numPr>
          <w:numId w:val="1001"/>
          <w:ilvl w:val="0"/>
        </w:numPr>
      </w:pPr>
      <w:r>
        <w:rPr>
          <w:b/>
        </w:rPr>
        <w:t xml:space="preserve">11/2019-PRESENT</w:t>
      </w:r>
      <w:r>
        <w:t xml:space="preserve"> </w:t>
      </w:r>
      <w:r>
        <w:t xml:space="preserve">Researcher, contract funded by the Fundação para a Ciência e a Tecnologia at IPRI, Faculty of Social and Human Sciences (FCSH)</w:t>
      </w:r>
      <w:r>
        <w:br/>
      </w:r>
      <w:r>
        <w:t xml:space="preserve">University NOVA of Lisbon, Portugal</w:t>
      </w:r>
    </w:p>
    <w:p>
      <w:pPr>
        <w:numPr>
          <w:numId w:val="1001"/>
          <w:ilvl w:val="0"/>
        </w:numPr>
      </w:pPr>
      <w:r>
        <w:rPr>
          <w:b/>
        </w:rPr>
        <w:t xml:space="preserve">03/2015-10/2019</w:t>
      </w:r>
      <w:r>
        <w:t xml:space="preserve"> </w:t>
      </w:r>
      <w:r>
        <w:t xml:space="preserve">FCT investigator, contract funded by the Fundação para a Ciência e a Tecnologia (IF/00382/2014) at CICS.NOVA, Faculty of Social and Human Sciences (FCSH)</w:t>
      </w:r>
      <w:r>
        <w:br/>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r>
      <w:r>
        <w:t xml:space="preserve">University of Milan, Milano, Italy</w:t>
      </w:r>
    </w:p>
    <w:p>
      <w:pPr>
        <w:pStyle w:val="Heading2"/>
      </w:pPr>
      <w:bookmarkStart w:id="22" w:name="education"/>
      <w:r>
        <w:t xml:space="preserve">EDUCATION</w:t>
      </w:r>
      <w:bookmarkEnd w:id="22"/>
    </w:p>
    <w:p>
      <w:pPr>
        <w:numPr>
          <w:numId w:val="1002"/>
          <w:ilvl w:val="0"/>
        </w:numPr>
      </w:pPr>
      <w:r>
        <w:rPr>
          <w:b/>
        </w:rPr>
        <w:t xml:space="preserve">09/2003-07/2007</w:t>
      </w:r>
      <w:r>
        <w:t xml:space="preserve"> </w:t>
      </w:r>
      <w:r>
        <w:t xml:space="preserve">Ph.D. in Political Studies</w:t>
      </w:r>
      <w:r>
        <w:br/>
      </w:r>
      <w:r>
        <w:t xml:space="preserve">Graduate School in Social, Economic and Political Sciences of the University of Milan</w:t>
      </w:r>
      <w:r>
        <w:br/>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r>
      <w:r>
        <w:t xml:space="preserve">University of Bologna (Forlì), Faculty of International and Diplomatic Sciences</w:t>
      </w:r>
      <w:r>
        <w:br/>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r>
      <w:r>
        <w:t xml:space="preserve">Liceo Linguistico sperimentale A.Canova, Treviso</w:t>
      </w:r>
    </w:p>
    <w:p>
      <w:pPr>
        <w:pStyle w:val="Heading2"/>
      </w:pPr>
      <w:bookmarkStart w:id="23" w:name="research-experience"/>
      <w:r>
        <w:t xml:space="preserve">RESEARCH EXPERIENCE</w:t>
      </w:r>
      <w:bookmarkEnd w:id="23"/>
    </w:p>
    <w:p>
      <w:pPr>
        <w:pStyle w:val="Heading3"/>
      </w:pPr>
      <w:bookmarkStart w:id="24" w:name="current-projects"/>
      <w:r>
        <w:t xml:space="preserve">CURRENT PROJECTS</w:t>
      </w:r>
      <w:bookmarkEnd w:id="24"/>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5">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6">
        <w:r>
          <w:rPr>
            <w:rStyle w:val="Hyperlink"/>
          </w:rPr>
          <w:t xml:space="preserve">https://www.comparativeagendas.net/italy</w:t>
        </w:r>
      </w:hyperlink>
    </w:p>
    <w:p>
      <w:pPr>
        <w:numPr>
          <w:numId w:val="1003"/>
          <w:ilvl w:val="0"/>
        </w:numPr>
      </w:pPr>
      <w:r>
        <w:rPr>
          <w:b/>
        </w:rPr>
        <w:t xml:space="preserve">2020-PRESENT</w:t>
      </w:r>
      <w:r>
        <w:t xml:space="preserve"> </w:t>
      </w:r>
      <w:r>
        <w:t xml:space="preserve">Principal investigator for</w:t>
      </w:r>
      <w:r>
        <w:t xml:space="preserve"> </w:t>
      </w:r>
      <w:r>
        <w:t xml:space="preserve">“</w:t>
      </w:r>
      <w:r>
        <w:t xml:space="preserve">ConstiRep: Constituency Service and policy representation in European Parliaments</w:t>
      </w:r>
      <w:r>
        <w:t xml:space="preserve">”</w:t>
      </w:r>
      <w:r>
        <w:t xml:space="preserve">. This research project is funded by the Transnational Cooperation Program Pessoa (2020) and involves the FCSH and Lille University.</w:t>
      </w:r>
    </w:p>
    <w:p>
      <w:pPr>
        <w:pStyle w:val="Heading3"/>
      </w:pPr>
      <w:bookmarkStart w:id="27" w:name="past-projects"/>
      <w:r>
        <w:t xml:space="preserve">PAST PROJECTS</w:t>
      </w:r>
      <w:bookmarkEnd w:id="27"/>
    </w:p>
    <w:p>
      <w:pPr>
        <w:numPr>
          <w:numId w:val="1004"/>
          <w:ilvl w:val="0"/>
        </w:numPr>
      </w:pPr>
      <w:r>
        <w:rPr>
          <w:b/>
        </w:rPr>
        <w:t xml:space="preserve">2015-2020</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4"/>
          <w:ilvl w:val="0"/>
        </w:numPr>
      </w:pPr>
      <w:r>
        <w:rPr>
          <w:b/>
        </w:rPr>
        <w:t xml:space="preserve">2016-2020</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8">
        <w:r>
          <w:rPr>
            <w:rStyle w:val="Hyperlink"/>
          </w:rPr>
          <w:t xml:space="preserve">https://goo.gl/ExHizi</w:t>
        </w:r>
      </w:hyperlink>
    </w:p>
    <w:p>
      <w:pPr>
        <w:numPr>
          <w:numId w:val="1004"/>
          <w:ilvl w:val="0"/>
        </w:numPr>
      </w:pPr>
      <w:r>
        <w:rPr>
          <w:b/>
        </w:rPr>
        <w:t xml:space="preserve">2016-2020</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9">
        <w:r>
          <w:rPr>
            <w:rStyle w:val="Hyperlink"/>
          </w:rPr>
          <w:t xml:space="preserve">https://goo.gl/HMBMaK</w:t>
        </w:r>
      </w:hyperlink>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r>
      <w:r>
        <w:t xml:space="preserve">ILMA originated from an idea of a group of scholars affiliated with the Department of Social and Political Studies at the Universita’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r>
      <w:r>
        <w:t xml:space="preserve">Collegio Carlo Alberto di Moncalieri, Torino, Italy</w:t>
      </w:r>
      <w:r>
        <w:br/>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r>
      <w:r>
        <w:t xml:space="preserve">University College London, School of Public Policy, London, UK</w:t>
      </w:r>
      <w:r>
        <w:br/>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r>
      <w:r>
        <w:t xml:space="preserve">Istituto Carlo Cattaneo and Universita’ di Bologna, Bologna, Italy</w:t>
      </w:r>
      <w:r>
        <w:br/>
      </w:r>
      <w:r>
        <w:t xml:space="preserve">Key areas of responsibility: assistance in drafting the questionnaire; interviews with over 30 members of the Lombardia Regional Council.</w:t>
      </w:r>
    </w:p>
    <w:p>
      <w:pPr>
        <w:pStyle w:val="Heading3"/>
      </w:pPr>
      <w:bookmarkStart w:id="30" w:name="visiting-research-periods"/>
      <w:r>
        <w:t xml:space="preserve">VISITING RESEARCH PERIODS</w:t>
      </w:r>
      <w:bookmarkEnd w:id="30"/>
    </w:p>
    <w:p>
      <w:pPr>
        <w:numPr>
          <w:numId w:val="1005"/>
          <w:ilvl w:val="0"/>
        </w:numPr>
      </w:pPr>
      <w:r>
        <w:rPr>
          <w:b/>
        </w:rPr>
        <w:t xml:space="preserve">May 2019</w:t>
      </w:r>
      <w:r>
        <w:t xml:space="preserve"> </w:t>
      </w:r>
      <w:r>
        <w:t xml:space="preserve">Visiting Researcher, IDC Herzliya</w:t>
      </w:r>
      <w:r>
        <w:br/>
      </w:r>
      <w:r>
        <w:t xml:space="preserve">Tel Aviv, Israel</w:t>
      </w:r>
    </w:p>
    <w:p>
      <w:pPr>
        <w:numPr>
          <w:numId w:val="1005"/>
          <w:ilvl w:val="0"/>
        </w:numPr>
      </w:pPr>
      <w:r>
        <w:rPr>
          <w:b/>
        </w:rPr>
        <w:t xml:space="preserve">Sept 2017/Jan 2018</w:t>
      </w:r>
      <w:r>
        <w:t xml:space="preserve"> </w:t>
      </w:r>
      <w:r>
        <w:t xml:space="preserve">Visiting Researcher, Department of Government</w:t>
      </w:r>
      <w:r>
        <w:br/>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r>
      <w:r>
        <w:t xml:space="preserve">University College London, London, UK</w:t>
      </w:r>
    </w:p>
    <w:p>
      <w:pPr>
        <w:pStyle w:val="Heading2"/>
      </w:pPr>
      <w:bookmarkStart w:id="31" w:name="teaching-experience"/>
      <w:r>
        <w:t xml:space="preserve">TEACHING EXPERIENCE</w:t>
      </w:r>
      <w:bookmarkEnd w:id="31"/>
    </w:p>
    <w:p>
      <w:pPr>
        <w:pStyle w:val="Heading3"/>
      </w:pPr>
      <w:bookmarkStart w:id="32" w:name="whole-courses"/>
      <w:r>
        <w:t xml:space="preserve">WHOLE COURSES:</w:t>
      </w:r>
      <w:bookmarkEnd w:id="32"/>
    </w:p>
    <w:p>
      <w:pPr>
        <w:numPr>
          <w:numId w:val="1006"/>
          <w:ilvl w:val="0"/>
        </w:numPr>
      </w:pPr>
      <w:r>
        <w:rPr>
          <w:b/>
        </w:rPr>
        <w:t xml:space="preserve">06/04/2020-30/05/2020</w:t>
      </w:r>
      <w:r>
        <w:t xml:space="preserve"> </w:t>
      </w:r>
      <w:r>
        <w:t xml:space="preserve">“</w:t>
      </w:r>
      <w:r>
        <w:t xml:space="preserve">Comparative Politics</w:t>
      </w:r>
      <w:r>
        <w:t xml:space="preserve">”</w:t>
      </w:r>
      <w:r>
        <w:t xml:space="preserve">, Undergraduate course, University of Florence, 9 ECTS (32 hours)</w:t>
      </w:r>
    </w:p>
    <w:p>
      <w:pPr>
        <w:numPr>
          <w:numId w:val="1006"/>
          <w:ilvl w:val="0"/>
        </w:numPr>
      </w:pPr>
      <w:r>
        <w:rPr>
          <w:b/>
        </w:rPr>
        <w:t xml:space="preserve">18/02/2020-30/05/2020</w:t>
      </w:r>
      <w:r>
        <w:t xml:space="preserve"> </w:t>
      </w:r>
      <w:r>
        <w:t xml:space="preserve">“</w:t>
      </w:r>
      <w:r>
        <w:t xml:space="preserve">Analise Politica Comparada</w:t>
      </w:r>
      <w:r>
        <w:t xml:space="preserve">”</w:t>
      </w:r>
      <w:r>
        <w:t xml:space="preserve">, Undergraduate course, FCSH, Nova University of Lisbon, 6 ECTS (64 hours)</w:t>
      </w:r>
    </w:p>
    <w:p>
      <w:pPr>
        <w:numPr>
          <w:numId w:val="1006"/>
          <w:ilvl w:val="0"/>
        </w:numPr>
      </w:pPr>
      <w:r>
        <w:rPr>
          <w:b/>
        </w:rPr>
        <w:t xml:space="preserve">10/02/2020-13/02/2020</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03/10/2019-17/12/2019</w:t>
      </w:r>
      <w:r>
        <w:t xml:space="preserve"> </w:t>
      </w:r>
      <w:r>
        <w:t xml:space="preserve">Course for PhD students</w:t>
      </w:r>
      <w:r>
        <w:t xml:space="preserve"> </w:t>
      </w:r>
      <w:r>
        <w:t xml:space="preserve">“</w:t>
      </w:r>
      <w:r>
        <w:t xml:space="preserve">The Maestri of Political Science</w:t>
      </w:r>
      <w:r>
        <w:t xml:space="preserve">”</w:t>
      </w:r>
      <w:r>
        <w:t xml:space="preserve">, FCSH, Nova University of Lisbon (20 hours)</w:t>
      </w:r>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3" w:name="one-off-classes"/>
      <w:r>
        <w:t xml:space="preserve">ONE-OFF CLASSES:</w:t>
      </w:r>
      <w:bookmarkEnd w:id="33"/>
    </w:p>
    <w:p>
      <w:pPr>
        <w:numPr>
          <w:numId w:val="1007"/>
          <w:ilvl w:val="0"/>
        </w:numPr>
      </w:pPr>
      <w:r>
        <w:rPr>
          <w:b/>
        </w:rPr>
        <w:t xml:space="preserve">30/10/2019</w:t>
      </w:r>
      <w:r>
        <w:t xml:space="preserve"> </w:t>
      </w:r>
      <w:r>
        <w:t xml:space="preserve">“</w:t>
      </w:r>
      <w:r>
        <w:t xml:space="preserve">Populism</w:t>
      </w:r>
      <w:r>
        <w:t xml:space="preserve">”</w:t>
      </w:r>
      <w:r>
        <w:t xml:space="preserve">, class for the undergraduate course in Sociology, FCSH, NOVA University of Lisbon</w:t>
      </w:r>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4" w:name="grants-and-awards"/>
      <w:r>
        <w:t xml:space="preserve">GRANTS AND AWARDS</w:t>
      </w:r>
      <w:bookmarkEnd w:id="34"/>
    </w:p>
    <w:p>
      <w:pPr>
        <w:numPr>
          <w:numId w:val="1008"/>
          <w:ilvl w:val="0"/>
        </w:numPr>
      </w:pPr>
      <w:r>
        <w:t xml:space="preserve">2019</w:t>
      </w:r>
      <w:r>
        <w:t xml:space="preserve"> </w:t>
      </w:r>
      <w:r>
        <w:t xml:space="preserve">“</w:t>
      </w:r>
      <w:r>
        <w:t xml:space="preserve">Carlo Maria Santoro</w:t>
      </w:r>
      <w:r>
        <w:t xml:space="preserve">”</w:t>
      </w:r>
      <w:r>
        <w:t xml:space="preserve"> </w:t>
      </w:r>
      <w:r>
        <w:t xml:space="preserve">Award for best paper presented in the 2018 Annual Conference of the Italian Political Science Association</w:t>
      </w:r>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5" w:name="publications"/>
      <w:r>
        <w:t xml:space="preserve">PUBLICATIONS</w:t>
      </w:r>
      <w:bookmarkEnd w:id="35"/>
    </w:p>
    <w:p>
      <w:pPr>
        <w:pStyle w:val="Heading3"/>
      </w:pPr>
      <w:bookmarkStart w:id="36" w:name="articles-in-academic-journals"/>
      <w:r>
        <w:t xml:space="preserve">ARTICLES IN ACADEMIC JOURNALS</w:t>
      </w:r>
      <w:bookmarkEnd w:id="36"/>
    </w:p>
    <w:p>
      <w:pPr>
        <w:numPr>
          <w:numId w:val="1009"/>
          <w:ilvl w:val="0"/>
        </w:numPr>
      </w:pPr>
      <w:r>
        <w:t xml:space="preserve">Epp DA and Borghetto E (forthcoming) Legislative Agendas during Periods of Inequality: Evidence from Europe and the United States. Journal of European Public Policy.</w:t>
      </w:r>
    </w:p>
    <w:p>
      <w:pPr>
        <w:numPr>
          <w:numId w:val="1009"/>
          <w:ilvl w:val="0"/>
        </w:numPr>
      </w:pPr>
      <w:r>
        <w:t xml:space="preserve">Borghetto E, Santana‐Pereira J and Freire A (2020) Parliamentary Questions as an Instrument for Geographic Representation: The Hard Case of Portugal. Swiss Political Science Review 26(1): 10-30. DOI: 10.1111/spsr.12387.</w:t>
      </w:r>
    </w:p>
    <w:p>
      <w:pPr>
        <w:numPr>
          <w:numId w:val="1009"/>
          <w:ilvl w:val="0"/>
        </w:numPr>
      </w:pPr>
      <w:r>
        <w:t xml:space="preserve">Borghetto E and Belchior AM (2020) Party Manifestos, Opposition and Media as Determinants of the Cabinet Agenda. Political Studies 68(1): 37–53. DOI: 10.1177/0032321718820738.</w:t>
      </w:r>
    </w:p>
    <w:p>
      <w:pPr>
        <w:numPr>
          <w:numId w:val="1009"/>
          <w:ilvl w:val="0"/>
        </w:numPr>
      </w:pPr>
      <w:r>
        <w:t xml:space="preserve">Borghetto E (2018)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7" w:name="chapters-in-edited-books"/>
      <w:r>
        <w:t xml:space="preserve">CHAPTERS IN EDITED BOOKS</w:t>
      </w:r>
      <w:bookmarkEnd w:id="37"/>
    </w:p>
    <w:p>
      <w:pPr>
        <w:numPr>
          <w:numId w:val="1010"/>
          <w:ilvl w:val="0"/>
        </w:numPr>
      </w:pPr>
      <w:r>
        <w:t xml:space="preserve">Borghetto E and Lisi M (forthcoming) Legislative Activities before and after the Great Recession: An Analysis of Unemployment and Social Welfare Issues. In: Lisi M, Freire A, and Tsatsanis E (eds) Political Representation and Citizenship in Portugal. Lanham, Maryland: Lexington Books, pp. 173–191.</w:t>
      </w:r>
    </w:p>
    <w:p>
      <w:pPr>
        <w:numPr>
          <w:numId w:val="1010"/>
          <w:ilvl w:val="0"/>
        </w:numPr>
      </w:pPr>
      <w:r>
        <w:t xml:space="preserve">Carammia M, Borghetto E and Sousa Galito M (2019) A Agenda do Conselho Europeu face às Crises. In: Camisão I and Brandão AP (eds) O Estado Da União Europeia: Da(s) Crise(s) à Mudança? Petrony, pp. 23–42.</w:t>
      </w:r>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 145-151</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 282-299</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 120-128</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8" w:name="books"/>
      <w:r>
        <w:t xml:space="preserve">BOOKS</w:t>
      </w:r>
      <w:bookmarkEnd w:id="38"/>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39" w:name="other-research-outputs"/>
      <w:r>
        <w:t xml:space="preserve">OTHER RESEARCH OUTPUTS</w:t>
      </w:r>
      <w:bookmarkEnd w:id="39"/>
    </w:p>
    <w:p>
      <w:pPr>
        <w:numPr>
          <w:numId w:val="1012"/>
          <w:ilvl w:val="0"/>
        </w:numPr>
      </w:pPr>
      <w:r>
        <w:t xml:space="preserve">Borghetto E (2018)</w:t>
      </w:r>
      <w:r>
        <w:t xml:space="preserve"> </w:t>
      </w:r>
      <w:r>
        <w:t xml:space="preserve">“</w:t>
      </w:r>
      <w:r>
        <w:t xml:space="preserve">Anti-populism</w:t>
      </w:r>
      <w:r>
        <w:t xml:space="preserve">”</w:t>
      </w:r>
      <w:r>
        <w:t xml:space="preserve">, in F.José Eduardo (Ed) Dicionário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0" w:name="work-in-progress"/>
      <w:r>
        <w:t xml:space="preserve">WORK IN PROGRESS</w:t>
      </w:r>
      <w:bookmarkEnd w:id="40"/>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[under review]</w:t>
      </w:r>
    </w:p>
    <w:p>
      <w:pPr>
        <w:numPr>
          <w:numId w:val="1013"/>
          <w:ilvl w:val="0"/>
        </w:numPr>
      </w:pPr>
      <w:r>
        <w:t xml:space="preserve">with Julie Sevenans, Emiliano Grossman. Seeking information or pressing for action: analysing the function of parliamentary questions in a comparative perspective. [under review]</w:t>
      </w:r>
    </w:p>
    <w:p>
      <w:pPr>
        <w:numPr>
          <w:numId w:val="1013"/>
          <w:ilvl w:val="0"/>
        </w:numPr>
      </w:pPr>
      <w:r>
        <w:t xml:space="preserve">with Federico Russo, Marco Lisi. Persistent politicisation or temporary perturbation? The policy content of question time during and after the peak of the crisis in Italy, Portugal and Spain</w:t>
      </w:r>
    </w:p>
    <w:p>
      <w:pPr>
        <w:numPr>
          <w:numId w:val="1013"/>
          <w:ilvl w:val="0"/>
        </w:numPr>
      </w:pPr>
      <w:r>
        <w:t xml:space="preserve">The issue strategies of niche parties between elections: an analysis of question time in six countries. Working paper [under review]</w:t>
      </w:r>
    </w:p>
    <w:p>
      <w:pPr>
        <w:numPr>
          <w:numId w:val="1013"/>
          <w:ilvl w:val="0"/>
        </w:numPr>
      </w:pPr>
      <w:r>
        <w:t xml:space="preserve">with Kartalis Yani, The Parliamentary Scrutiny of EU Affairs after the Eurocrisis: Evidence from Southern Europe. Working paper</w:t>
      </w:r>
    </w:p>
    <w:p>
      <w:pPr>
        <w:numPr>
          <w:numId w:val="1013"/>
          <w:ilvl w:val="0"/>
        </w:numPr>
      </w:pPr>
      <w:r>
        <w:t xml:space="preserve">with Amnon Cavari, Maoz Rosenthal, Ilana Shpizeman, Gilad Greenwald, Private Member’s bills in the Knesset. Working paper</w:t>
      </w:r>
    </w:p>
    <w:p>
      <w:pPr>
        <w:pStyle w:val="Heading2"/>
      </w:pPr>
      <w:bookmarkStart w:id="41" w:name="conference-papers-a-selection"/>
      <w:r>
        <w:t xml:space="preserve">CONFERENCE PAPERS (A SELECTION)</w:t>
      </w:r>
      <w:bookmarkEnd w:id="41"/>
    </w:p>
    <w:p>
      <w:pPr>
        <w:numPr>
          <w:numId w:val="1014"/>
          <w:ilvl w:val="0"/>
        </w:numPr>
      </w:pPr>
      <w:r>
        <w:t xml:space="preserve">“</w:t>
      </w:r>
      <w:r>
        <w:t xml:space="preserve">The impact of the crisis on issue competition in Italy, Portugal and Spain: evidence from an analysis of question time</w:t>
      </w:r>
      <w:r>
        <w:t xml:space="preserve">”</w:t>
      </w:r>
      <w:r>
        <w:t xml:space="preserve">, September 2019, Annual Conference of the Italian Political Science Association, Lecce</w:t>
      </w:r>
    </w:p>
    <w:p>
      <w:pPr>
        <w:numPr>
          <w:numId w:val="1014"/>
          <w:ilvl w:val="0"/>
        </w:numPr>
      </w:pPr>
      <w:r>
        <w:t xml:space="preserve">“</w:t>
      </w:r>
      <w:r>
        <w:t xml:space="preserve">The Parliamentary Scrutiny of EU Affairs after the Eurocrisis: Evidence from Southern Europe</w:t>
      </w:r>
      <w:r>
        <w:t xml:space="preserve">”</w:t>
      </w:r>
      <w:r>
        <w:t xml:space="preserve">, September 2019, ECPR General Conference 2019, Wroclaw</w:t>
      </w:r>
    </w:p>
    <w:p>
      <w:pPr>
        <w:numPr>
          <w:numId w:val="1014"/>
          <w:ilvl w:val="0"/>
        </w:numPr>
      </w:pPr>
      <w:r>
        <w:t xml:space="preserve">“</w:t>
      </w:r>
      <w:r>
        <w:t xml:space="preserve">The</w:t>
      </w:r>
      <w:r>
        <w:t xml:space="preserve"> </w:t>
      </w:r>
      <w:r>
        <w:t xml:space="preserve">‘</w:t>
      </w:r>
      <w:r>
        <w:t xml:space="preserve">Invisible</w:t>
      </w:r>
      <w:r>
        <w:t xml:space="preserve">’</w:t>
      </w:r>
      <w:r>
        <w:t xml:space="preserve"> </w:t>
      </w:r>
      <w:r>
        <w:t xml:space="preserve">Local Representation: District-Based Representation in a One-District Electoral System</w:t>
      </w:r>
      <w:r>
        <w:t xml:space="preserve">”</w:t>
      </w:r>
      <w:r>
        <w:t xml:space="preserve">, June 2019, Comparative Agendas Project, Budapest</w:t>
      </w:r>
    </w:p>
    <w:p>
      <w:pPr>
        <w:numPr>
          <w:numId w:val="1014"/>
          <w:ilvl w:val="0"/>
        </w:numPr>
      </w:pPr>
      <w:r>
        <w:t xml:space="preserve">“</w:t>
      </w:r>
      <w:r>
        <w:t xml:space="preserve">True to your past or looking ahead: the dynamics of government agenda-setting</w:t>
      </w:r>
      <w:r>
        <w:t xml:space="preserve">”</w:t>
      </w:r>
      <w:r>
        <w:t xml:space="preserve">, June 2019, Comparative Agendas Project, Budapest</w:t>
      </w:r>
    </w:p>
    <w:p>
      <w:pPr>
        <w:numPr>
          <w:numId w:val="1014"/>
          <w:ilvl w:val="0"/>
        </w:numPr>
      </w:pPr>
      <w:r>
        <w:t xml:space="preserve">“</w:t>
      </w:r>
      <w:r>
        <w:t xml:space="preserve">Legislative Agendas in an Age of Inequality</w:t>
      </w:r>
      <w:r>
        <w:t xml:space="preserve">”</w:t>
      </w:r>
      <w:r>
        <w:t xml:space="preserve">, May 2019, Lauder School Faculty Seminar, IDC Herzliya, Israel</w:t>
      </w:r>
    </w:p>
    <w:p>
      <w:pPr>
        <w:numPr>
          <w:numId w:val="1014"/>
          <w:ilvl w:val="0"/>
        </w:numPr>
      </w:pPr>
      <w:r>
        <w:t xml:space="preserve">“</w:t>
      </w:r>
      <w:r>
        <w:t xml:space="preserve">The issue strategies of niche parties between elections: an analysis of question time in six countries.</w:t>
      </w:r>
      <w:r>
        <w:t xml:space="preserve">”</w:t>
      </w:r>
      <w:r>
        <w:t xml:space="preserve">,September 2018, ECPR General Conference, Hamburg</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September 2018, ECPR General Conference, Hamburg</w:t>
      </w:r>
    </w:p>
    <w:p>
      <w:pPr>
        <w:numPr>
          <w:numId w:val="1014"/>
          <w:ilvl w:val="0"/>
        </w:numPr>
      </w:pPr>
      <w:r>
        <w:t xml:space="preserve">“</w:t>
      </w:r>
      <w:r>
        <w:t xml:space="preserve">Seeking information or pressing for action: analysing the function of parliamentary questions in a comparative perspective.</w:t>
      </w:r>
      <w:r>
        <w:t xml:space="preserve">”</w:t>
      </w:r>
      <w:r>
        <w:t xml:space="preserve">, July 2018, Comparative Agendas Project, Amsterdam</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2" w:name="additional-training"/>
      <w:r>
        <w:t xml:space="preserve">ADDITIONAL TRAINING</w:t>
      </w:r>
      <w:bookmarkEnd w:id="42"/>
    </w:p>
    <w:p>
      <w:pPr>
        <w:numPr>
          <w:numId w:val="1015"/>
          <w:ilvl w:val="0"/>
        </w:numPr>
      </w:pPr>
      <w:r>
        <w:rPr>
          <w:b/>
        </w:rPr>
        <w:t xml:space="preserve">Mar 2017</w:t>
      </w:r>
      <w:r>
        <w:t xml:space="preserve"> </w:t>
      </w:r>
      <w:r>
        <w:t xml:space="preserve">ECPR Winter School in Methods and Techniques, Bamberg, Germany</w:t>
      </w:r>
      <w:r>
        <w:br/>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r>
      <w:r>
        <w:t xml:space="preserve">The two-week summer school focused on Maths for Social Scientists, Survival Analysis, Mixing Methods</w:t>
      </w:r>
    </w:p>
    <w:p>
      <w:pPr>
        <w:pStyle w:val="Heading2"/>
      </w:pPr>
      <w:bookmarkStart w:id="43" w:name="other-professional-activities"/>
      <w:r>
        <w:t xml:space="preserve">OTHER PROFESSIONAL ACTIVITIES</w:t>
      </w:r>
      <w:bookmarkEnd w:id="43"/>
    </w:p>
    <w:p>
      <w:pPr>
        <w:pStyle w:val="Heading3"/>
      </w:pPr>
      <w:bookmarkStart w:id="44" w:name="translation"/>
      <w:r>
        <w:t xml:space="preserve">Translation</w:t>
      </w:r>
      <w:bookmarkEnd w:id="44"/>
    </w:p>
    <w:p>
      <w:pPr>
        <w:pStyle w:val="Compact"/>
        <w:numPr>
          <w:numId w:val="1016"/>
          <w:ilvl w:val="0"/>
        </w:numPr>
      </w:pPr>
      <w:r>
        <w:t xml:space="preserve">Il Mulino Publishing House, Bologna</w:t>
      </w:r>
      <w:r>
        <w:br/>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5" w:name="peer-review"/>
      <w:r>
        <w:t xml:space="preserve">Peer Review</w:t>
      </w:r>
      <w:bookmarkEnd w:id="45"/>
    </w:p>
    <w:p>
      <w:pPr>
        <w:pStyle w:val="FirstParagraph"/>
      </w:pPr>
      <w:hyperlink r:id="rId46">
        <w:r>
          <w:rPr>
            <w:rStyle w:val="Hyperlink"/>
          </w:rPr>
          <w:t xml:space="preserve">https://publons.com/researcher/1429699/enrico-borghetto/</w:t>
        </w:r>
      </w:hyperlink>
    </w:p>
    <w:p>
      <w:pPr>
        <w:pStyle w:val="Heading2"/>
      </w:pPr>
      <w:bookmarkStart w:id="47" w:name="language-skills"/>
      <w:r>
        <w:t xml:space="preserve">LANGUAGE SKILLS</w:t>
      </w:r>
      <w:bookmarkEnd w:id="47"/>
    </w:p>
    <w:p>
      <w:pPr>
        <w:pStyle w:val="Compact"/>
        <w:numPr>
          <w:numId w:val="1017"/>
          <w:ilvl w:val="0"/>
        </w:numPr>
      </w:pPr>
      <w:r>
        <w:t xml:space="preserve">Proficient user in both written and spoken English (ESOL Certificate in Advanced English) and Portuguese.</w:t>
      </w:r>
    </w:p>
    <w:p>
      <w:pPr>
        <w:pStyle w:val="Compact"/>
        <w:numPr>
          <w:numId w:val="1017"/>
          <w:ilvl w:val="0"/>
        </w:numPr>
      </w:pPr>
      <w:r>
        <w:t xml:space="preserve">School knowledge of Spanish, French and German.</w:t>
      </w:r>
    </w:p>
    <w:p>
      <w:pPr>
        <w:pStyle w:val="Heading2"/>
      </w:pPr>
      <w:bookmarkStart w:id="48" w:name="other-skills"/>
      <w:r>
        <w:t xml:space="preserve">OTHER SKILLS</w:t>
      </w:r>
      <w:bookmarkEnd w:id="48"/>
    </w:p>
    <w:p>
      <w:pPr>
        <w:pStyle w:val="Compact"/>
        <w:numPr>
          <w:numId w:val="1018"/>
          <w:ilvl w:val="0"/>
        </w:numPr>
      </w:pPr>
      <w:r>
        <w:t xml:space="preserve">R, Rmarkdown</w:t>
      </w:r>
    </w:p>
    <w:p>
      <w:pPr>
        <w:pStyle w:val="Compact"/>
        <w:numPr>
          <w:numId w:val="1018"/>
          <w:ilvl w:val="0"/>
        </w:numPr>
      </w:pPr>
      <w:r>
        <w:t xml:space="preserve">Ms Office</w:t>
      </w:r>
    </w:p>
    <w:p>
      <w:pPr>
        <w:pStyle w:val="Compact"/>
        <w:numPr>
          <w:numId w:val="1018"/>
          <w:ilvl w:val="0"/>
        </w:numPr>
      </w:pPr>
      <w:r>
        <w:t xml:space="preserve">SQL</w:t>
      </w:r>
    </w:p>
    <w:p>
      <w:pPr>
        <w:pStyle w:val="Compact"/>
        <w:numPr>
          <w:numId w:val="1018"/>
          <w:ilvl w:val="0"/>
        </w:numPr>
      </w:pPr>
      <w:r>
        <w:t xml:space="preserve">SPARQL</w:t>
      </w:r>
    </w:p>
    <w:p>
      <w:pPr>
        <w:pStyle w:val="Compact"/>
        <w:numPr>
          <w:numId w:val="1018"/>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oo.gl/ExHizi" TargetMode="External" /><Relationship Type="http://schemas.openxmlformats.org/officeDocument/2006/relationships/hyperlink" Id="rId29"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8" Target="https://goo.gl/ExHizi" TargetMode="External" /><Relationship Type="http://schemas.openxmlformats.org/officeDocument/2006/relationships/hyperlink" Id="rId29"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2020-05-02T09:49:55Z</dcterms:created>
  <dcterms:modified xsi:type="dcterms:W3CDTF">2020-05-02T09:49:55Z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enrico.borghetto@fcsh.unl.pt</vt:lpwstr>
  </property>
  <property fmtid="{D5CDD505-2E9C-101B-9397-08002B2CF9AE}" pid="3" name="fontfamily">
    <vt:lpwstr>mathpazo</vt:lpwstr>
  </property>
  <property fmtid="{D5CDD505-2E9C-101B-9397-08002B2CF9AE}" pid="4" name="fontfamilyoptions">
    <vt:lpwstr>sc, osf</vt:lpwstr>
  </property>
  <property fmtid="{D5CDD505-2E9C-101B-9397-08002B2CF9AE}" pid="5" name="fontsize">
    <vt:lpwstr>11pt</vt:lpwstr>
  </property>
  <property fmtid="{D5CDD505-2E9C-101B-9397-08002B2CF9AE}" pid="6" name="geometry">
    <vt:lpwstr>margin=1in</vt:lpwstr>
  </property>
  <property fmtid="{D5CDD505-2E9C-101B-9397-08002B2CF9AE}" pid="7" name="jobtitle">
    <vt:lpwstr>FCT Investigator</vt:lpwstr>
  </property>
  <property fmtid="{D5CDD505-2E9C-101B-9397-08002B2CF9AE}" pid="8" name="linkcolor">
    <vt:lpwstr>blue</vt:lpwstr>
  </property>
  <property fmtid="{D5CDD505-2E9C-101B-9397-08002B2CF9AE}" pid="9" name="output">
    <vt:lpwstr/>
  </property>
  <property fmtid="{D5CDD505-2E9C-101B-9397-08002B2CF9AE}" pid="10" name="updated">
    <vt:lpwstr>no</vt:lpwstr>
  </property>
  <property fmtid="{D5CDD505-2E9C-101B-9397-08002B2CF9AE}" pid="11" name="urlcolor">
    <vt:lpwstr>blue</vt:lpwstr>
  </property>
  <property fmtid="{D5CDD505-2E9C-101B-9397-08002B2CF9AE}" pid="12" name="web">
    <vt:lpwstr>enricoborghetto.netlify.com</vt:lpwstr>
  </property>
</Properties>
</file>