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CF" w:rsidRDefault="00651ECF" w:rsidP="00DC6BB1">
      <w:pPr>
        <w:spacing w:after="0" w:line="240" w:lineRule="auto"/>
      </w:pPr>
      <w:r>
        <w:t>Request to create storage mapping report in WMS,</w:t>
      </w:r>
    </w:p>
    <w:p w:rsidR="00651ECF" w:rsidRDefault="00651ECF" w:rsidP="00DC6BB1">
      <w:pPr>
        <w:spacing w:after="0" w:line="240" w:lineRule="auto"/>
      </w:pPr>
      <w:r>
        <w:t xml:space="preserve">The objective of application is to mapped temperature storage required products against physical </w:t>
      </w:r>
      <w:proofErr w:type="spellStart"/>
      <w:r>
        <w:t>putaway</w:t>
      </w:r>
      <w:proofErr w:type="spellEnd"/>
      <w:r>
        <w:t xml:space="preserve"> locations.</w:t>
      </w:r>
    </w:p>
    <w:p w:rsidR="00651ECF" w:rsidRDefault="00651ECF" w:rsidP="00DC6BB1">
      <w:pPr>
        <w:spacing w:after="0" w:line="240" w:lineRule="auto"/>
      </w:pPr>
      <w:r>
        <w:t xml:space="preserve">To reduce manual mapping process and increase frequency of mapping thru system to detected if any products are </w:t>
      </w:r>
      <w:proofErr w:type="spellStart"/>
      <w:r>
        <w:t>putaway</w:t>
      </w:r>
      <w:proofErr w:type="spellEnd"/>
      <w:r>
        <w:t xml:space="preserve"> to wrong temperature storage locations, on time correction if is error found.</w:t>
      </w:r>
    </w:p>
    <w:p w:rsidR="00D118C9" w:rsidRDefault="00D118C9" w:rsidP="00DC6BB1">
      <w:pPr>
        <w:spacing w:after="0" w:line="240" w:lineRule="auto"/>
      </w:pPr>
      <w:r>
        <w:t xml:space="preserve">Bin Utilization </w:t>
      </w:r>
      <w:proofErr w:type="gramStart"/>
      <w:r>
        <w:t>report  -</w:t>
      </w:r>
      <w:proofErr w:type="gramEnd"/>
      <w:r>
        <w:t xml:space="preserve"> </w:t>
      </w:r>
    </w:p>
    <w:p w:rsidR="009674A9" w:rsidRDefault="00DC5856" w:rsidP="00DC6BB1">
      <w:pPr>
        <w:spacing w:after="0" w:line="240" w:lineRule="auto"/>
      </w:pPr>
      <w:r>
        <w:rPr>
          <w:noProof/>
          <w:lang w:eastAsia="zh-CN"/>
        </w:rPr>
        <w:drawing>
          <wp:inline distT="0" distB="0" distL="0" distR="0" wp14:anchorId="20B0D4B0" wp14:editId="3ADC1B16">
            <wp:extent cx="5619750" cy="4495800"/>
            <wp:effectExtent l="0" t="0" r="0" b="0"/>
            <wp:docPr id="1" name="Picture 1" descr="cid:image001.png@01D1695C.7E0D1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695C.7E0D17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C9" w:rsidRDefault="00D118C9" w:rsidP="00DC6BB1">
      <w:pPr>
        <w:spacing w:after="0" w:line="240" w:lineRule="auto"/>
      </w:pPr>
      <w:r>
        <w:t>Location Storage type mapped to SKU Storage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700"/>
      </w:tblGrid>
      <w:tr w:rsidR="00D118C9" w:rsidTr="006106AA">
        <w:trPr>
          <w:trHeight w:val="287"/>
        </w:trPr>
        <w:tc>
          <w:tcPr>
            <w:tcW w:w="2358" w:type="dxa"/>
            <w:shd w:val="clear" w:color="auto" w:fill="D9D9D9" w:themeFill="background1" w:themeFillShade="D9"/>
          </w:tcPr>
          <w:p w:rsidR="00D118C9" w:rsidRDefault="00D118C9" w:rsidP="00DC6BB1">
            <w:r>
              <w:t xml:space="preserve">Location Storage type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118C9" w:rsidRDefault="00D118C9" w:rsidP="00DC6BB1">
            <w:r>
              <w:t>SKU Storage type</w:t>
            </w:r>
          </w:p>
        </w:tc>
      </w:tr>
      <w:tr w:rsidR="00D118C9" w:rsidTr="006106AA">
        <w:trPr>
          <w:trHeight w:val="350"/>
        </w:trPr>
        <w:tc>
          <w:tcPr>
            <w:tcW w:w="2358" w:type="dxa"/>
          </w:tcPr>
          <w:p w:rsidR="00D118C9" w:rsidRDefault="00D118C9" w:rsidP="00DC6BB1">
            <w:r>
              <w:t>400</w:t>
            </w:r>
          </w:p>
        </w:tc>
        <w:tc>
          <w:tcPr>
            <w:tcW w:w="2700" w:type="dxa"/>
          </w:tcPr>
          <w:p w:rsidR="00D118C9" w:rsidRDefault="00D118C9" w:rsidP="00DC6BB1">
            <w:r>
              <w:t>11A</w:t>
            </w:r>
          </w:p>
        </w:tc>
      </w:tr>
      <w:tr w:rsidR="00D118C9" w:rsidTr="006106AA">
        <w:tc>
          <w:tcPr>
            <w:tcW w:w="2358" w:type="dxa"/>
          </w:tcPr>
          <w:p w:rsidR="00D118C9" w:rsidRDefault="00D118C9" w:rsidP="00DC6BB1">
            <w:r>
              <w:t>401</w:t>
            </w:r>
          </w:p>
        </w:tc>
        <w:tc>
          <w:tcPr>
            <w:tcW w:w="2700" w:type="dxa"/>
          </w:tcPr>
          <w:p w:rsidR="00D118C9" w:rsidRDefault="00D118C9" w:rsidP="00DC6BB1">
            <w:r>
              <w:t>11B</w:t>
            </w:r>
          </w:p>
        </w:tc>
      </w:tr>
      <w:tr w:rsidR="00D118C9" w:rsidTr="006106AA">
        <w:tc>
          <w:tcPr>
            <w:tcW w:w="2358" w:type="dxa"/>
          </w:tcPr>
          <w:p w:rsidR="00D118C9" w:rsidRDefault="00D118C9" w:rsidP="00DC6BB1">
            <w:r>
              <w:t>402</w:t>
            </w:r>
          </w:p>
        </w:tc>
        <w:tc>
          <w:tcPr>
            <w:tcW w:w="2700" w:type="dxa"/>
          </w:tcPr>
          <w:p w:rsidR="00D118C9" w:rsidRDefault="00D118C9" w:rsidP="00DC6BB1">
            <w:r>
              <w:t>11C</w:t>
            </w:r>
          </w:p>
        </w:tc>
      </w:tr>
      <w:tr w:rsidR="00D118C9" w:rsidTr="006106AA">
        <w:tc>
          <w:tcPr>
            <w:tcW w:w="2358" w:type="dxa"/>
          </w:tcPr>
          <w:p w:rsidR="00D118C9" w:rsidRDefault="00D118C9" w:rsidP="00DC6BB1">
            <w:r>
              <w:t>403</w:t>
            </w:r>
          </w:p>
        </w:tc>
        <w:tc>
          <w:tcPr>
            <w:tcW w:w="2700" w:type="dxa"/>
          </w:tcPr>
          <w:p w:rsidR="00D118C9" w:rsidRDefault="00D118C9" w:rsidP="00DC6BB1">
            <w:r>
              <w:t>11D</w:t>
            </w:r>
          </w:p>
        </w:tc>
      </w:tr>
      <w:tr w:rsidR="00D118C9" w:rsidTr="006106AA">
        <w:tc>
          <w:tcPr>
            <w:tcW w:w="2358" w:type="dxa"/>
          </w:tcPr>
          <w:p w:rsidR="00D118C9" w:rsidRDefault="00D118C9" w:rsidP="00DC6BB1">
            <w:r>
              <w:t>404</w:t>
            </w:r>
          </w:p>
        </w:tc>
        <w:tc>
          <w:tcPr>
            <w:tcW w:w="2700" w:type="dxa"/>
          </w:tcPr>
          <w:p w:rsidR="00D118C9" w:rsidRDefault="00D118C9" w:rsidP="00DC6BB1">
            <w:r>
              <w:t>11E</w:t>
            </w:r>
          </w:p>
        </w:tc>
      </w:tr>
    </w:tbl>
    <w:p w:rsidR="00D118C9" w:rsidRDefault="00D118C9" w:rsidP="00DC6BB1">
      <w:pPr>
        <w:spacing w:after="0" w:line="240" w:lineRule="auto"/>
      </w:pPr>
    </w:p>
    <w:p w:rsidR="00DC6BB1" w:rsidRDefault="00DC6BB1">
      <w:r>
        <w:br w:type="page"/>
      </w:r>
    </w:p>
    <w:p w:rsidR="00D118C9" w:rsidRDefault="00DC6BB1" w:rsidP="00DC6BB1">
      <w:pPr>
        <w:spacing w:after="0" w:line="240" w:lineRule="auto"/>
        <w:rPr>
          <w:b/>
        </w:rPr>
      </w:pPr>
      <w:r w:rsidRPr="00DC6BB1">
        <w:rPr>
          <w:b/>
        </w:rPr>
        <w:lastRenderedPageBreak/>
        <w:t xml:space="preserve">WMS Changes: </w:t>
      </w:r>
      <w:r w:rsidR="00381533">
        <w:rPr>
          <w:b/>
        </w:rPr>
        <w:t>[2016.02.26</w:t>
      </w:r>
      <w:r>
        <w:rPr>
          <w:b/>
        </w:rPr>
        <w:t xml:space="preserve">] </w:t>
      </w:r>
    </w:p>
    <w:p w:rsidR="00DC6BB1" w:rsidRPr="00DC6BB1" w:rsidRDefault="00DC6BB1" w:rsidP="00DC6BB1">
      <w:pPr>
        <w:spacing w:after="0" w:line="240" w:lineRule="auto"/>
        <w:rPr>
          <w:b/>
        </w:rPr>
      </w:pPr>
    </w:p>
    <w:p w:rsidR="00D118C9" w:rsidRDefault="00D118C9" w:rsidP="00DC6BB1">
      <w:pPr>
        <w:pStyle w:val="ListParagraph"/>
        <w:numPr>
          <w:ilvl w:val="0"/>
          <w:numId w:val="1"/>
        </w:numPr>
        <w:spacing w:after="0" w:line="240" w:lineRule="auto"/>
      </w:pPr>
      <w:r w:rsidRPr="00381533">
        <w:rPr>
          <w:b/>
        </w:rPr>
        <w:t xml:space="preserve">WMS </w:t>
      </w:r>
      <w:proofErr w:type="spellStart"/>
      <w:r w:rsidRPr="00381533">
        <w:rPr>
          <w:b/>
        </w:rPr>
        <w:t>Codelkup</w:t>
      </w:r>
      <w:proofErr w:type="spellEnd"/>
      <w:r>
        <w:t xml:space="preserve">: </w:t>
      </w:r>
      <w:r w:rsidR="00DC6BB1">
        <w:t xml:space="preserve"> </w:t>
      </w:r>
      <w:proofErr w:type="spellStart"/>
      <w:r>
        <w:t>Listname</w:t>
      </w:r>
      <w:proofErr w:type="spellEnd"/>
      <w:r>
        <w:t xml:space="preserve"> = </w:t>
      </w:r>
      <w:r w:rsidRPr="00DC6BB1">
        <w:rPr>
          <w:rFonts w:ascii="Courier New" w:hAnsi="Courier New" w:cs="Courier New"/>
          <w:noProof/>
          <w:color w:val="FF0000"/>
          <w:sz w:val="20"/>
          <w:szCs w:val="20"/>
        </w:rPr>
        <w:t>STORTYPE</w:t>
      </w:r>
    </w:p>
    <w:p w:rsidR="00D118C9" w:rsidRDefault="00D118C9" w:rsidP="00DC6BB1">
      <w:pPr>
        <w:spacing w:after="0" w:line="240" w:lineRule="auto"/>
      </w:pPr>
      <w:r>
        <w:t>Long = SKU Storage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D740C" w:rsidRPr="00ED740C" w:rsidTr="00D118C9">
        <w:tc>
          <w:tcPr>
            <w:tcW w:w="1915" w:type="dxa"/>
          </w:tcPr>
          <w:p w:rsidR="00D118C9" w:rsidRDefault="00D118C9" w:rsidP="00DC6BB1">
            <w:proofErr w:type="spellStart"/>
            <w:r>
              <w:t>Listname</w:t>
            </w:r>
            <w:proofErr w:type="spellEnd"/>
          </w:p>
        </w:tc>
        <w:tc>
          <w:tcPr>
            <w:tcW w:w="1915" w:type="dxa"/>
          </w:tcPr>
          <w:p w:rsidR="00D118C9" w:rsidRDefault="00D118C9" w:rsidP="00DC6BB1">
            <w:r>
              <w:t>Code</w:t>
            </w:r>
          </w:p>
        </w:tc>
        <w:tc>
          <w:tcPr>
            <w:tcW w:w="1915" w:type="dxa"/>
          </w:tcPr>
          <w:p w:rsidR="00D118C9" w:rsidRDefault="00D118C9" w:rsidP="00DC6BB1">
            <w:r>
              <w:t>Description</w:t>
            </w:r>
          </w:p>
        </w:tc>
        <w:tc>
          <w:tcPr>
            <w:tcW w:w="1915" w:type="dxa"/>
          </w:tcPr>
          <w:p w:rsidR="00D118C9" w:rsidRDefault="00D118C9" w:rsidP="00DC6BB1">
            <w:r>
              <w:t>Short</w:t>
            </w:r>
          </w:p>
          <w:p w:rsidR="00EF391D" w:rsidRDefault="00EF391D" w:rsidP="00DC6BB1">
            <w:r>
              <w:t>(Storage zone)</w:t>
            </w:r>
          </w:p>
        </w:tc>
        <w:tc>
          <w:tcPr>
            <w:tcW w:w="1916" w:type="dxa"/>
          </w:tcPr>
          <w:p w:rsidR="00D118C9" w:rsidRPr="00A6396F" w:rsidRDefault="00D118C9" w:rsidP="00DC6BB1">
            <w:pPr>
              <w:rPr>
                <w:color w:val="000099"/>
                <w:highlight w:val="yellow"/>
              </w:rPr>
            </w:pPr>
            <w:r w:rsidRPr="00A6396F">
              <w:rPr>
                <w:color w:val="000099"/>
                <w:highlight w:val="yellow"/>
              </w:rPr>
              <w:t>Long</w:t>
            </w:r>
          </w:p>
          <w:p w:rsidR="00EF391D" w:rsidRPr="00ED740C" w:rsidRDefault="00EF391D" w:rsidP="00DC6BB1">
            <w:pPr>
              <w:rPr>
                <w:color w:val="1F497D" w:themeColor="text2"/>
              </w:rPr>
            </w:pPr>
            <w:r w:rsidRPr="00A6396F">
              <w:rPr>
                <w:color w:val="000099"/>
                <w:highlight w:val="yellow"/>
              </w:rPr>
              <w:t>(SKU Storage type</w:t>
            </w:r>
            <w:r w:rsidRPr="00A6396F">
              <w:rPr>
                <w:color w:val="000099"/>
              </w:rPr>
              <w:t>)</w:t>
            </w:r>
          </w:p>
        </w:tc>
      </w:tr>
      <w:tr w:rsidR="00D118C9" w:rsidTr="00D118C9"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STORTYPE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400     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Ambient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NAC</w:t>
            </w:r>
          </w:p>
        </w:tc>
        <w:tc>
          <w:tcPr>
            <w:tcW w:w="1916" w:type="dxa"/>
          </w:tcPr>
          <w:p w:rsidR="00D118C9" w:rsidRPr="00480766" w:rsidRDefault="00ED740C" w:rsidP="00DC6BB1">
            <w:r>
              <w:t>11A</w:t>
            </w:r>
          </w:p>
        </w:tc>
      </w:tr>
      <w:tr w:rsidR="00D118C9" w:rsidTr="00D118C9"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STORTYPE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401     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Freezer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F</w:t>
            </w:r>
          </w:p>
        </w:tc>
        <w:tc>
          <w:tcPr>
            <w:tcW w:w="1916" w:type="dxa"/>
          </w:tcPr>
          <w:p w:rsidR="00D118C9" w:rsidRPr="00480766" w:rsidRDefault="00ED740C" w:rsidP="00DC6BB1">
            <w:r>
              <w:t>11B</w:t>
            </w:r>
          </w:p>
        </w:tc>
      </w:tr>
      <w:tr w:rsidR="00D118C9" w:rsidTr="00D118C9"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STORTYPE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402       </w:t>
            </w:r>
          </w:p>
        </w:tc>
        <w:tc>
          <w:tcPr>
            <w:tcW w:w="1915" w:type="dxa"/>
          </w:tcPr>
          <w:p w:rsidR="00D118C9" w:rsidRPr="00480766" w:rsidRDefault="00D118C9" w:rsidP="00DC6BB1">
            <w:proofErr w:type="spellStart"/>
            <w:r w:rsidRPr="00480766">
              <w:t>AirCon</w:t>
            </w:r>
            <w:proofErr w:type="spellEnd"/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NAC</w:t>
            </w:r>
          </w:p>
        </w:tc>
        <w:tc>
          <w:tcPr>
            <w:tcW w:w="1916" w:type="dxa"/>
          </w:tcPr>
          <w:p w:rsidR="00D118C9" w:rsidRPr="00480766" w:rsidRDefault="00ED740C" w:rsidP="00DC6BB1">
            <w:r>
              <w:t>11C</w:t>
            </w:r>
          </w:p>
        </w:tc>
      </w:tr>
      <w:tr w:rsidR="00D118C9" w:rsidTr="00D118C9"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STORTYPE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403     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Reefer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R</w:t>
            </w:r>
          </w:p>
        </w:tc>
        <w:tc>
          <w:tcPr>
            <w:tcW w:w="1916" w:type="dxa"/>
          </w:tcPr>
          <w:p w:rsidR="00D118C9" w:rsidRPr="00480766" w:rsidRDefault="00ED740C" w:rsidP="00DC6BB1">
            <w:r>
              <w:t>11D</w:t>
            </w:r>
          </w:p>
        </w:tc>
      </w:tr>
      <w:tr w:rsidR="00D118C9" w:rsidTr="00D118C9"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STORTYPE  </w:t>
            </w:r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 xml:space="preserve">404       </w:t>
            </w:r>
          </w:p>
        </w:tc>
        <w:tc>
          <w:tcPr>
            <w:tcW w:w="1915" w:type="dxa"/>
          </w:tcPr>
          <w:p w:rsidR="00D118C9" w:rsidRPr="00480766" w:rsidRDefault="00D118C9" w:rsidP="00DC6BB1">
            <w:proofErr w:type="spellStart"/>
            <w:r w:rsidRPr="00480766">
              <w:t>Posiflush</w:t>
            </w:r>
            <w:proofErr w:type="spellEnd"/>
          </w:p>
        </w:tc>
        <w:tc>
          <w:tcPr>
            <w:tcW w:w="1915" w:type="dxa"/>
          </w:tcPr>
          <w:p w:rsidR="00D118C9" w:rsidRPr="00480766" w:rsidRDefault="00D118C9" w:rsidP="00DC6BB1">
            <w:r w:rsidRPr="00480766">
              <w:t>AC</w:t>
            </w:r>
          </w:p>
        </w:tc>
        <w:tc>
          <w:tcPr>
            <w:tcW w:w="1916" w:type="dxa"/>
          </w:tcPr>
          <w:p w:rsidR="00D118C9" w:rsidRDefault="00ED740C" w:rsidP="00DC6BB1">
            <w:r>
              <w:t>11E</w:t>
            </w:r>
          </w:p>
        </w:tc>
      </w:tr>
    </w:tbl>
    <w:p w:rsidR="00DC6BB1" w:rsidRDefault="00DC6BB1" w:rsidP="00DC6BB1">
      <w:pPr>
        <w:spacing w:after="0" w:line="240" w:lineRule="auto"/>
      </w:pPr>
    </w:p>
    <w:p w:rsidR="00ED740C" w:rsidRDefault="00A6396F" w:rsidP="00DC6BB1">
      <w:pPr>
        <w:pStyle w:val="ListParagraph"/>
        <w:numPr>
          <w:ilvl w:val="0"/>
          <w:numId w:val="1"/>
        </w:numPr>
        <w:spacing w:after="0" w:line="240" w:lineRule="auto"/>
      </w:pPr>
      <w:r w:rsidRPr="00381533">
        <w:rPr>
          <w:b/>
        </w:rPr>
        <w:t>SKU</w:t>
      </w:r>
      <w:r>
        <w:t xml:space="preserve"> – add storage type field. </w:t>
      </w:r>
    </w:p>
    <w:p w:rsidR="00DC6BB1" w:rsidRDefault="00DC6BB1" w:rsidP="00DC6BB1">
      <w:pPr>
        <w:spacing w:after="0" w:line="24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7E8D8" wp14:editId="2F7C75BF">
                <wp:simplePos x="0" y="0"/>
                <wp:positionH relativeFrom="column">
                  <wp:posOffset>2533650</wp:posOffset>
                </wp:positionH>
                <wp:positionV relativeFrom="paragraph">
                  <wp:posOffset>461010</wp:posOffset>
                </wp:positionV>
                <wp:extent cx="6000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99.5pt;margin-top:36.3pt;width:47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4BDDA9B" wp14:editId="12784B52">
            <wp:extent cx="59436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B1" w:rsidRDefault="00DC6BB1" w:rsidP="00DC6BB1">
      <w:pPr>
        <w:spacing w:after="0" w:line="240" w:lineRule="auto"/>
      </w:pPr>
    </w:p>
    <w:p w:rsidR="00DC6BB1" w:rsidRDefault="00DC6BB1" w:rsidP="00DC6BB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81533">
        <w:rPr>
          <w:b/>
        </w:rPr>
        <w:t>Storage Bin Utilization report :</w:t>
      </w:r>
    </w:p>
    <w:p w:rsidR="00381533" w:rsidRDefault="00381533" w:rsidP="00381533">
      <w:pPr>
        <w:pStyle w:val="ListParagraph"/>
        <w:spacing w:after="0" w:line="240" w:lineRule="auto"/>
        <w:rPr>
          <w:b/>
        </w:rPr>
      </w:pPr>
      <w:r>
        <w:rPr>
          <w:b/>
        </w:rPr>
        <w:t>Added:</w:t>
      </w:r>
    </w:p>
    <w:p w:rsidR="00381533" w:rsidRPr="00381533" w:rsidRDefault="00381533" w:rsidP="00381533">
      <w:pPr>
        <w:pStyle w:val="ListParagraph"/>
        <w:spacing w:after="0" w:line="240" w:lineRule="auto"/>
      </w:pPr>
      <w:proofErr w:type="spellStart"/>
      <w:r>
        <w:t>Stor</w:t>
      </w:r>
      <w:proofErr w:type="spellEnd"/>
      <w:r>
        <w:t xml:space="preserve"> Type in SAP (SKU) – storage type mapping in SKU master</w:t>
      </w:r>
      <w:bookmarkStart w:id="0" w:name="_GoBack"/>
      <w:bookmarkEnd w:id="0"/>
    </w:p>
    <w:p w:rsidR="00DC6BB1" w:rsidRDefault="00DC6BB1" w:rsidP="00381533">
      <w:pPr>
        <w:spacing w:after="0" w:line="240" w:lineRule="auto"/>
        <w:ind w:firstLine="720"/>
      </w:pPr>
      <w:r>
        <w:t xml:space="preserve">Storage status </w:t>
      </w:r>
      <w:r w:rsidR="00381533">
        <w:tab/>
      </w:r>
      <w:r>
        <w:t>= “OK”</w:t>
      </w:r>
      <w:r w:rsidR="00381533">
        <w:tab/>
        <w:t xml:space="preserve"> when the </w:t>
      </w:r>
      <w:proofErr w:type="spellStart"/>
      <w:r>
        <w:t>StorTYpe</w:t>
      </w:r>
      <w:proofErr w:type="spellEnd"/>
      <w:r w:rsidR="00381533">
        <w:t xml:space="preserve"> of Location</w:t>
      </w:r>
      <w:r>
        <w:t xml:space="preserve"> matched </w:t>
      </w:r>
      <w:r w:rsidR="00381533">
        <w:t>with</w:t>
      </w:r>
      <w:r>
        <w:t xml:space="preserve"> SKU </w:t>
      </w:r>
      <w:proofErr w:type="spellStart"/>
      <w:r>
        <w:t>Stor.type</w:t>
      </w:r>
      <w:proofErr w:type="spellEnd"/>
      <w:r>
        <w:t xml:space="preserve">. </w:t>
      </w:r>
    </w:p>
    <w:p w:rsidR="00DC6BB1" w:rsidRDefault="00DC6BB1" w:rsidP="00381533">
      <w:pPr>
        <w:spacing w:after="0" w:line="240" w:lineRule="auto"/>
        <w:ind w:left="1440" w:firstLine="720"/>
      </w:pPr>
      <w:r>
        <w:t xml:space="preserve">= “Failed” </w:t>
      </w:r>
      <w:r w:rsidR="00381533">
        <w:t>when both</w:t>
      </w:r>
      <w:r>
        <w:t xml:space="preserve"> </w:t>
      </w:r>
      <w:r w:rsidR="00381533">
        <w:t xml:space="preserve">the </w:t>
      </w:r>
      <w:proofErr w:type="spellStart"/>
      <w:r w:rsidR="00381533">
        <w:t>Loc</w:t>
      </w:r>
      <w:proofErr w:type="spellEnd"/>
      <w:r w:rsidR="00381533">
        <w:t xml:space="preserve"> and SKU </w:t>
      </w:r>
      <w:proofErr w:type="spellStart"/>
      <w:r>
        <w:t>Stor.Type</w:t>
      </w:r>
      <w:proofErr w:type="spellEnd"/>
      <w:r>
        <w:t xml:space="preserve"> do not match.</w:t>
      </w:r>
    </w:p>
    <w:p w:rsidR="00381533" w:rsidRDefault="00381533" w:rsidP="00DC6BB1">
      <w:pPr>
        <w:spacing w:after="0" w:line="240" w:lineRule="auto"/>
        <w:ind w:left="720" w:firstLine="720"/>
      </w:pPr>
    </w:p>
    <w:p w:rsidR="00DC6BB1" w:rsidRPr="00381533" w:rsidRDefault="00DC6BB1" w:rsidP="00DC6BB1">
      <w:pPr>
        <w:spacing w:after="0" w:line="240" w:lineRule="auto"/>
        <w:rPr>
          <w:b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E488E" wp14:editId="6F62392A">
                <wp:simplePos x="0" y="0"/>
                <wp:positionH relativeFrom="column">
                  <wp:posOffset>3373120</wp:posOffset>
                </wp:positionH>
                <wp:positionV relativeFrom="paragraph">
                  <wp:posOffset>957580</wp:posOffset>
                </wp:positionV>
                <wp:extent cx="806768" cy="2476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768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65.6pt;margin-top:75.4pt;width:63.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" filled="f" strokecolor="red" strokeweight="2pt"/>
            </w:pict>
          </mc:Fallback>
        </mc:AlternateContent>
      </w:r>
      <w:r w:rsidR="00381533">
        <w:rPr>
          <w:noProof/>
          <w:lang w:eastAsia="zh-CN"/>
        </w:rPr>
        <w:drawing>
          <wp:inline distT="0" distB="0" distL="0" distR="0" wp14:anchorId="3FEE7AD2" wp14:editId="3E1D604A">
            <wp:extent cx="5943600" cy="2355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BB1" w:rsidRPr="0038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77AE4"/>
    <w:multiLevelType w:val="hybridMultilevel"/>
    <w:tmpl w:val="2D5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56"/>
    <w:rsid w:val="00381533"/>
    <w:rsid w:val="00651ECF"/>
    <w:rsid w:val="007258FC"/>
    <w:rsid w:val="009674A9"/>
    <w:rsid w:val="00A6396F"/>
    <w:rsid w:val="00D118C9"/>
    <w:rsid w:val="00DC5856"/>
    <w:rsid w:val="00DC6BB1"/>
    <w:rsid w:val="00ED740C"/>
    <w:rsid w:val="00E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8C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8C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1695C.7E0D17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Zhi Ai</dc:creator>
  <cp:lastModifiedBy>pf</cp:lastModifiedBy>
  <cp:revision>6</cp:revision>
  <dcterms:created xsi:type="dcterms:W3CDTF">2016-02-17T06:38:00Z</dcterms:created>
  <dcterms:modified xsi:type="dcterms:W3CDTF">2016-02-26T01:53:00Z</dcterms:modified>
</cp:coreProperties>
</file>