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Résumé des 7 Stratégies de Migration (7Rs) – AWS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Stratégie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Avantages</w:t>
            </w:r>
          </w:p>
        </w:tc>
        <w:tc>
          <w:tcPr>
            <w:tcW w:type="dxa" w:w="2160"/>
          </w:tcPr>
          <w:p>
            <w:r>
              <w:t>Inconvénients</w:t>
            </w:r>
          </w:p>
        </w:tc>
      </w:tr>
      <w:tr>
        <w:tc>
          <w:tcPr>
            <w:tcW w:type="dxa" w:w="2160"/>
          </w:tcPr>
          <w:p>
            <w:r>
              <w:t>Retire</w:t>
            </w:r>
          </w:p>
        </w:tc>
        <w:tc>
          <w:tcPr>
            <w:tcW w:type="dxa" w:w="2160"/>
          </w:tcPr>
          <w:p>
            <w:r>
              <w:t>Supprimer ou décommissionner l’application</w:t>
            </w:r>
          </w:p>
        </w:tc>
        <w:tc>
          <w:tcPr>
            <w:tcW w:type="dxa" w:w="2160"/>
          </w:tcPr>
          <w:p>
            <w:r>
              <w:t>• Réduction immédiate des coûts</w:t>
              <w:br/>
              <w:t>• Réduction des risques</w:t>
              <w:br/>
              <w:t>• Simplification du portefeuille applicatif</w:t>
            </w:r>
          </w:p>
        </w:tc>
        <w:tc>
          <w:tcPr>
            <w:tcW w:type="dxa" w:w="2160"/>
          </w:tcPr>
          <w:p>
            <w:r>
              <w:t>• Risque de supprimer une app encore utile</w:t>
              <w:br/>
              <w:t>• Analyse approfondie nécessaire</w:t>
            </w:r>
          </w:p>
        </w:tc>
      </w:tr>
      <w:tr>
        <w:tc>
          <w:tcPr>
            <w:tcW w:type="dxa" w:w="2160"/>
          </w:tcPr>
          <w:p>
            <w:r>
              <w:t>Retain</w:t>
            </w:r>
          </w:p>
        </w:tc>
        <w:tc>
          <w:tcPr>
            <w:tcW w:type="dxa" w:w="2160"/>
          </w:tcPr>
          <w:p>
            <w:r>
              <w:t>Garder l’application sur site</w:t>
            </w:r>
          </w:p>
        </w:tc>
        <w:tc>
          <w:tcPr>
            <w:tcW w:type="dxa" w:w="2160"/>
          </w:tcPr>
          <w:p>
            <w:r>
              <w:t>• Pas de migration obligatoire</w:t>
              <w:br/>
              <w:t>• Conforme aux contraintes matérielles ou réglementaires</w:t>
              <w:br/>
              <w:t>• Possibilité de migrer plus tard</w:t>
            </w:r>
          </w:p>
        </w:tc>
        <w:tc>
          <w:tcPr>
            <w:tcW w:type="dxa" w:w="2160"/>
          </w:tcPr>
          <w:p>
            <w:r>
              <w:t>• Coût d'infrastructure on-prem</w:t>
              <w:br/>
              <w:t>• Risque d’obsolescence</w:t>
              <w:br/>
              <w:t>• Complexité hybride</w:t>
            </w:r>
          </w:p>
        </w:tc>
      </w:tr>
      <w:tr>
        <w:tc>
          <w:tcPr>
            <w:tcW w:type="dxa" w:w="2160"/>
          </w:tcPr>
          <w:p>
            <w:r>
              <w:t>Rehost</w:t>
            </w:r>
          </w:p>
        </w:tc>
        <w:tc>
          <w:tcPr>
            <w:tcW w:type="dxa" w:w="2160"/>
          </w:tcPr>
          <w:p>
            <w:r>
              <w:t>Lift &amp; Shift – déplacer tel quel vers AWS</w:t>
            </w:r>
          </w:p>
        </w:tc>
        <w:tc>
          <w:tcPr>
            <w:tcW w:type="dxa" w:w="2160"/>
          </w:tcPr>
          <w:p>
            <w:r>
              <w:t>• Rapide et simple</w:t>
              <w:br/>
              <w:t>• Peu de modifications</w:t>
              <w:br/>
              <w:t>• Faible risque</w:t>
            </w:r>
          </w:p>
        </w:tc>
        <w:tc>
          <w:tcPr>
            <w:tcW w:type="dxa" w:w="2160"/>
          </w:tcPr>
          <w:p>
            <w:r>
              <w:t>• Pas d’optimisation</w:t>
              <w:br/>
              <w:t>• Coûts potentiellement élevés</w:t>
            </w:r>
          </w:p>
        </w:tc>
      </w:tr>
      <w:tr>
        <w:tc>
          <w:tcPr>
            <w:tcW w:type="dxa" w:w="2160"/>
          </w:tcPr>
          <w:p>
            <w:r>
              <w:t>Relocate</w:t>
            </w:r>
          </w:p>
        </w:tc>
        <w:tc>
          <w:tcPr>
            <w:tcW w:type="dxa" w:w="2160"/>
          </w:tcPr>
          <w:p>
            <w:r>
              <w:t>Migrer toute une plateforme vers AWS</w:t>
            </w:r>
          </w:p>
        </w:tc>
        <w:tc>
          <w:tcPr>
            <w:tcW w:type="dxa" w:w="2160"/>
          </w:tcPr>
          <w:p>
            <w:r>
              <w:t>• Très rapide</w:t>
              <w:br/>
              <w:t>• Aucune modification du code</w:t>
              <w:br/>
              <w:t>• Downtime minimal</w:t>
            </w:r>
          </w:p>
        </w:tc>
        <w:tc>
          <w:tcPr>
            <w:tcW w:type="dxa" w:w="2160"/>
          </w:tcPr>
          <w:p>
            <w:r>
              <w:t>• Compatibilité nécessaire</w:t>
              <w:br/>
              <w:t>• Moins flexible pour moderniser</w:t>
            </w:r>
          </w:p>
        </w:tc>
      </w:tr>
      <w:tr>
        <w:tc>
          <w:tcPr>
            <w:tcW w:type="dxa" w:w="2160"/>
          </w:tcPr>
          <w:p>
            <w:r>
              <w:t>Repurchase</w:t>
            </w:r>
          </w:p>
        </w:tc>
        <w:tc>
          <w:tcPr>
            <w:tcW w:type="dxa" w:w="2160"/>
          </w:tcPr>
          <w:p>
            <w:r>
              <w:t>Remplacer par un SaaS / nouvel outil</w:t>
            </w:r>
          </w:p>
        </w:tc>
        <w:tc>
          <w:tcPr>
            <w:tcW w:type="dxa" w:w="2160"/>
          </w:tcPr>
          <w:p>
            <w:r>
              <w:t>• Plus d’infra à gérer</w:t>
              <w:br/>
              <w:t>• Fonctionnalités modernes</w:t>
              <w:br/>
              <w:t>• Réduction maintenance/licences</w:t>
            </w:r>
          </w:p>
        </w:tc>
        <w:tc>
          <w:tcPr>
            <w:tcW w:type="dxa" w:w="2160"/>
          </w:tcPr>
          <w:p>
            <w:r>
              <w:t>• Migration de données</w:t>
              <w:br/>
              <w:t>• Formation utilisateurs</w:t>
              <w:br/>
              <w:t>• Dépendance fournisseur</w:t>
            </w:r>
          </w:p>
        </w:tc>
      </w:tr>
      <w:tr>
        <w:tc>
          <w:tcPr>
            <w:tcW w:type="dxa" w:w="2160"/>
          </w:tcPr>
          <w:p>
            <w:r>
              <w:t>Replatform</w:t>
            </w:r>
          </w:p>
        </w:tc>
        <w:tc>
          <w:tcPr>
            <w:tcW w:type="dxa" w:w="2160"/>
          </w:tcPr>
          <w:p>
            <w:r>
              <w:t>Lift, Tinker &amp; Shift – migration + optimisations</w:t>
            </w:r>
          </w:p>
        </w:tc>
        <w:tc>
          <w:tcPr>
            <w:tcW w:type="dxa" w:w="2160"/>
          </w:tcPr>
          <w:p>
            <w:r>
              <w:t>• Réduction des coûts</w:t>
              <w:br/>
              <w:t>• Amélioration performance et sécurité</w:t>
              <w:br/>
              <w:t>• Modernisation partielle</w:t>
            </w:r>
          </w:p>
        </w:tc>
        <w:tc>
          <w:tcPr>
            <w:tcW w:type="dxa" w:w="2160"/>
          </w:tcPr>
          <w:p>
            <w:r>
              <w:t>• Plus complexe qu’un rehost</w:t>
              <w:br/>
              <w:t>• Risque d’erreurs</w:t>
            </w:r>
          </w:p>
        </w:tc>
      </w:tr>
      <w:tr>
        <w:tc>
          <w:tcPr>
            <w:tcW w:type="dxa" w:w="2160"/>
          </w:tcPr>
          <w:p>
            <w:r>
              <w:t>Refactor / Re-architect</w:t>
            </w:r>
          </w:p>
        </w:tc>
        <w:tc>
          <w:tcPr>
            <w:tcW w:type="dxa" w:w="2160"/>
          </w:tcPr>
          <w:p>
            <w:r>
              <w:t>Reconcevoir complètement l’application</w:t>
            </w:r>
          </w:p>
        </w:tc>
        <w:tc>
          <w:tcPr>
            <w:tcW w:type="dxa" w:w="2160"/>
          </w:tcPr>
          <w:p>
            <w:r>
              <w:t>• Maximisation des bénéfices cloud</w:t>
              <w:br/>
              <w:t>• Scalabilité optimale</w:t>
              <w:br/>
              <w:t>• Modernisation totale</w:t>
            </w:r>
          </w:p>
        </w:tc>
        <w:tc>
          <w:tcPr>
            <w:tcW w:type="dxa" w:w="2160"/>
          </w:tcPr>
          <w:p>
            <w:r>
              <w:t>• Le plus coûteux et long</w:t>
              <w:br/>
              <w:t>• Risques élevés</w:t>
              <w:br/>
              <w:t>• Parfois impossible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