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ind w:left="720" w:firstLine="0"/>
        <w:rPr/>
      </w:pPr>
      <w:r w:rsidDel="00000000" w:rsidR="00000000" w:rsidRPr="00000000">
        <w:rPr>
          <w:rtl w:val="0"/>
        </w:rPr>
        <w:t xml:space="preserve">Questions we ask to As we examine the impacts of spaceflight on animal biology and physiology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 the effects of spaceflight level off over time, get worse, or get better?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Are the effects of spaceflight exposure permanent or do they decrease and/or vanish with time upon return?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Can we prevent adverse effects before they appear, or at least lessen their impact?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What conditions are required for animals to live in space for years, come back to Earth, and remain healthy?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impacts of spaceflight on the cell biology and physiology, we ask the following: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What are the underlying genetic and molecular mechanisms of the cells that are influenced by gravitational changes and the space environment?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Does the space flight environment affect or influence cell and molecular functions causing tissue/organ dysfunction or disease states?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rtl w:val="0"/>
        </w:rPr>
        <w:t xml:space="preserve">Does the space environment affect cellular and molecular functions in a manner that impact tissue morphogenesis or development?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