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861"/>
          <w:sz w:val="46"/>
        </w:rPr>
        <w:t>MARCO MAESTRO</w:t>
        <w:br/>
      </w:r>
      <w:r>
        <w:rPr>
          <w:rFonts w:ascii="Aptos" w:hAnsi="Aptos"/>
          <w:color w:val="3C3C3C"/>
          <w:sz w:val="25"/>
        </w:rPr>
        <w:t>Base de datos sintética histórica para gestión integral de clientes y operación de call center</w:t>
      </w:r>
    </w:p>
    <w:p>
      <w:pPr>
        <w:spacing w:before="160" w:after="360"/>
        <w:jc w:val="center"/>
      </w:pPr>
      <w:r>
        <w:rPr>
          <w:i/>
          <w:color w:val="5A5A5A"/>
          <w:sz w:val="21"/>
        </w:rPr>
        <w:t>Documento rector para diseño, generación, control de calidad y continuidad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9936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861"/>
                <w:sz w:val="22"/>
              </w:rPr>
              <w:t>Propósito rector</w:t>
              <w:br/>
            </w:r>
            <w:r>
              <w:rPr>
                <w:sz w:val="20"/>
              </w:rPr>
              <w:t>Establecer los principios, estándares y decisiones base para construir una base de datos relacional, sintética, histórica y reproducible, capaz de soportar análisis operativos, comerciales, financieros y gerenciales sin perder coherencia de negocio.</w:t>
            </w:r>
          </w:p>
        </w:tc>
      </w:tr>
    </w:tbl>
    <w:p>
      <w:pPr>
        <w:pStyle w:val="SmallLabel"/>
      </w:pPr>
    </w:p>
    <w:p>
      <w:pPr>
        <w:pStyle w:val="SmallLabel"/>
        <w:jc w:val="center"/>
      </w:pPr>
      <w:r>
        <w:t>Uso previsto: documento de continuidad. Debe consultarse antes de elaborar diccionario de datos, DDL SQL, scripts de generación y pruebas de calidad.</w:t>
      </w:r>
    </w:p>
    <w:p>
      <w:r>
        <w:br w:type="page"/>
      </w:r>
    </w:p>
    <w:p>
      <w:pPr>
        <w:pStyle w:val="Heading1"/>
      </w:pPr>
      <w:r>
        <w:t>1. Alcance y objetivo del proyecto</w:t>
      </w:r>
    </w:p>
    <w:p>
      <w:r>
        <w:t>Este marco maestro define el estándar mínimo aceptable para todo el paquete de datos. No describe solo la estructura de tablas; fija la lógica de negocio, la disciplina de generación sintética, las condiciones de calidad y la ruta de ejecución para que el dataset sea técnicamente defendible.</w:t>
      </w:r>
    </w:p>
    <w:p>
      <w:pPr>
        <w:ind w:left="0" w:hanging="259"/>
      </w:pPr>
      <w:r>
        <w:rPr>
          <w:b/>
        </w:rPr>
        <w:t xml:space="preserve">• </w:t>
      </w:r>
      <w:r>
        <w:t>Diseñar una base relacional apta para SQL y análisis en Python.</w:t>
      </w:r>
    </w:p>
    <w:p>
      <w:pPr>
        <w:ind w:left="0" w:hanging="259"/>
      </w:pPr>
      <w:r>
        <w:rPr>
          <w:b/>
        </w:rPr>
        <w:t xml:space="preserve">• </w:t>
      </w:r>
      <w:r>
        <w:t>Generar 30.000 clientes con histórico de 6 meses y comportamiento no uniforme.</w:t>
      </w:r>
    </w:p>
    <w:p>
      <w:pPr>
        <w:ind w:left="0" w:hanging="259"/>
      </w:pPr>
      <w:r>
        <w:rPr>
          <w:b/>
        </w:rPr>
        <w:t xml:space="preserve">• </w:t>
      </w:r>
      <w:r>
        <w:t>Soportar análisis de volumen, FCR, AHT, CSAT, ventas, facturación, pagos, mora y riesgo.</w:t>
      </w:r>
    </w:p>
    <w:p>
      <w:pPr>
        <w:ind w:left="0" w:hanging="259"/>
      </w:pPr>
      <w:r>
        <w:rPr>
          <w:b/>
        </w:rPr>
        <w:t xml:space="preserve">• </w:t>
      </w:r>
      <w:r>
        <w:t>Documentar reglas de negocio y criterios de aceptación antes de producir los CSV.</w:t>
      </w:r>
    </w:p>
    <w:p>
      <w:pPr>
        <w:ind w:left="0" w:hanging="259"/>
      </w:pPr>
      <w:r>
        <w:rPr>
          <w:b/>
        </w:rPr>
        <w:t xml:space="preserve">• </w:t>
      </w:r>
      <w:r>
        <w:t>Garantizar trazabilidad, reproducibilidad y validación automática del resultado.</w:t>
      </w:r>
    </w:p>
    <w:p>
      <w:pPr>
        <w:pStyle w:val="Heading1"/>
      </w:pPr>
      <w:r>
        <w:t>2. Principios rectores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4968"/>
            <w:shd w:fill="D9E7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Principio</w:t>
            </w:r>
          </w:p>
        </w:tc>
        <w:tc>
          <w:tcPr>
            <w:tcW w:type="dxa" w:w="4968"/>
            <w:shd w:fill="D9E7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Aplicación práctica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Integridad</w:t>
            </w:r>
          </w:p>
        </w:tc>
        <w:tc>
          <w:tcPr>
            <w:tcW w:type="dxa" w:w="70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Las relaciones PK/FK, fechas, estados y montos no pueden contradecirse.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Plausibilidad</w:t>
            </w:r>
          </w:p>
        </w:tc>
        <w:tc>
          <w:tcPr>
            <w:tcW w:type="dxa" w:w="70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La aleatoriedad debe parecer operación real: picos horarios, diferencias por agente, reincidencia y variación entre servicios.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Reproducibilidad</w:t>
            </w:r>
          </w:p>
        </w:tc>
        <w:tc>
          <w:tcPr>
            <w:tcW w:type="dxa" w:w="70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Toda corrida del generador debe poder repetirse con semilla, versión y reglas documentadas.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Trazabilidad</w:t>
            </w:r>
          </w:p>
        </w:tc>
        <w:tc>
          <w:tcPr>
            <w:tcW w:type="dxa" w:w="70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Cada dataset debe salir acompañado de conteos, bitácora de generación y reporte de calidad.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Utilidad gerencial</w:t>
            </w:r>
          </w:p>
        </w:tc>
        <w:tc>
          <w:tcPr>
            <w:tcW w:type="dxa" w:w="705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Las tablas y reglas deben existir porque habilitan una decisión o un KPI, no por relleno.</w:t>
            </w:r>
          </w:p>
        </w:tc>
      </w:tr>
    </w:tbl>
    <w:p/>
    <w:p>
      <w:pPr>
        <w:pStyle w:val="Heading1"/>
      </w:pPr>
      <w:r>
        <w:t>3. Arquitectura lógica del modelo</w:t>
      </w:r>
    </w:p>
    <w:p>
      <w:r>
        <w:t>La arquitectura aprobada se divide en catálogos, dimensiones, tablas puente y hechos. Esta separación evita un modelo plano, reduce redundancia y facilita consultas analíticas robustas.</w:t>
      </w:r>
    </w:p>
    <w:p>
      <w:pPr>
        <w:ind w:left="0" w:hanging="259"/>
      </w:pPr>
      <w:r>
        <w:rPr>
          <w:b/>
        </w:rPr>
        <w:t xml:space="preserve">• </w:t>
      </w:r>
      <w:r>
        <w:t>Catálogos: departamentos, equipos_trabajo, habilidades, turnos, tipos_servicio, motivos_llamada, resultados_llamada.</w:t>
      </w:r>
    </w:p>
    <w:p>
      <w:pPr>
        <w:ind w:left="0" w:hanging="259"/>
      </w:pPr>
      <w:r>
        <w:rPr>
          <w:b/>
        </w:rPr>
        <w:t xml:space="preserve">• </w:t>
      </w:r>
      <w:r>
        <w:t>Dimensiones: clientes, agentes.</w:t>
      </w:r>
    </w:p>
    <w:p>
      <w:pPr>
        <w:ind w:left="0" w:hanging="259"/>
      </w:pPr>
      <w:r>
        <w:rPr>
          <w:b/>
        </w:rPr>
        <w:t xml:space="preserve">• </w:t>
      </w:r>
      <w:r>
        <w:t>Tablas puente: agente_habilidad, agente_turno.</w:t>
      </w:r>
    </w:p>
    <w:p>
      <w:pPr>
        <w:ind w:left="0" w:hanging="259"/>
      </w:pPr>
      <w:r>
        <w:rPr>
          <w:b/>
        </w:rPr>
        <w:t xml:space="preserve">• </w:t>
      </w:r>
      <w:r>
        <w:t>Hechos: productos_servicios_cliente, facturas, pagos, casos, llamadas, encuestas_satisfaccion.</w:t>
      </w:r>
    </w:p>
    <w:p>
      <w:pPr>
        <w:pStyle w:val="Heading1"/>
      </w:pPr>
      <w:r>
        <w:t>4. Alcance analítico mínimo</w:t>
      </w:r>
    </w:p>
    <w:p>
      <w:r>
        <w:t>El dataset debe permitir responder, sin ajustes estructurales, al menos los siguientes frentes de análisis:</w:t>
      </w:r>
    </w:p>
    <w:p>
      <w:pPr>
        <w:ind w:left="0" w:hanging="259"/>
      </w:pPr>
      <w:r>
        <w:rPr>
          <w:b/>
        </w:rPr>
        <w:t xml:space="preserve">• </w:t>
      </w:r>
      <w:r>
        <w:t>Operación: volumen de llamadas, inbound vs outbound, tiempos de espera, AHT, abandono, transferencia y escalamiento.</w:t>
      </w:r>
    </w:p>
    <w:p>
      <w:pPr>
        <w:ind w:left="0" w:hanging="259"/>
      </w:pPr>
      <w:r>
        <w:rPr>
          <w:b/>
        </w:rPr>
        <w:t xml:space="preserve">• </w:t>
      </w:r>
      <w:r>
        <w:t>Calidad: FCR, reincidencia por caso, satisfacción del cliente, desempeño por agente y por departamento.</w:t>
      </w:r>
    </w:p>
    <w:p>
      <w:pPr>
        <w:ind w:left="0" w:hanging="259"/>
      </w:pPr>
      <w:r>
        <w:rPr>
          <w:b/>
        </w:rPr>
        <w:t xml:space="preserve">• </w:t>
      </w:r>
      <w:r>
        <w:t>Comercial: ventas efectivas, tasa de conversión, desempeño comercial por agente, turno y franja horaria.</w:t>
      </w:r>
    </w:p>
    <w:p>
      <w:pPr>
        <w:ind w:left="0" w:hanging="259"/>
      </w:pPr>
      <w:r>
        <w:rPr>
          <w:b/>
        </w:rPr>
        <w:t xml:space="preserve">• </w:t>
      </w:r>
      <w:r>
        <w:t>Financiero: facturación emitida, pagos, mora, cartera pendiente y clientes con riesgo operativo-financiero.</w:t>
      </w:r>
    </w:p>
    <w:p>
      <w:pPr>
        <w:ind w:left="0" w:hanging="259"/>
      </w:pPr>
      <w:r>
        <w:rPr>
          <w:b/>
        </w:rPr>
        <w:t xml:space="preserve">• </w:t>
      </w:r>
      <w:r>
        <w:t>Gerencial: cuellos de botella, segmentos de clientes críticos, servicios de mayor carga y prioridades de mejora.</w:t>
      </w:r>
    </w:p>
    <w:p>
      <w:pPr>
        <w:pStyle w:val="Heading1"/>
      </w:pPr>
      <w:r>
        <w:t>5. Reglas maestras de generación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4176"/>
      </w:tblGrid>
      <w:tr>
        <w:tc>
          <w:tcPr>
            <w:tcW w:type="dxa" w:w="3312"/>
            <w:shd w:fill="D9E7F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Dominio</w:t>
            </w:r>
          </w:p>
        </w:tc>
        <w:tc>
          <w:tcPr>
            <w:tcW w:type="dxa" w:w="3312"/>
            <w:shd w:fill="D9E7F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Regla base</w:t>
            </w:r>
          </w:p>
        </w:tc>
        <w:tc>
          <w:tcPr>
            <w:tcW w:type="dxa" w:w="3312"/>
            <w:shd w:fill="D9E7F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Impacto analítico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Clientes</w:t>
            </w:r>
          </w:p>
        </w:tc>
        <w:tc>
          <w:tcPr>
            <w:tcW w:type="dxa" w:w="36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30.000 registros, estados distribuidos y antigüedad variable.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Segmentación, recurrencia, riesgo y valor del cliente.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Llamadas</w:t>
            </w:r>
          </w:p>
        </w:tc>
        <w:tc>
          <w:tcPr>
            <w:tcW w:type="dxa" w:w="36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95.000 a 135.000 registros con picos horarios y diferencias por servicio.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Volumen, AHT, espera, ocupación, abandono.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Casos</w:t>
            </w:r>
          </w:p>
        </w:tc>
        <w:tc>
          <w:tcPr>
            <w:tcW w:type="dxa" w:w="36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Un caso puede agrupar varias llamadas; el FCR nunca se asigna de forma arbitraria.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Reincidencia, resolución y calidad.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Facturas y pagos</w:t>
            </w:r>
          </w:p>
        </w:tc>
        <w:tc>
          <w:tcPr>
            <w:tcW w:type="dxa" w:w="36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La facturación depende de productos activos; pagos parciales son válidos bajo control.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Mora, recaudo y fricción financiera.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Encuestas</w:t>
            </w:r>
          </w:p>
        </w:tc>
        <w:tc>
          <w:tcPr>
            <w:tcW w:type="dxa" w:w="36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Solo una fracción de llamadas atendidas genera respuesta.</w:t>
            </w:r>
          </w:p>
        </w:tc>
        <w:tc>
          <w:tcPr>
            <w:tcW w:type="dxa" w:w="41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CSAT, experiencia y relación con tiempos de espera.</w:t>
            </w:r>
          </w:p>
        </w:tc>
      </w:tr>
    </w:tbl>
    <w:p>
      <w:r>
        <w:br w:type="page"/>
      </w:r>
    </w:p>
    <w:p>
      <w:pPr>
        <w:pStyle w:val="Heading1"/>
      </w:pPr>
      <w:r>
        <w:t>6. Estándares de calidad no negociables</w:t>
      </w:r>
    </w:p>
    <w:p>
      <w:pPr>
        <w:ind w:left="0" w:hanging="259"/>
      </w:pPr>
      <w:r>
        <w:rPr>
          <w:b/>
        </w:rPr>
        <w:t xml:space="preserve">• </w:t>
      </w:r>
      <w:r>
        <w:t>Cero duplicados en claves primarias.</w:t>
      </w:r>
    </w:p>
    <w:p>
      <w:pPr>
        <w:ind w:left="0" w:hanging="259"/>
      </w:pPr>
      <w:r>
        <w:rPr>
          <w:b/>
        </w:rPr>
        <w:t xml:space="preserve">• </w:t>
      </w:r>
      <w:r>
        <w:t>Cero claves foráneas inválidas.</w:t>
      </w:r>
    </w:p>
    <w:p>
      <w:pPr>
        <w:ind w:left="0" w:hanging="259"/>
      </w:pPr>
      <w:r>
        <w:rPr>
          <w:b/>
        </w:rPr>
        <w:t xml:space="preserve">• </w:t>
      </w:r>
      <w:r>
        <w:t>Cero fechas imposibles o duraciones negativas.</w:t>
      </w:r>
    </w:p>
    <w:p>
      <w:pPr>
        <w:ind w:left="0" w:hanging="259"/>
      </w:pPr>
      <w:r>
        <w:rPr>
          <w:b/>
        </w:rPr>
        <w:t xml:space="preserve">• </w:t>
      </w:r>
      <w:r>
        <w:t>Nulls solo en campos permitidos por negocio.</w:t>
      </w:r>
    </w:p>
    <w:p>
      <w:pPr>
        <w:ind w:left="0" w:hanging="259"/>
      </w:pPr>
      <w:r>
        <w:rPr>
          <w:b/>
        </w:rPr>
        <w:t xml:space="preserve">• </w:t>
      </w:r>
      <w:r>
        <w:t>Catálogos cerrados y dominios controlados.</w:t>
      </w:r>
    </w:p>
    <w:p>
      <w:pPr>
        <w:ind w:left="0" w:hanging="259"/>
      </w:pPr>
      <w:r>
        <w:rPr>
          <w:b/>
        </w:rPr>
        <w:t xml:space="preserve">• </w:t>
      </w:r>
      <w:r>
        <w:t>Coherencia entre producto, factura y pago.</w:t>
      </w:r>
    </w:p>
    <w:p>
      <w:pPr>
        <w:ind w:left="0" w:hanging="259"/>
      </w:pPr>
      <w:r>
        <w:rPr>
          <w:b/>
        </w:rPr>
        <w:t xml:space="preserve">• </w:t>
      </w:r>
      <w:r>
        <w:t>Coherencia entre caso, llamadas, resultado y FCR.</w:t>
      </w:r>
    </w:p>
    <w:p>
      <w:pPr>
        <w:ind w:left="0" w:hanging="259"/>
      </w:pPr>
      <w:r>
        <w:rPr>
          <w:b/>
        </w:rPr>
        <w:t xml:space="preserve">• </w:t>
      </w:r>
      <w:r>
        <w:t>Coherencia entre tiempo de espera, resolución y satisfacción.</w:t>
      </w:r>
    </w:p>
    <w:p>
      <w:pPr>
        <w:pStyle w:val="Heading1"/>
      </w:pPr>
      <w:r>
        <w:t>7. Criterios de aceptación del dataset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872"/>
        <w:gridCol w:w="4752"/>
      </w:tblGrid>
      <w:tr>
        <w:tc>
          <w:tcPr>
            <w:tcW w:type="dxa" w:w="3312"/>
            <w:shd w:fill="D9E7F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Control</w:t>
            </w:r>
          </w:p>
        </w:tc>
        <w:tc>
          <w:tcPr>
            <w:tcW w:type="dxa" w:w="3312"/>
            <w:shd w:fill="D9E7F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Umbral</w:t>
            </w:r>
          </w:p>
        </w:tc>
        <w:tc>
          <w:tcPr>
            <w:tcW w:type="dxa" w:w="3312"/>
            <w:shd w:fill="D9E7F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Comentario</w:t>
            </w:r>
          </w:p>
        </w:tc>
      </w:tr>
      <w:tr>
        <w:tc>
          <w:tcPr>
            <w:tcW w:type="dxa" w:w="331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PK duplicadas</w:t>
            </w:r>
          </w:p>
        </w:tc>
        <w:tc>
          <w:tcPr>
            <w:tcW w:type="dxa" w:w="187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0%</w:t>
            </w:r>
          </w:p>
        </w:tc>
        <w:tc>
          <w:tcPr>
            <w:tcW w:type="dxa" w:w="475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No se admite ninguna excepción.</w:t>
            </w:r>
          </w:p>
        </w:tc>
      </w:tr>
      <w:tr>
        <w:tc>
          <w:tcPr>
            <w:tcW w:type="dxa" w:w="331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FK inválidas</w:t>
            </w:r>
          </w:p>
        </w:tc>
        <w:tc>
          <w:tcPr>
            <w:tcW w:type="dxa" w:w="187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0%</w:t>
            </w:r>
          </w:p>
        </w:tc>
        <w:tc>
          <w:tcPr>
            <w:tcW w:type="dxa" w:w="475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Todas las relaciones deben cerrar correctamente.</w:t>
            </w:r>
          </w:p>
        </w:tc>
      </w:tr>
      <w:tr>
        <w:tc>
          <w:tcPr>
            <w:tcW w:type="dxa" w:w="331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Fechas inconsistentes</w:t>
            </w:r>
          </w:p>
        </w:tc>
        <w:tc>
          <w:tcPr>
            <w:tcW w:type="dxa" w:w="187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0%</w:t>
            </w:r>
          </w:p>
        </w:tc>
        <w:tc>
          <w:tcPr>
            <w:tcW w:type="dxa" w:w="475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Incluye pagos antes de factura o encuestas antes de la llamada.</w:t>
            </w:r>
          </w:p>
        </w:tc>
      </w:tr>
      <w:tr>
        <w:tc>
          <w:tcPr>
            <w:tcW w:type="dxa" w:w="331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Campos críticos nulos</w:t>
            </w:r>
          </w:p>
        </w:tc>
        <w:tc>
          <w:tcPr>
            <w:tcW w:type="dxa" w:w="187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0%</w:t>
            </w:r>
          </w:p>
        </w:tc>
        <w:tc>
          <w:tcPr>
            <w:tcW w:type="dxa" w:w="475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Clientes, llamadas, facturas y pagos deben preservar trazabilidad.</w:t>
            </w:r>
          </w:p>
        </w:tc>
      </w:tr>
      <w:tr>
        <w:tc>
          <w:tcPr>
            <w:tcW w:type="dxa" w:w="331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Distribuciones uniformes no plausibles</w:t>
            </w:r>
          </w:p>
        </w:tc>
        <w:tc>
          <w:tcPr>
            <w:tcW w:type="dxa" w:w="187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No permitido</w:t>
            </w:r>
          </w:p>
        </w:tc>
        <w:tc>
          <w:tcPr>
            <w:tcW w:type="dxa" w:w="475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El patrón temporal y por servicio debe parecer operación real.</w:t>
            </w:r>
          </w:p>
        </w:tc>
      </w:tr>
      <w:tr>
        <w:tc>
          <w:tcPr>
            <w:tcW w:type="dxa" w:w="331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Inconsistencias de negocio</w:t>
            </w:r>
          </w:p>
        </w:tc>
        <w:tc>
          <w:tcPr>
            <w:tcW w:type="dxa" w:w="187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0%</w:t>
            </w:r>
          </w:p>
        </w:tc>
        <w:tc>
          <w:tcPr>
            <w:tcW w:type="dxa" w:w="4752"/>
            <w:vAlign w:val="center"/>
            <w:tcMar>
              <w:top w:w="92" w:type="dxa"/>
              <w:start w:w="95" w:type="dxa"/>
              <w:bottom w:w="92" w:type="dxa"/>
              <w:end w:w="95" w:type="dxa"/>
            </w:tcMar>
          </w:tcPr>
          <w:p>
            <w:r>
              <w:t>Ejemplo: venta en llamada abandonada o caso cerrado sin lógica.</w:t>
            </w:r>
          </w:p>
        </w:tc>
      </w:tr>
    </w:tbl>
    <w:p>
      <w:pPr>
        <w:pStyle w:val="Heading1"/>
      </w:pPr>
      <w:r>
        <w:t>8. Gobierno del dataset</w:t>
      </w:r>
    </w:p>
    <w:p>
      <w:r>
        <w:t>Cada versión de la base debe poder auditarse. Por tanto, toda entrega debe dejar evidencia mínima de generación y control.</w:t>
      </w:r>
    </w:p>
    <w:p>
      <w:pPr>
        <w:ind w:left="0" w:hanging="259"/>
      </w:pPr>
      <w:r>
        <w:rPr>
          <w:b/>
        </w:rPr>
        <w:t xml:space="preserve">• </w:t>
      </w:r>
      <w:r>
        <w:t>Semilla de generación utilizada.</w:t>
      </w:r>
    </w:p>
    <w:p>
      <w:pPr>
        <w:ind w:left="0" w:hanging="259"/>
      </w:pPr>
      <w:r>
        <w:rPr>
          <w:b/>
        </w:rPr>
        <w:t xml:space="preserve">• </w:t>
      </w:r>
      <w:r>
        <w:t>Versión del generador.</w:t>
      </w:r>
    </w:p>
    <w:p>
      <w:pPr>
        <w:ind w:left="0" w:hanging="259"/>
      </w:pPr>
      <w:r>
        <w:rPr>
          <w:b/>
        </w:rPr>
        <w:t xml:space="preserve">• </w:t>
      </w:r>
      <w:r>
        <w:t>Versión de reglas de negocio.</w:t>
      </w:r>
    </w:p>
    <w:p>
      <w:pPr>
        <w:ind w:left="0" w:hanging="259"/>
      </w:pPr>
      <w:r>
        <w:rPr>
          <w:b/>
        </w:rPr>
        <w:t xml:space="preserve">• </w:t>
      </w:r>
      <w:r>
        <w:t>Fecha y hora de construcción.</w:t>
      </w:r>
    </w:p>
    <w:p>
      <w:pPr>
        <w:ind w:left="0" w:hanging="259"/>
      </w:pPr>
      <w:r>
        <w:rPr>
          <w:b/>
        </w:rPr>
        <w:t xml:space="preserve">• </w:t>
      </w:r>
      <w:r>
        <w:t>Conteo de filas por tabla.</w:t>
      </w:r>
    </w:p>
    <w:p>
      <w:pPr>
        <w:ind w:left="0" w:hanging="259"/>
      </w:pPr>
      <w:r>
        <w:rPr>
          <w:b/>
        </w:rPr>
        <w:t xml:space="preserve">• </w:t>
      </w:r>
      <w:r>
        <w:t>Resultado de pruebas de calidad.</w:t>
      </w:r>
    </w:p>
    <w:p>
      <w:pPr>
        <w:ind w:left="0" w:hanging="259"/>
      </w:pPr>
      <w:r>
        <w:rPr>
          <w:b/>
        </w:rPr>
        <w:t xml:space="preserve">• </w:t>
      </w:r>
      <w:r>
        <w:t>Observaciones o excepciones detectadas y tratadas.</w:t>
      </w:r>
    </w:p>
    <w:p>
      <w:pPr>
        <w:pStyle w:val="Heading1"/>
      </w:pPr>
      <w:r>
        <w:t>9. Hoja de ruta para continuar</w:t>
      </w:r>
    </w:p>
    <w:p>
      <w:r>
        <w:t>La continuación del proyecto debe seguir este orden. Saltarse etapas incrementa el riesgo de inconsistencias y retrabajo.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520"/>
        <w:gridCol w:w="2880"/>
        <w:gridCol w:w="3528"/>
      </w:tblGrid>
      <w:tr>
        <w:tc>
          <w:tcPr>
            <w:tcW w:type="dxa" w:w="2484"/>
            <w:shd w:fill="D9E7F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Fase</w:t>
            </w:r>
          </w:p>
        </w:tc>
        <w:tc>
          <w:tcPr>
            <w:tcW w:type="dxa" w:w="2484"/>
            <w:shd w:fill="D9E7F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Entregable</w:t>
            </w:r>
          </w:p>
        </w:tc>
        <w:tc>
          <w:tcPr>
            <w:tcW w:type="dxa" w:w="2484"/>
            <w:shd w:fill="D9E7F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Objetivo</w:t>
            </w:r>
          </w:p>
        </w:tc>
        <w:tc>
          <w:tcPr>
            <w:tcW w:type="dxa" w:w="2484"/>
            <w:shd w:fill="D9E7F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/>
                <w:color w:val="183861"/>
              </w:rPr>
              <w:t>Salida esperada</w:t>
            </w:r>
          </w:p>
        </w:tc>
      </w:tr>
      <w:tr>
        <w:tc>
          <w:tcPr>
            <w:tcW w:type="dxa" w:w="100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2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Diccionario de datos</w:t>
            </w:r>
          </w:p>
        </w:tc>
        <w:tc>
          <w:tcPr>
            <w:tcW w:type="dxa" w:w="288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Definir campo, tipo, dominio y regla de generación</w:t>
            </w:r>
          </w:p>
        </w:tc>
        <w:tc>
          <w:tcPr>
            <w:tcW w:type="dxa" w:w="352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Base técnica única para SQL y Python</w:t>
            </w:r>
          </w:p>
        </w:tc>
      </w:tr>
      <w:tr>
        <w:tc>
          <w:tcPr>
            <w:tcW w:type="dxa" w:w="100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2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DDL SQL</w:t>
            </w:r>
          </w:p>
        </w:tc>
        <w:tc>
          <w:tcPr>
            <w:tcW w:type="dxa" w:w="288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Crear estructura formal con restricciones</w:t>
            </w:r>
          </w:p>
        </w:tc>
        <w:tc>
          <w:tcPr>
            <w:tcW w:type="dxa" w:w="352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Esquema relacional validable</w:t>
            </w:r>
          </w:p>
        </w:tc>
      </w:tr>
      <w:tr>
        <w:tc>
          <w:tcPr>
            <w:tcW w:type="dxa" w:w="100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52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Generador Python</w:t>
            </w:r>
          </w:p>
        </w:tc>
        <w:tc>
          <w:tcPr>
            <w:tcW w:type="dxa" w:w="288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Construir CSV por tabla con semilla controlada</w:t>
            </w:r>
          </w:p>
        </w:tc>
        <w:tc>
          <w:tcPr>
            <w:tcW w:type="dxa" w:w="352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Dataset reproducible</w:t>
            </w:r>
          </w:p>
        </w:tc>
      </w:tr>
      <w:tr>
        <w:tc>
          <w:tcPr>
            <w:tcW w:type="dxa" w:w="100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52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Validaciones</w:t>
            </w:r>
          </w:p>
        </w:tc>
        <w:tc>
          <w:tcPr>
            <w:tcW w:type="dxa" w:w="288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Ejecutar pruebas estructurales y de negocio</w:t>
            </w:r>
          </w:p>
        </w:tc>
        <w:tc>
          <w:tcPr>
            <w:tcW w:type="dxa" w:w="352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Reporte de calidad</w:t>
            </w:r>
          </w:p>
        </w:tc>
      </w:tr>
      <w:tr>
        <w:tc>
          <w:tcPr>
            <w:tcW w:type="dxa" w:w="100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52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Análisis inicial</w:t>
            </w:r>
          </w:p>
        </w:tc>
        <w:tc>
          <w:tcPr>
            <w:tcW w:type="dxa" w:w="2880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Confirmar KPIs y consultas principales</w:t>
            </w:r>
          </w:p>
        </w:tc>
        <w:tc>
          <w:tcPr>
            <w:tcW w:type="dxa" w:w="3528"/>
            <w:tcMar>
              <w:top w:w="88" w:type="dxa"/>
              <w:start w:w="90" w:type="dxa"/>
              <w:bottom w:w="88" w:type="dxa"/>
              <w:end w:w="90" w:type="dxa"/>
            </w:tcMar>
            <w:vAlign w:val="center"/>
          </w:tcPr>
          <w:p>
            <w:r>
              <w:t>Base lista para explotación</w:t>
            </w:r>
          </w:p>
        </w:tc>
      </w:tr>
    </w:tbl>
    <w:p>
      <w:pPr>
        <w:pStyle w:val="Heading1"/>
      </w:pPr>
      <w:r>
        <w:t>10. Decisión rectora</w:t>
      </w:r>
    </w:p>
    <w:p>
      <w:r>
        <w:rPr>
          <w:b/>
        </w:rPr>
        <w:t xml:space="preserve">Se continúa el proyecto bajo un único estándar: </w:t>
      </w:r>
      <w:r>
        <w:t xml:space="preserve">base relacional, sintética, histórica, reproducible y validada, construida con lógica de negocio y orientada a soporte analítico gerencial. </w:t>
      </w:r>
      <w:r>
        <w:t>Cualquier documento posterior debe alinearse con este marco maestro y no contradecir sus principios, reglas ni criterios de aceptación.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8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56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386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Label"/>
    <w:rPr>
      <w:rFonts w:ascii="Aptos" w:hAnsi="Aptos"/>
      <w:color w:val="5C5C5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