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Paquete documental del proyecto de base sintética</w:t>
      </w:r>
    </w:p>
    <w:p>
      <w:pPr>
        <w:pStyle w:val="SubtitleCustom"/>
        <w:jc w:val="left"/>
      </w:pPr>
      <w:r>
        <w:t>Índice maestro, arquitectura del modelo y pauta de uso por fases</w:t>
      </w:r>
    </w:p>
    <w:p>
      <w:pPr>
        <w:spacing w:after="80"/>
        <w:pBdr>
          <w:bottom w:val="single" w:sz="18" w:space="1" w:color="4F81BD"/>
        </w:pBdr>
      </w:pPr>
    </w:p>
    <w:p>
      <w:pPr>
        <w:pStyle w:val="BodyCustom"/>
        <w:spacing w:after="60"/>
      </w:pPr>
      <w:r>
        <w:t>Proyecto orientado a una base histórica de 30.000 clientes con 6 meses de trazabilidad para análisis en SQL y Python.</w:t>
      </w:r>
    </w:p>
    <w:p>
      <w:pPr>
        <w:pStyle w:val="BodyCustom"/>
        <w:spacing w:after="60"/>
      </w:pPr>
      <w:r>
        <w:t>El paquete se separa en documentos independientes para conservar claridad, control de versión y trazabilidad técnica.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746"/>
      </w:tblGrid>
      <w:tr>
        <w:tc>
          <w:tcPr>
            <w:tcW w:type="dxa" w:w="974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Criterio de uso: </w:t>
            </w:r>
            <w:r>
              <w:rPr>
                <w:rFonts w:ascii="Aptos" w:hAnsi="Aptos"/>
                <w:sz w:val="20"/>
              </w:rPr>
              <w:t>Este documento funciona como mapa de navegación del paquete. No reemplaza el detalle técnico de los demás entregables.</w:t>
            </w:r>
          </w:p>
        </w:tc>
      </w:tr>
    </w:tbl>
    <w:p/>
    <w:p>
      <w:pPr>
        <w:pStyle w:val="Heading1"/>
      </w:pPr>
      <w:r>
        <w:t>1. Estructura del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72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Documento</w:t>
            </w:r>
          </w:p>
        </w:tc>
        <w:tc>
          <w:tcPr>
            <w:tcW w:type="dxa" w:w="442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Contenido principal</w:t>
            </w:r>
          </w:p>
        </w:tc>
        <w:tc>
          <w:tcPr>
            <w:tcW w:type="dxa" w:w="238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Uso recomendado</w:t>
            </w:r>
          </w:p>
        </w:tc>
      </w:tr>
      <w:tr>
        <w:tc>
          <w:tcPr>
            <w:tcW w:type="dxa" w:w="272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01_indice_y_arquitectura.docx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Mapa general, alcance, secuencia de trabajo y dependencias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Leer primero</w:t>
            </w:r>
          </w:p>
        </w:tc>
      </w:tr>
      <w:tr>
        <w:tc>
          <w:tcPr>
            <w:tcW w:type="dxa" w:w="272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02_matriz_maestra_por_tabla.docx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Tablas, volúmenes, relaciones, reglas y validaciones críticas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Diseño del modelo</w:t>
            </w:r>
          </w:p>
        </w:tc>
      </w:tr>
      <w:tr>
        <w:tc>
          <w:tcPr>
            <w:tcW w:type="dxa" w:w="272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03_reglas_calidad_integridad.docx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Controles de negocio, integridad, plausibilidad y criterios de aceptación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QA y gobierno del dato</w:t>
            </w:r>
          </w:p>
        </w:tc>
      </w:tr>
      <w:tr>
        <w:tc>
          <w:tcPr>
            <w:tcW w:type="dxa" w:w="2721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04_kpis_preguntas_y_hoja_de_ruta.docx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KPIs, preguntas gerenciales, orden de carga y hoja de ruta analítica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Implementación y análisis</w:t>
            </w:r>
          </w:p>
        </w:tc>
      </w:tr>
    </w:tbl>
    <w:p/>
    <w:p>
      <w:pPr>
        <w:pStyle w:val="Heading1"/>
      </w:pPr>
      <w:r>
        <w:t>2. Principios rectores</w:t>
      </w:r>
    </w:p>
    <w:p>
      <w:pPr>
        <w:pStyle w:val="ListBullet"/>
        <w:spacing w:after="40"/>
      </w:pPr>
      <w:r>
        <w:t>La base debe ser sintética, pero no arbitraria: toda aleatoriedad debe estar condicionada por lógica de negocio.</w:t>
      </w:r>
    </w:p>
    <w:p>
      <w:pPr>
        <w:pStyle w:val="ListBullet"/>
        <w:spacing w:after="40"/>
      </w:pPr>
      <w:r>
        <w:t>La integridad referencial y temporal no es opcional; se valida como requisito de aceptación.</w:t>
      </w:r>
    </w:p>
    <w:p>
      <w:pPr>
        <w:pStyle w:val="ListBullet"/>
        <w:spacing w:after="40"/>
      </w:pPr>
      <w:r>
        <w:t>Los KPIs no se rellenan manualmente si pueden derivarse del comportamiento transaccional.</w:t>
      </w:r>
    </w:p>
    <w:p>
      <w:pPr>
        <w:pStyle w:val="ListBullet"/>
        <w:spacing w:after="40"/>
      </w:pPr>
      <w:r>
        <w:t>La estructura se diseña para consulta analítica, no para un CSV plano sin relaciones.</w:t>
      </w:r>
    </w:p>
    <w:p>
      <w:pPr>
        <w:pStyle w:val="ListBullet"/>
        <w:spacing w:after="40"/>
      </w:pPr>
      <w:r>
        <w:t>Toda generación debe ser reproducible mediante semilla, versión del generador y versión de reglas.</w:t>
      </w:r>
    </w:p>
    <w:p>
      <w:pPr>
        <w:pStyle w:val="Heading1"/>
      </w:pPr>
      <w:r>
        <w:t>3. Arquitectura recomendada del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8"/>
          <w:left w:val="single" w:sz="6" w:space="0" w:color="B7C9D8"/>
          <w:bottom w:val="single" w:sz="6" w:space="0" w:color="B7C9D8"/>
          <w:right w:val="single" w:sz="6" w:space="0" w:color="B7C9D8"/>
          <w:insideH w:val="single" w:sz="6" w:space="0" w:color="B7C9D8"/>
          <w:insideV w:val="single" w:sz="6" w:space="0" w:color="B7C9D8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Capa</w:t>
            </w:r>
          </w:p>
        </w:tc>
        <w:tc>
          <w:tcPr>
            <w:tcW w:type="dxa" w:w="5669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Tablas</w:t>
            </w:r>
          </w:p>
        </w:tc>
        <w:tc>
          <w:tcPr>
            <w:tcW w:type="dxa" w:w="204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C3E50"/>
                <w:sz w:val="18"/>
              </w:rPr>
              <w:t>Objetivo técnico</w:t>
            </w:r>
          </w:p>
        </w:tc>
      </w:tr>
      <w:tr>
        <w:tc>
          <w:tcPr>
            <w:tcW w:type="dxa" w:w="181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Catálogos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departamentos, equipos_trabajo, habilidades, turnos, tipos_servicio, motivos_llamada, resultados_llamada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Controlar dominios y reducir ambigüedad</w:t>
            </w:r>
          </w:p>
        </w:tc>
      </w:tr>
      <w:tr>
        <w:tc>
          <w:tcPr>
            <w:tcW w:type="dxa" w:w="181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Dimensiones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clientes, agentes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Definir entidades maestras y atributos estables</w:t>
            </w:r>
          </w:p>
        </w:tc>
      </w:tr>
      <w:tr>
        <w:tc>
          <w:tcPr>
            <w:tcW w:type="dxa" w:w="181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Puente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agente_habilidad, agente_turno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Resolver relaciones N:M e histórico operativo</w:t>
            </w:r>
          </w:p>
        </w:tc>
      </w:tr>
      <w:tr>
        <w:tc>
          <w:tcPr>
            <w:tcW w:type="dxa" w:w="1814"/>
            <w:shd w:fill="F6FA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Hechos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productos_servicios_cliente, facturas, pagos, casos, llamadas, encuestas_satisfaccion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Capturar comportamiento medible y trazable</w:t>
            </w:r>
          </w:p>
        </w:tc>
      </w:tr>
    </w:tbl>
    <w:p/>
    <w:p>
      <w:pPr>
        <w:pStyle w:val="Heading1"/>
      </w:pPr>
      <w:r>
        <w:t>4. Secuencia de construcción</w:t>
      </w:r>
    </w:p>
    <w:p>
      <w:pPr>
        <w:pStyle w:val="ListNumber"/>
        <w:spacing w:after="40"/>
      </w:pPr>
      <w:r>
        <w:t>Definir catálogos cerrados y dominios permitidos.</w:t>
      </w:r>
    </w:p>
    <w:p>
      <w:pPr>
        <w:pStyle w:val="ListNumber"/>
        <w:spacing w:after="40"/>
      </w:pPr>
      <w:r>
        <w:t>Construir entidades maestras: clientes y agentes.</w:t>
      </w:r>
    </w:p>
    <w:p>
      <w:pPr>
        <w:pStyle w:val="ListNumber"/>
        <w:spacing w:after="40"/>
      </w:pPr>
      <w:r>
        <w:t>Asignar estructura operativa: equipos, habilidades y turnos.</w:t>
      </w:r>
    </w:p>
    <w:p>
      <w:pPr>
        <w:pStyle w:val="ListNumber"/>
        <w:spacing w:after="40"/>
      </w:pPr>
      <w:r>
        <w:t>Generar portafolio contratado por cliente.</w:t>
      </w:r>
    </w:p>
    <w:p>
      <w:pPr>
        <w:pStyle w:val="ListNumber"/>
        <w:spacing w:after="40"/>
      </w:pPr>
      <w:r>
        <w:t>Emitir facturas y luego pagos coherentes con ese portafolio.</w:t>
      </w:r>
    </w:p>
    <w:p>
      <w:pPr>
        <w:pStyle w:val="ListNumber"/>
        <w:spacing w:after="40"/>
      </w:pPr>
      <w:r>
        <w:t>Crear casos como unidad de seguimiento.</w:t>
      </w:r>
    </w:p>
    <w:p>
      <w:pPr>
        <w:pStyle w:val="ListNumber"/>
        <w:spacing w:after="40"/>
      </w:pPr>
      <w:r>
        <w:t>Registrar llamadas ligadas a clientes, agentes y, cuando aplique, a casos.</w:t>
      </w:r>
    </w:p>
    <w:p>
      <w:pPr>
        <w:pStyle w:val="ListNumber"/>
        <w:spacing w:after="40"/>
      </w:pPr>
      <w:r>
        <w:t>Generar encuestas solo sobre llamadas elegibles.</w:t>
      </w:r>
    </w:p>
    <w:p>
      <w:pPr>
        <w:pStyle w:val="ListNumber"/>
        <w:spacing w:after="40"/>
      </w:pPr>
      <w:r>
        <w:t>Ejecutar pruebas automáticas de integridad, consistencia y plausibilidad.</w:t>
      </w:r>
    </w:p>
    <w:p>
      <w:pPr>
        <w:pStyle w:val="Heading1"/>
      </w:pPr>
      <w:r>
        <w:t>5. Decisiones de mejores prácticas</w:t>
      </w:r>
    </w:p>
    <w:p>
      <w:pPr>
        <w:pStyle w:val="ListBullet"/>
        <w:spacing w:after="40"/>
      </w:pPr>
      <w:r>
        <w:t>CSV independiente por tabla; evitar un único archivo plano con redundancia masiva.</w:t>
      </w:r>
    </w:p>
    <w:p>
      <w:pPr>
        <w:pStyle w:val="ListBullet"/>
        <w:spacing w:after="40"/>
      </w:pPr>
      <w:r>
        <w:t>Nombres en snake_case, sin tildes, sin espacios y con tipos consistentes.</w:t>
      </w:r>
    </w:p>
    <w:p>
      <w:pPr>
        <w:pStyle w:val="ListBullet"/>
        <w:spacing w:after="40"/>
      </w:pPr>
      <w:r>
        <w:t>Fechas en formato YYYY-MM-DD y datetimes en YYYY-MM-DD HH:MM:SS.</w:t>
      </w:r>
    </w:p>
    <w:p>
      <w:pPr>
        <w:pStyle w:val="ListBullet"/>
        <w:spacing w:after="40"/>
      </w:pPr>
      <w:r>
        <w:t>Booleanos como 0/1 y estados solo por catálogo, nunca en texto libre disperso.</w:t>
      </w:r>
    </w:p>
    <w:p>
      <w:pPr>
        <w:pStyle w:val="ListBullet"/>
        <w:spacing w:after="40"/>
      </w:pPr>
      <w:r>
        <w:t>Documentar reglas de negocio antes de generar datos y validar después de generar.</w:t>
      </w:r>
    </w:p>
    <w:p>
      <w:pPr>
        <w:pStyle w:val="SmallNote"/>
      </w:pPr>
      <w:r>
        <w:t>Nota: Este paquete está pensado para soportar análisis operativos, de calidad, comerciales y de cartera sin perder trazabilidad entre eventos.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Paquete documental para diseño y generación de base sintética de call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7"/>
      </w:rPr>
      <w:t>01 | Índice y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Subtitle"/>
    <w:rPr>
      <w:rFonts w:ascii="Aptos" w:hAnsi="Aptos"/>
      <w:color w:val="5A5A5A"/>
      <w:sz w:val="22"/>
    </w:rPr>
  </w:style>
  <w:style w:type="paragraph" w:customStyle="1" w:styleId="BodyCustom">
    <w:name w:val="BodyCustom"/>
    <w:basedOn w:val="Normal"/>
    <w:rPr>
      <w:rFonts w:ascii="Aptos" w:hAnsi="Aptos"/>
      <w:sz w:val="21"/>
    </w:rPr>
  </w:style>
  <w:style w:type="paragraph" w:customStyle="1" w:styleId="SmallNote">
    <w:name w:val="SmallNote"/>
    <w:basedOn w:val="Normal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