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t>Reglas de negocio, integridad, confianza y viabilidad del dato</w:t>
      </w:r>
    </w:p>
    <w:p>
      <w:pPr>
        <w:pStyle w:val="SubtitleCustom"/>
        <w:jc w:val="left"/>
      </w:pPr>
      <w:r>
        <w:t>Marco de control para aceptar o rechazar el dataset antes de usarlo en SQL o Python</w:t>
      </w:r>
    </w:p>
    <w:p>
      <w:pPr>
        <w:spacing w:after="80"/>
        <w:pBdr>
          <w:bottom w:val="single" w:sz="18" w:space="1" w:color="4F81BD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9FBAD0"/>
          <w:left w:val="single" w:sz="8" w:space="0" w:color="9FBAD0"/>
          <w:bottom w:val="single" w:sz="8" w:space="0" w:color="9FBAD0"/>
          <w:right w:val="single" w:sz="8" w:space="0" w:color="9FBAD0"/>
          <w:insideH w:val="single" w:sz="8" w:space="0" w:color="9FBAD0"/>
          <w:insideV w:val="single" w:sz="8" w:space="0" w:color="9FBAD0"/>
        </w:tblBorders>
      </w:tblPr>
      <w:tblGrid>
        <w:gridCol w:w="9746"/>
      </w:tblGrid>
      <w:tr>
        <w:tc>
          <w:tcPr>
            <w:tcW w:type="dxa" w:w="9746"/>
            <w:shd w:fill="EEF5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20"/>
              </w:rPr>
              <w:t xml:space="preserve">Criterio de uso: </w:t>
            </w:r>
            <w:r>
              <w:rPr>
                <w:rFonts w:ascii="Aptos" w:hAnsi="Aptos"/>
                <w:sz w:val="20"/>
              </w:rPr>
              <w:t>Este documento define la capa de gobierno del dato. La base no se considera válida solo por cargar; debe aprobar pruebas estructurales, temporales y estadísticas.</w:t>
            </w:r>
          </w:p>
        </w:tc>
      </w:tr>
    </w:tbl>
    <w:p/>
    <w:p>
      <w:pPr>
        <w:pStyle w:val="Heading1"/>
      </w:pPr>
      <w:r>
        <w:t>1. Integridad estructural</w:t>
      </w:r>
    </w:p>
    <w:p>
      <w:pPr>
        <w:pStyle w:val="ListBullet"/>
        <w:spacing w:after="40"/>
      </w:pPr>
      <w:r>
        <w:t>Toda tabla debe tener PK única y sin nulos.</w:t>
      </w:r>
    </w:p>
    <w:p>
      <w:pPr>
        <w:pStyle w:val="ListBullet"/>
        <w:spacing w:after="40"/>
      </w:pPr>
      <w:r>
        <w:t>Toda FK debe resolver contra un registro existente.</w:t>
      </w:r>
    </w:p>
    <w:p>
      <w:pPr>
        <w:pStyle w:val="ListBullet"/>
        <w:spacing w:after="40"/>
      </w:pPr>
      <w:r>
        <w:t>Los catálogos deben ser cerrados y sin variantes semánticas del mismo estado.</w:t>
      </w:r>
    </w:p>
    <w:p>
      <w:pPr>
        <w:pStyle w:val="ListBullet"/>
        <w:spacing w:after="40"/>
      </w:pPr>
      <w:r>
        <w:t>Los campos críticos no deben aceptar null salvo justificación explícita de negocio.</w:t>
      </w:r>
    </w:p>
    <w:p>
      <w:pPr>
        <w:pStyle w:val="Heading1"/>
      </w:pPr>
      <w:r>
        <w:t>2. Integridad temporal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8"/>
          <w:left w:val="single" w:sz="6" w:space="0" w:color="B7C9D8"/>
          <w:bottom w:val="single" w:sz="6" w:space="0" w:color="B7C9D8"/>
          <w:right w:val="single" w:sz="6" w:space="0" w:color="B7C9D8"/>
          <w:insideH w:val="single" w:sz="6" w:space="0" w:color="B7C9D8"/>
          <w:insideV w:val="single" w:sz="6" w:space="0" w:color="B7C9D8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515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C3E50"/>
                <w:sz w:val="18"/>
              </w:rPr>
              <w:t>Regla</w:t>
            </w:r>
          </w:p>
        </w:tc>
        <w:tc>
          <w:tcPr>
            <w:tcW w:type="dxa" w:w="4762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C3E50"/>
                <w:sz w:val="18"/>
              </w:rPr>
              <w:t>Ejemplo de validación</w:t>
            </w:r>
          </w:p>
        </w:tc>
        <w:tc>
          <w:tcPr>
            <w:tcW w:type="dxa" w:w="1587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C3E50"/>
                <w:sz w:val="18"/>
              </w:rPr>
              <w:t>Severidad</w:t>
            </w:r>
          </w:p>
        </w:tc>
      </w:tr>
      <w:tr>
        <w:tc>
          <w:tcPr>
            <w:tcW w:type="dxa" w:w="3515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fecha_hora_fin &gt; fecha_hora_inicio</w:t>
            </w:r>
          </w:p>
        </w:tc>
        <w:tc>
          <w:tcPr>
            <w:tcW w:type="dxa" w:w="47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Todas las llamadas deben tener duración positiva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Crítica</w:t>
            </w:r>
          </w:p>
        </w:tc>
      </w:tr>
      <w:tr>
        <w:tc>
          <w:tcPr>
            <w:tcW w:type="dxa" w:w="3515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fecha_cierre &gt;= fecha_apertura</w:t>
            </w:r>
          </w:p>
        </w:tc>
        <w:tc>
          <w:tcPr>
            <w:tcW w:type="dxa" w:w="47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Un caso no puede cerrarse antes de abrirse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Crítica</w:t>
            </w:r>
          </w:p>
        </w:tc>
      </w:tr>
      <w:tr>
        <w:tc>
          <w:tcPr>
            <w:tcW w:type="dxa" w:w="3515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fecha_pago &gt;= fecha_emision</w:t>
            </w:r>
          </w:p>
        </w:tc>
        <w:tc>
          <w:tcPr>
            <w:tcW w:type="dxa" w:w="47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No puede existir recaudo previo a la factura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Crítica</w:t>
            </w:r>
          </w:p>
        </w:tc>
      </w:tr>
      <w:tr>
        <w:tc>
          <w:tcPr>
            <w:tcW w:type="dxa" w:w="3515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fecha_encuesta &gt;= fecha_hora_fin</w:t>
            </w:r>
          </w:p>
        </w:tc>
        <w:tc>
          <w:tcPr>
            <w:tcW w:type="dxa" w:w="47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La encuesta solo puede darse después del contacto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Alta</w:t>
            </w:r>
          </w:p>
        </w:tc>
      </w:tr>
      <w:tr>
        <w:tc>
          <w:tcPr>
            <w:tcW w:type="dxa" w:w="3515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Eventos dentro de la ventana histórica</w:t>
            </w:r>
          </w:p>
        </w:tc>
        <w:tc>
          <w:tcPr>
            <w:tcW w:type="dxa" w:w="47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Las transacciones deben caer en los 6 meses definidos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Alta</w:t>
            </w:r>
          </w:p>
        </w:tc>
      </w:tr>
    </w:tbl>
    <w:p/>
    <w:p>
      <w:pPr>
        <w:pStyle w:val="Heading1"/>
      </w:pPr>
      <w:r>
        <w:t>3. Reglas de negocio no negociables</w:t>
      </w:r>
    </w:p>
    <w:p>
      <w:pPr>
        <w:pStyle w:val="ListBullet"/>
        <w:spacing w:after="40"/>
      </w:pPr>
      <w:r>
        <w:t>Una llamada abandonada no debe comportarse como llamada atendida completa.</w:t>
      </w:r>
    </w:p>
    <w:p>
      <w:pPr>
        <w:pStyle w:val="ListBullet"/>
        <w:spacing w:after="40"/>
      </w:pPr>
      <w:r>
        <w:t>Una venta_realizada solo debe ocurrir en contextos comerciales compatibles.</w:t>
      </w:r>
    </w:p>
    <w:p>
      <w:pPr>
        <w:pStyle w:val="ListBullet"/>
        <w:spacing w:after="40"/>
      </w:pPr>
      <w:r>
        <w:t>Los productos activos deben explicar la existencia de facturas periódicas.</w:t>
      </w:r>
    </w:p>
    <w:p>
      <w:pPr>
        <w:pStyle w:val="ListBullet"/>
        <w:spacing w:after="40"/>
      </w:pPr>
      <w:r>
        <w:t>Los casos no resueltos en primer contacto deben tener mayor probabilidad de múltiples llamadas.</w:t>
      </w:r>
    </w:p>
    <w:p>
      <w:pPr>
        <w:pStyle w:val="ListBullet"/>
        <w:spacing w:after="40"/>
      </w:pPr>
      <w:r>
        <w:t>La satisfacción debe verse afectada por espera, resolución, reincidencia y tipo de contacto.</w:t>
      </w:r>
    </w:p>
    <w:p>
      <w:pPr>
        <w:pStyle w:val="ListBullet"/>
        <w:spacing w:after="40"/>
      </w:pPr>
      <w:r>
        <w:t>Los agentes no pueden comportarse como clones estadísticos; debe existir heterogeneidad controlada.</w:t>
      </w:r>
    </w:p>
    <w:p>
      <w:pPr>
        <w:pStyle w:val="Heading1"/>
      </w:pPr>
      <w:r>
        <w:t>4. Plausibilidad estadística</w:t>
      </w:r>
    </w:p>
    <w:p>
      <w:pPr>
        <w:pStyle w:val="ListBullet"/>
        <w:spacing w:after="40"/>
      </w:pPr>
      <w:r>
        <w:t>Evitar distribuciones uniformes cuando el negocio real presenta concentración o sesgo.</w:t>
      </w:r>
    </w:p>
    <w:p>
      <w:pPr>
        <w:pStyle w:val="ListBullet"/>
        <w:spacing w:after="40"/>
      </w:pPr>
      <w:r>
        <w:t>Introducir picos por franja horaria, día de la semana y eventos operativos plausibles.</w:t>
      </w:r>
    </w:p>
    <w:p>
      <w:pPr>
        <w:pStyle w:val="ListBullet"/>
        <w:spacing w:after="40"/>
      </w:pPr>
      <w:r>
        <w:t>Controlar outliers: deben existir, pero sin destruir el comportamiento general del histórico.</w:t>
      </w:r>
    </w:p>
    <w:p>
      <w:pPr>
        <w:pStyle w:val="ListBullet"/>
        <w:spacing w:after="40"/>
      </w:pPr>
      <w:r>
        <w:t>Mantener correlaciones defendibles entre espera, satisfacción, resolución, venta y mora.</w:t>
      </w:r>
    </w:p>
    <w:p>
      <w:pPr>
        <w:pStyle w:val="Heading1"/>
      </w:pPr>
      <w:r>
        <w:t>5. Criterios de aceptación del dataset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8"/>
          <w:left w:val="single" w:sz="6" w:space="0" w:color="B7C9D8"/>
          <w:bottom w:val="single" w:sz="6" w:space="0" w:color="B7C9D8"/>
          <w:right w:val="single" w:sz="6" w:space="0" w:color="B7C9D8"/>
          <w:insideH w:val="single" w:sz="6" w:space="0" w:color="B7C9D8"/>
          <w:insideV w:val="single" w:sz="6" w:space="0" w:color="B7C9D8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494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C3E50"/>
                <w:sz w:val="18"/>
              </w:rPr>
              <w:t>Control</w:t>
            </w:r>
          </w:p>
        </w:tc>
        <w:tc>
          <w:tcPr>
            <w:tcW w:type="dxa" w:w="3685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C3E50"/>
                <w:sz w:val="18"/>
              </w:rPr>
              <w:t>Objetivo</w:t>
            </w:r>
          </w:p>
        </w:tc>
        <w:tc>
          <w:tcPr>
            <w:tcW w:type="dxa" w:w="3402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C3E50"/>
                <w:sz w:val="18"/>
              </w:rPr>
              <w:t>Criterio de aceptación</w:t>
            </w:r>
          </w:p>
        </w:tc>
      </w:tr>
      <w:tr>
        <w:tc>
          <w:tcPr>
            <w:tcW w:type="dxa" w:w="2494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PK duplicadas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Garantizar unicidad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0%</w:t>
            </w:r>
          </w:p>
        </w:tc>
      </w:tr>
      <w:tr>
        <w:tc>
          <w:tcPr>
            <w:tcW w:type="dxa" w:w="2494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FK inválidas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Garantizar integridad referencial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0%</w:t>
            </w:r>
          </w:p>
        </w:tc>
      </w:tr>
      <w:tr>
        <w:tc>
          <w:tcPr>
            <w:tcW w:type="dxa" w:w="2494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Fechas imposibles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Garantizar coherencia temporal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0%</w:t>
            </w:r>
          </w:p>
        </w:tc>
      </w:tr>
      <w:tr>
        <w:tc>
          <w:tcPr>
            <w:tcW w:type="dxa" w:w="2494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Duraciones negativas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Garantizar plausibilidad operativa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0%</w:t>
            </w:r>
          </w:p>
        </w:tc>
      </w:tr>
      <w:tr>
        <w:tc>
          <w:tcPr>
            <w:tcW w:type="dxa" w:w="2494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Pagos huérfanos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Garantizar trazabilidad financiera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0%</w:t>
            </w:r>
          </w:p>
        </w:tc>
      </w:tr>
      <w:tr>
        <w:tc>
          <w:tcPr>
            <w:tcW w:type="dxa" w:w="2494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Encuestas huérfanas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Garantizar trazabilidad de experiencia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0%</w:t>
            </w:r>
          </w:p>
        </w:tc>
      </w:tr>
      <w:tr>
        <w:tc>
          <w:tcPr>
            <w:tcW w:type="dxa" w:w="2494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Nulls en campos críticos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Garantizar completitud mínima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0% o solo donde esté permitido</w:t>
            </w:r>
          </w:p>
        </w:tc>
      </w:tr>
      <w:tr>
        <w:tc>
          <w:tcPr>
            <w:tcW w:type="dxa" w:w="2494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Distribuciones planas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Evitar artificialidad del histórico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No aceptable</w:t>
            </w:r>
          </w:p>
        </w:tc>
      </w:tr>
      <w:tr>
        <w:tc>
          <w:tcPr>
            <w:tcW w:type="dxa" w:w="2494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Agentes sin variación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Evitar homogeneidad irreal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No aceptable</w:t>
            </w:r>
          </w:p>
        </w:tc>
      </w:tr>
    </w:tbl>
    <w:p/>
    <w:p>
      <w:pPr>
        <w:pStyle w:val="Heading1"/>
      </w:pPr>
      <w:r>
        <w:t>6. Reproducibilidad y auditoría</w:t>
      </w:r>
    </w:p>
    <w:p>
      <w:pPr>
        <w:pStyle w:val="ListBullet"/>
        <w:spacing w:after="40"/>
      </w:pPr>
      <w:r>
        <w:t>Guardar semilla de generación y versión del generador.</w:t>
      </w:r>
    </w:p>
    <w:p>
      <w:pPr>
        <w:pStyle w:val="ListBullet"/>
        <w:spacing w:after="40"/>
      </w:pPr>
      <w:r>
        <w:t>Versionar las reglas de negocio utilizadas en cada corrida.</w:t>
      </w:r>
    </w:p>
    <w:p>
      <w:pPr>
        <w:pStyle w:val="ListBullet"/>
        <w:spacing w:after="40"/>
      </w:pPr>
      <w:r>
        <w:t>Registrar fecha de generación, conteos por tabla y principales incidencias detectadas.</w:t>
      </w:r>
    </w:p>
    <w:p>
      <w:pPr>
        <w:pStyle w:val="ListBullet"/>
        <w:spacing w:after="40"/>
      </w:pPr>
      <w:r>
        <w:t>Conservar un log de validación con errores, advertencias y correcciones aplicadas.</w:t>
      </w:r>
    </w:p>
    <w:p>
      <w:pPr>
        <w:pStyle w:val="Heading1"/>
      </w:pPr>
      <w:r>
        <w:t>7. Entregables mínimos de control</w:t>
      </w:r>
    </w:p>
    <w:p>
      <w:pPr>
        <w:pStyle w:val="ListBullet"/>
        <w:spacing w:after="40"/>
      </w:pPr>
      <w:r>
        <w:t>Diccionario de datos.</w:t>
      </w:r>
    </w:p>
    <w:p>
      <w:pPr>
        <w:pStyle w:val="ListBullet"/>
        <w:spacing w:after="40"/>
      </w:pPr>
      <w:r>
        <w:t>Matriz de reglas de negocio.</w:t>
      </w:r>
    </w:p>
    <w:p>
      <w:pPr>
        <w:pStyle w:val="ListBullet"/>
        <w:spacing w:after="40"/>
      </w:pPr>
      <w:r>
        <w:t>Reporte de calidad del dataset.</w:t>
      </w:r>
    </w:p>
    <w:p>
      <w:pPr>
        <w:pStyle w:val="ListBullet"/>
        <w:spacing w:after="40"/>
      </w:pPr>
      <w:r>
        <w:t>Conteo de registros por tabla.</w:t>
      </w:r>
    </w:p>
    <w:p>
      <w:pPr>
        <w:pStyle w:val="ListBullet"/>
        <w:spacing w:after="40"/>
      </w:pPr>
      <w:r>
        <w:t>Semilla y versión de generación.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5A5A"/>
        <w:sz w:val="16"/>
      </w:rPr>
      <w:t>Paquete documental para diseño y generación de base sintética de call center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5A5A"/>
        <w:sz w:val="17"/>
      </w:rPr>
      <w:t>03 | Reglas, calidad e integridad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C3E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C3E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Title"/>
    <w:rPr>
      <w:rFonts w:ascii="Aptos Display" w:hAnsi="Aptos Display"/>
      <w:b/>
      <w:color w:val="1F4E79"/>
      <w:sz w:val="44"/>
    </w:rPr>
  </w:style>
  <w:style w:type="paragraph" w:customStyle="1" w:styleId="SubtitleCustom">
    <w:name w:val="SubtitleCustom"/>
    <w:basedOn w:val="Subtitle"/>
    <w:rPr>
      <w:rFonts w:ascii="Aptos" w:hAnsi="Aptos"/>
      <w:color w:val="5A5A5A"/>
      <w:sz w:val="22"/>
    </w:rPr>
  </w:style>
  <w:style w:type="paragraph" w:customStyle="1" w:styleId="BodyCustom">
    <w:name w:val="BodyCustom"/>
    <w:basedOn w:val="Normal"/>
    <w:rPr>
      <w:rFonts w:ascii="Aptos" w:hAnsi="Aptos"/>
      <w:sz w:val="21"/>
    </w:rPr>
  </w:style>
  <w:style w:type="paragraph" w:customStyle="1" w:styleId="SmallNote">
    <w:name w:val="SmallNote"/>
    <w:basedOn w:val="Normal"/>
    <w:rPr>
      <w:rFonts w:ascii="Aptos" w:hAnsi="Aptos"/>
      <w:i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