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KPIs, preguntas de análisis y hoja de ruta de implementación</w:t>
      </w:r>
    </w:p>
    <w:p>
      <w:pPr>
        <w:pStyle w:val="SubtitleCustom"/>
        <w:jc w:val="left"/>
      </w:pPr>
      <w:r>
        <w:t>Documento puente entre el modelo de datos, SQL, Python y la lectura gerencial</w:t>
      </w:r>
    </w:p>
    <w:p>
      <w:pPr>
        <w:spacing w:after="80"/>
        <w:pBdr>
          <w:bottom w:val="single" w:sz="18" w:space="1" w:color="4F81BD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746"/>
      </w:tblGrid>
      <w:tr>
        <w:tc>
          <w:tcPr>
            <w:tcW w:type="dxa" w:w="9746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Criterio de uso: </w:t>
            </w:r>
            <w:r>
              <w:rPr>
                <w:rFonts w:ascii="Aptos" w:hAnsi="Aptos"/>
                <w:sz w:val="20"/>
              </w:rPr>
              <w:t>El propósito de este documento es asegurar que el diseño de la base responda preguntas accionables y no solo consultas descriptivas.</w:t>
            </w:r>
          </w:p>
        </w:tc>
      </w:tr>
    </w:tbl>
    <w:p/>
    <w:p>
      <w:pPr>
        <w:pStyle w:val="Heading1"/>
      </w:pPr>
      <w:r>
        <w:t>1. KPIs principales que la base debe soportar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Dimensión</w:t>
            </w:r>
          </w:p>
        </w:tc>
        <w:tc>
          <w:tcPr>
            <w:tcW w:type="dxa" w:w="249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KPI</w:t>
            </w:r>
          </w:p>
        </w:tc>
        <w:tc>
          <w:tcPr>
            <w:tcW w:type="dxa" w:w="5329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Lógica base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Operación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Volumen de llamadas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Conteo de llamadas por periodo, tipo, servicio o franja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Operación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AHT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Promedio de duracion_segundos en llamadas atendidas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Operación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Tiempo de espera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Promedio de tiempo_espera_segundos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Calidad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FCR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Casos resueltos en primer contacto / casos elegibles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Calidad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Reincidencia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Casos o clientes con múltiples llamadas por mismo motivo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Calidad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CSAT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Promedio de calificacion en encuestas válidas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Comercial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Tasa de conversión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Ventas realizadas / contactos comerciales efectivos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Finanzas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Mora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Facturas vencidas o en mora / facturas emitidas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Gestión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Productividad por agente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Combinación de volumen, AHT, FCR y CSAT</w:t>
            </w:r>
          </w:p>
        </w:tc>
      </w:tr>
    </w:tbl>
    <w:p/>
    <w:p>
      <w:pPr>
        <w:pStyle w:val="Heading1"/>
      </w:pPr>
      <w:r>
        <w:t>2. Preguntas de análisis recomendadas</w:t>
      </w:r>
    </w:p>
    <w:p>
      <w:pPr>
        <w:pStyle w:val="ListBullet"/>
        <w:spacing w:after="40"/>
      </w:pPr>
      <w:r>
        <w:t>¿Cuáles son los motivos de contacto más frecuentes y cómo cambian por mes o franja horaria?</w:t>
      </w:r>
    </w:p>
    <w:p>
      <w:pPr>
        <w:pStyle w:val="ListBullet"/>
        <w:spacing w:after="40"/>
      </w:pPr>
      <w:r>
        <w:t>¿Qué agentes presentan mejor equilibrio entre volumen atendido, AHT, FCR y satisfacción?</w:t>
      </w:r>
    </w:p>
    <w:p>
      <w:pPr>
        <w:pStyle w:val="ListBullet"/>
        <w:spacing w:after="40"/>
      </w:pPr>
      <w:r>
        <w:t>¿Qué departamentos concentran más espera, menor resolución o mayor congestión operativa?</w:t>
      </w:r>
    </w:p>
    <w:p>
      <w:pPr>
        <w:pStyle w:val="ListBullet"/>
        <w:spacing w:after="40"/>
      </w:pPr>
      <w:r>
        <w:t>¿Qué casos muestran mayor reincidencia y qué motivos explican esa recurrencia?</w:t>
      </w:r>
    </w:p>
    <w:p>
      <w:pPr>
        <w:pStyle w:val="ListBullet"/>
        <w:spacing w:after="40"/>
      </w:pPr>
      <w:r>
        <w:t>¿Qué variables influyen más en la insatisfacción del cliente?</w:t>
      </w:r>
    </w:p>
    <w:p>
      <w:pPr>
        <w:pStyle w:val="ListBullet"/>
        <w:spacing w:after="40"/>
      </w:pPr>
      <w:r>
        <w:t>¿Qué agentes, horarios o campañas convierten mejor en ventas?</w:t>
      </w:r>
    </w:p>
    <w:p>
      <w:pPr>
        <w:pStyle w:val="ListBullet"/>
        <w:spacing w:after="40"/>
      </w:pPr>
      <w:r>
        <w:t>¿Qué clientes concentran señales de riesgo por baja satisfacción, múltiples llamadas y cartera vencida?</w:t>
      </w:r>
    </w:p>
    <w:p>
      <w:pPr>
        <w:pStyle w:val="ListBullet"/>
        <w:spacing w:after="40"/>
      </w:pPr>
      <w:r>
        <w:t>¿Qué productos o servicios generan mayor carga operativa y mayor fricción con el cliente?</w:t>
      </w:r>
    </w:p>
    <w:p>
      <w:pPr>
        <w:pStyle w:val="ListBullet"/>
        <w:spacing w:after="40"/>
      </w:pPr>
      <w:r>
        <w:t>¿Dónde debería priorizarse una mejora: espera, resolución, experiencia o cartera?</w:t>
      </w:r>
    </w:p>
    <w:p>
      <w:pPr>
        <w:pStyle w:val="Heading1"/>
      </w:pPr>
      <w:r>
        <w:t>3. Secuencia recomendada de carga en SQL</w:t>
      </w:r>
    </w:p>
    <w:p>
      <w:pPr>
        <w:pStyle w:val="ListNumber"/>
        <w:spacing w:after="40"/>
      </w:pPr>
      <w:r>
        <w:t>Catálogos: departamentos, equipos_trabajo, habilidades, turnos, tipos_servicio, motivos_llamada y resultados_llamada.</w:t>
      </w:r>
    </w:p>
    <w:p>
      <w:pPr>
        <w:pStyle w:val="ListNumber"/>
        <w:spacing w:after="40"/>
      </w:pPr>
      <w:r>
        <w:t>Entidades maestras: clientes y agentes.</w:t>
      </w:r>
    </w:p>
    <w:p>
      <w:pPr>
        <w:pStyle w:val="ListNumber"/>
        <w:spacing w:after="40"/>
      </w:pPr>
      <w:r>
        <w:t>Tablas puente: agente_habilidad y agente_turno.</w:t>
      </w:r>
    </w:p>
    <w:p>
      <w:pPr>
        <w:pStyle w:val="ListNumber"/>
        <w:spacing w:after="40"/>
      </w:pPr>
      <w:r>
        <w:t>Hechos de negocio: productos_servicios_cliente, facturas y pagos.</w:t>
      </w:r>
    </w:p>
    <w:p>
      <w:pPr>
        <w:pStyle w:val="ListNumber"/>
        <w:spacing w:after="40"/>
      </w:pPr>
      <w:r>
        <w:t>Seguimiento y operación: casos, llamadas y encuestas_satisfaccion.</w:t>
      </w:r>
    </w:p>
    <w:p>
      <w:pPr>
        <w:pStyle w:val="Heading1"/>
      </w:pPr>
      <w:r>
        <w:t>4. Secuencia recomendada de trabajo en Python</w:t>
      </w:r>
    </w:p>
    <w:p>
      <w:pPr>
        <w:pStyle w:val="ListNumber"/>
        <w:spacing w:after="40"/>
      </w:pPr>
      <w:r>
        <w:t>Cargar cada CSV con tipado explícito y parseo de fechas.</w:t>
      </w:r>
    </w:p>
    <w:p>
      <w:pPr>
        <w:pStyle w:val="ListNumber"/>
        <w:spacing w:after="40"/>
      </w:pPr>
      <w:r>
        <w:t>Validar unicidad, nulls, dominios y consistencia temporal antes de unir tablas.</w:t>
      </w:r>
    </w:p>
    <w:p>
      <w:pPr>
        <w:pStyle w:val="ListNumber"/>
        <w:spacing w:after="40"/>
      </w:pPr>
      <w:r>
        <w:t>Construir vistas analíticas intermedias por cliente, agente, caso y periodo.</w:t>
      </w:r>
    </w:p>
    <w:p>
      <w:pPr>
        <w:pStyle w:val="ListNumber"/>
        <w:spacing w:after="40"/>
      </w:pPr>
      <w:r>
        <w:t>Derivar KPIs y luego contrastar distribuciones para detectar anomalías del generador.</w:t>
      </w:r>
    </w:p>
    <w:p>
      <w:pPr>
        <w:pStyle w:val="ListNumber"/>
        <w:spacing w:after="40"/>
      </w:pPr>
      <w:r>
        <w:t>Documentar supuestos y umbrales antes de presentar resultados gerenciales.</w:t>
      </w:r>
    </w:p>
    <w:p>
      <w:pPr>
        <w:pStyle w:val="Heading1"/>
      </w:pPr>
      <w:r>
        <w:t>5. Reglas derivadas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Indicador</w:t>
            </w:r>
          </w:p>
        </w:tc>
        <w:tc>
          <w:tcPr>
            <w:tcW w:type="dxa" w:w="521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Regla recomendada</w:t>
            </w:r>
          </w:p>
        </w:tc>
        <w:tc>
          <w:tcPr>
            <w:tcW w:type="dxa" w:w="260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Observación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FCR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Caso resuelto en la primera interacción y sin nueva llamada en ventana operativa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No debe asignarse al azar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CSAT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Promedio de calificación condicionado por espera, resolución y reincidencia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Evitar distribución plana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Conversión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Venta_realizada sobre contactos comerciales válidos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Depende de motivo, servicio y agente</w:t>
            </w:r>
          </w:p>
        </w:tc>
      </w:tr>
      <w:tr>
        <w:tc>
          <w:tcPr>
            <w:tcW w:type="dxa" w:w="170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Riesgo de cliente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Combinación de cartera, fricción operativa y satisfacción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Útil para segmentación gerencial</w:t>
            </w:r>
          </w:p>
        </w:tc>
      </w:tr>
    </w:tbl>
    <w:p/>
    <w:p>
      <w:pPr>
        <w:pStyle w:val="Heading1"/>
      </w:pPr>
      <w:r>
        <w:t>6. Recomendación ejecutiva</w:t>
      </w:r>
    </w:p>
    <w:p>
      <w:pPr>
        <w:pStyle w:val="ListBullet"/>
        <w:spacing w:after="40"/>
      </w:pPr>
      <w:r>
        <w:t>No presentar la base como un ejercicio de relleno; presentarla como un sistema sintético controlado.</w:t>
      </w:r>
    </w:p>
    <w:p>
      <w:pPr>
        <w:pStyle w:val="ListBullet"/>
        <w:spacing w:after="40"/>
      </w:pPr>
      <w:r>
        <w:t>Separar claramente los datos transaccionales de los indicadores derivados.</w:t>
      </w:r>
    </w:p>
    <w:p>
      <w:pPr>
        <w:pStyle w:val="ListBullet"/>
        <w:spacing w:after="40"/>
      </w:pPr>
      <w:r>
        <w:t>Acompañar la entrega con diccionario, reglas y reporte de calidad para elevar credibilidad.</w:t>
      </w:r>
    </w:p>
    <w:p>
      <w:pPr>
        <w:pStyle w:val="ListBullet"/>
        <w:spacing w:after="40"/>
      </w:pPr>
      <w:r>
        <w:t>Usar el histórico no solo para responder qué pasó, sino para justificar decisiones de mejora operativa.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Paquete documental para diseño y generación de base sintética de call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7"/>
      </w:rPr>
      <w:t>04 | KPIs, preguntas y hoja de ruta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Subtitle"/>
    <w:rPr>
      <w:rFonts w:ascii="Aptos" w:hAnsi="Aptos"/>
      <w:color w:val="5A5A5A"/>
      <w:sz w:val="22"/>
    </w:rPr>
  </w:style>
  <w:style w:type="paragraph" w:customStyle="1" w:styleId="BodyCustom">
    <w:name w:val="BodyCustom"/>
    <w:basedOn w:val="Normal"/>
    <w:rPr>
      <w:rFonts w:ascii="Aptos" w:hAnsi="Aptos"/>
      <w:sz w:val="21"/>
    </w:rPr>
  </w:style>
  <w:style w:type="paragraph" w:customStyle="1" w:styleId="SmallNote">
    <w:name w:val="SmallNote"/>
    <w:basedOn w:val="Normal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