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Matriz maestra del modelo relacional</w:t>
      </w:r>
    </w:p>
    <w:p>
      <w:pPr>
        <w:pStyle w:val="SubtitleCustom"/>
        <w:jc w:val="left"/>
      </w:pPr>
      <w:r>
        <w:t>Definición resumida por tabla: función, volumen, relaciones, reglas y controles</w:t>
      </w:r>
    </w:p>
    <w:p>
      <w:pPr>
        <w:spacing w:after="80"/>
        <w:pBdr>
          <w:bottom w:val="single" w:sz="18" w:space="1" w:color="4F81BD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746"/>
      </w:tblGrid>
      <w:tr>
        <w:tc>
          <w:tcPr>
            <w:tcW w:type="dxa" w:w="974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Criterio de uso: </w:t>
            </w:r>
            <w:r>
              <w:rPr>
                <w:rFonts w:ascii="Aptos" w:hAnsi="Aptos"/>
                <w:sz w:val="20"/>
              </w:rPr>
              <w:t>Las cantidades son rangos de diseño. Pueden ajustarse en la fase de generación siempre que no se rompa la coherencia entre tablas.</w:t>
            </w:r>
          </w:p>
        </w:tc>
      </w:tr>
    </w:tbl>
    <w:p/>
    <w:p>
      <w:pPr>
        <w:pStyle w:val="Heading1"/>
      </w:pPr>
      <w:r>
        <w:t>Resumen general de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17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Tabla</w:t>
            </w:r>
          </w:p>
        </w:tc>
        <w:tc>
          <w:tcPr>
            <w:tcW w:type="dxa" w:w="255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Volumen estimado</w:t>
            </w:r>
          </w:p>
        </w:tc>
        <w:tc>
          <w:tcPr>
            <w:tcW w:type="dxa" w:w="3969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Rol en el modelo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Base maestra de personas o cuentas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departamentos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Áreas operativas del call center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equipos_trabajo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Subestructura operativa por departamento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agentes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Asesores con desempeño diferenciado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habilidades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Catálogo de capacidades del agente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agente_habilidad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320–420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Relación N:M entre agentes y habilidades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turnos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Catálogo de turnos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agente_turno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220–320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Histórico de asignación de turnos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tipos_servicio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Clasificación macro del contacto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motivos_llamada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Motivo específico del caso o llamada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resultados_llamada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Resultado operativo del contacto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productos_servicios_cliente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42.000–50.000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Portafolio contratado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facturas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85.000–110.000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Histórico de cobro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pagos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70.000–100.000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Recaudo asociado a factura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casos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24.000–32.000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Unidad de seguimiento del problema o solicitud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llamadas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95.000–135.000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Evento central de la operación</w:t>
            </w:r>
          </w:p>
        </w:tc>
      </w:tr>
      <w:tr>
        <w:tc>
          <w:tcPr>
            <w:tcW w:type="dxa" w:w="317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encuestas_satisfaccion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20.000–32.000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Medición de experiencia del cliente</w:t>
            </w:r>
          </w:p>
        </w:tc>
      </w:tr>
    </w:tbl>
    <w:p/>
    <w:p>
      <w:pPr>
        <w:pStyle w:val="Heading1"/>
      </w:pPr>
      <w:r>
        <w:t>Detalle por tabla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7"/>
              </w:rPr>
              <w:t>Tabla</w:t>
            </w:r>
          </w:p>
        </w:tc>
        <w:tc>
          <w:tcPr>
            <w:tcW w:type="dxa" w:w="362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7"/>
              </w:rPr>
              <w:t>Reglas de generación críticas</w:t>
            </w:r>
          </w:p>
        </w:tc>
        <w:tc>
          <w:tcPr>
            <w:tcW w:type="dxa" w:w="255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7"/>
              </w:rPr>
              <w:t>Relaciones clave</w:t>
            </w:r>
          </w:p>
        </w:tc>
        <w:tc>
          <w:tcPr>
            <w:tcW w:type="dxa" w:w="255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7"/>
              </w:rPr>
              <w:t>Validaciones mínimas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clientes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Documento único por cliente; estado distribuido entre activo, inactivo y suspendido.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 relaciona con llamadas, casos, productos, facturas y encuestas.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PK única, documento único, fecha_registro válida, estado controlado.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agentes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Perfilar agentes con diferencias de volumen, FCR, AHT y orientación comercial.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Pertenece a un equipo y a un departamento principal; participa en llamadas y turnos.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PK y documento únicos; coherencia equipo-departamento; fecha_ingreso válida.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productos_servicios_cliente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Cada cliente debe tener entre 1 y 3 productos; pocos casos con 4.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Explica facturación y propensión a tipos de contacto.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FK válida a clientes; fecha_adquisicion coherente; estado_producto controlado.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facturas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 emiten a partir de productos activos, con periodicidad lógica y valor positivo.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 vinculan a clientes y luego a pagos.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numero_factura único; vencimiento posterior a emisión; valor_total &gt; 0.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pagos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Mayoría asociados a facturas pagadas; algunos parciales y algunos tardíos.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Permiten medir recaudo, mora y riesgo.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FK válida; fecha_pago &gt;= fecha_emision; suma de pagos no excede factura.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casos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No toda llamada abre caso; los no FCR deben tender a reincidencia.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Agrupan múltiples llamadas sobre un mismo problema.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fecha_cierre &gt;= fecha_apertura; estado coherente; FCR no aleatorio puro.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llamadas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75% entrantes y 25% salientes, con picos horarios realistas.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 conectan con cliente, agente, servicio, motivo, resultado y, cuando aplica, caso.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Timestamps coherentes; duración no negativa; resultado compatible con contexto.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encuestas_satisfaccion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Solo una parte de las llamadas atendidas debe recibir encuesta.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Permiten derivar CSAT por agente, servicio y franja.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calificacion entre 1 y 5; fecha posterior a la llamada; evitar encuestas en abandonadas.</w:t>
            </w:r>
          </w:p>
        </w:tc>
      </w:tr>
    </w:tbl>
    <w:p/>
    <w:p>
      <w:pPr>
        <w:pStyle w:val="Heading1"/>
      </w:pPr>
      <w:r>
        <w:t>Relaciones principales del modelo</w:t>
      </w:r>
    </w:p>
    <w:p>
      <w:pPr>
        <w:pStyle w:val="ListBullet"/>
        <w:spacing w:after="40"/>
      </w:pPr>
      <w:r>
        <w:t>clientes 1:N llamadas, casos, productos_servicios_cliente, facturas y encuestas_satisfaccion.</w:t>
      </w:r>
    </w:p>
    <w:p>
      <w:pPr>
        <w:pStyle w:val="ListBullet"/>
        <w:spacing w:after="40"/>
      </w:pPr>
      <w:r>
        <w:t>departamentos 1:N equipos_trabajo, agentes y llamadas.</w:t>
      </w:r>
    </w:p>
    <w:p>
      <w:pPr>
        <w:pStyle w:val="ListBullet"/>
        <w:spacing w:after="40"/>
      </w:pPr>
      <w:r>
        <w:t>agentes N:M habilidades mediante agente_habilidad y N:M turnos mediante agente_turno.</w:t>
      </w:r>
    </w:p>
    <w:p>
      <w:pPr>
        <w:pStyle w:val="ListBullet"/>
        <w:spacing w:after="40"/>
      </w:pPr>
      <w:r>
        <w:t>tipos_servicio 1:N motivos_llamada, casos y llamadas.</w:t>
      </w:r>
    </w:p>
    <w:p>
      <w:pPr>
        <w:pStyle w:val="ListBullet"/>
        <w:spacing w:after="40"/>
      </w:pPr>
      <w:r>
        <w:t>casos 1:N llamadas; una llamada puede existir sin caso en escenarios de consulta simple.</w:t>
      </w:r>
    </w:p>
    <w:p>
      <w:pPr>
        <w:pStyle w:val="ListBullet"/>
        <w:spacing w:after="40"/>
      </w:pPr>
      <w:r>
        <w:t>facturas 1:N pagos; una factura puede quedar pendiente sin pago durante parte del histórico.</w:t>
      </w:r>
    </w:p>
    <w:p>
      <w:pPr>
        <w:pStyle w:val="Heading2"/>
      </w:pPr>
      <w:r>
        <w:t>Notas de diseño</w:t>
      </w:r>
    </w:p>
    <w:p>
      <w:pPr>
        <w:pStyle w:val="ListBullet"/>
        <w:spacing w:after="40"/>
      </w:pPr>
      <w:r>
        <w:t>La tabla casos es estructuralmente importante para FCR, reincidencia y seguimiento.</w:t>
      </w:r>
    </w:p>
    <w:p>
      <w:pPr>
        <w:pStyle w:val="ListBullet"/>
        <w:spacing w:after="40"/>
      </w:pPr>
      <w:r>
        <w:t>La tabla llamadas es el hecho central; debe concentrar la mayor densidad analítica.</w:t>
      </w:r>
    </w:p>
    <w:p>
      <w:pPr>
        <w:pStyle w:val="ListBullet"/>
        <w:spacing w:after="40"/>
      </w:pPr>
      <w:r>
        <w:t>La tabla productos_servicios_cliente evita que facturas y motivos de contacto queden desconectados del negocio.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Paquete documental para diseño y generación de base sintética de call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7"/>
      </w:rPr>
      <w:t>02 | Matriz maestra por tabla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Subtitle"/>
    <w:rPr>
      <w:rFonts w:ascii="Aptos" w:hAnsi="Aptos"/>
      <w:color w:val="5A5A5A"/>
      <w:sz w:val="22"/>
    </w:rPr>
  </w:style>
  <w:style w:type="paragraph" w:customStyle="1" w:styleId="BodyCustom">
    <w:name w:val="BodyCustom"/>
    <w:basedOn w:val="Normal"/>
    <w:rPr>
      <w:rFonts w:ascii="Aptos" w:hAnsi="Aptos"/>
      <w:sz w:val="21"/>
    </w:rPr>
  </w:style>
  <w:style w:type="paragraph" w:customStyle="1" w:styleId="SmallNote">
    <w:name w:val="SmallNote"/>
    <w:basedOn w:val="Normal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