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  <w:jc w:val="center"/>
      </w:pPr>
      <w:r>
        <w:rPr>
          <w:rFonts w:ascii="Aptos Display" w:hAnsi="Aptos Display"/>
          <w:b/>
          <w:color w:val="1F375C"/>
          <w:sz w:val="48"/>
        </w:rPr>
        <w:t>05 · Diccionario de datos tecnico</w:t>
      </w:r>
    </w:p>
    <w:p>
      <w:pPr>
        <w:jc w:val="center"/>
      </w:pPr>
      <w:r>
        <w:rPr>
          <w:rFonts w:ascii="Aptos" w:hAnsi="Aptos"/>
          <w:i/>
          <w:color w:val="595959"/>
          <w:sz w:val="22"/>
        </w:rPr>
        <w:t>Proyecto de base de datos sintetica para call center</w:t>
        <w:br/>
        <w:t>30.000 clientes · Historico de 6 meses · SQL y Python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7200"/>
        <w:gridCol w:w="7200"/>
      </w:tblGrid>
      <w:tr>
        <w:tc>
          <w:tcPr>
            <w:tcW w:type="dxa" w:w="201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F375C"/>
                <w:sz w:val="19"/>
              </w:rPr>
              <w:t>Objetivo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Estandarizar nombres, tipos, dominios y reglas para la construccion, carga y validacion del dataset.</w:t>
            </w:r>
          </w:p>
        </w:tc>
      </w:tr>
      <w:tr>
        <w:tc>
          <w:tcPr>
            <w:tcW w:type="dxa" w:w="201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F375C"/>
                <w:sz w:val="19"/>
              </w:rPr>
              <w:t>Uso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Referencia unica para DDL SQL, generador Python, exportacion CSV y pruebas de calidad.</w:t>
            </w:r>
          </w:p>
        </w:tc>
      </w:tr>
      <w:tr>
        <w:tc>
          <w:tcPr>
            <w:tcW w:type="dxa" w:w="2016"/>
            <w:shd w:fill="EAF0F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1F375C"/>
                <w:sz w:val="19"/>
              </w:rPr>
              <w:t>Alcance</w:t>
            </w:r>
          </w:p>
        </w:tc>
        <w:tc>
          <w:tcPr>
            <w:tcW w:type="dxa" w:w="95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Incluye catalogos, dimensiones, tablas puente y hechos del modelo analitico definido.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Convenciones generales</w:t>
      </w:r>
    </w:p>
    <w:p>
      <w:pPr>
        <w:pStyle w:val="ListBullet"/>
        <w:spacing w:before="0" w:after="0"/>
      </w:pPr>
      <w:r>
        <w:rPr>
          <w:sz w:val="18"/>
        </w:rPr>
        <w:t>Nombres en snake_case, sin tildes ni espacios.</w:t>
      </w:r>
    </w:p>
    <w:p>
      <w:pPr>
        <w:pStyle w:val="ListBullet"/>
        <w:spacing w:before="0" w:after="0"/>
      </w:pPr>
      <w:r>
        <w:rPr>
          <w:sz w:val="18"/>
        </w:rPr>
        <w:t>Tipos SQL sugeridos como referencia generica; pueden ajustarse segun el motor elegido.</w:t>
      </w:r>
    </w:p>
    <w:p>
      <w:pPr>
        <w:pStyle w:val="ListBullet"/>
        <w:spacing w:before="0" w:after="0"/>
      </w:pPr>
      <w:r>
        <w:rPr>
          <w:sz w:val="18"/>
        </w:rPr>
        <w:t>Fechas en YYYY-MM-DD y datetimes en YYYY-MM-DD HH:MM:SS.</w:t>
      </w:r>
    </w:p>
    <w:p>
      <w:pPr>
        <w:pStyle w:val="ListBullet"/>
        <w:spacing w:before="0" w:after="0"/>
      </w:pPr>
      <w:r>
        <w:rPr>
          <w:sz w:val="18"/>
        </w:rPr>
        <w:t>Dominios criticos con catalogos cerrados o restricciones CHECK.</w:t>
      </w:r>
    </w:p>
    <w:p>
      <w:pPr>
        <w:pStyle w:val="ListBullet"/>
        <w:spacing w:before="0" w:after="0"/>
      </w:pPr>
      <w:r>
        <w:rPr>
          <w:sz w:val="18"/>
        </w:rPr>
        <w:t>Indicadores derivados, como FCR, se calculan desde el comportamiento historico del caso.</w:t>
      </w:r>
    </w:p>
    <w:p>
      <w:pPr>
        <w:pStyle w:val="ListBullet"/>
        <w:spacing w:before="0" w:after="0"/>
      </w:pPr>
      <w:r>
        <w:rPr>
          <w:sz w:val="18"/>
        </w:rPr>
        <w:t>CSV en UTF-8, separador consistente y sin romper integridad referencial.</w:t>
      </w:r>
    </w:p>
    <w:p>
      <w:pPr>
        <w:pStyle w:val="Heading2"/>
      </w:pPr>
      <w:r>
        <w:rPr>
          <w:color w:val="2F5496"/>
          <w:sz w:val="22"/>
        </w:rPr>
        <w:t>Leyenda de columnas del diccionario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7200"/>
        <w:gridCol w:w="7200"/>
      </w:tblGrid>
      <w:tr>
        <w:trPr>
          <w:tblHeader w:val="true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Columna</w:t>
            </w:r>
          </w:p>
        </w:tc>
        <w:tc>
          <w:tcPr>
            <w:tcW w:type="dxa" w:w="10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Uso</w:t>
            </w:r>
          </w:p>
        </w:tc>
      </w:tr>
      <w:tr>
        <w:tc>
          <w:tcPr>
            <w:tcW w:type="dxa" w:w="3168"/>
          </w:tcPr>
          <w:p>
            <w:r>
              <w:t>Tipo SQL</w:t>
            </w:r>
          </w:p>
        </w:tc>
        <w:tc>
          <w:tcPr>
            <w:tcW w:type="dxa" w:w="10224"/>
          </w:tcPr>
          <w:p>
            <w:r>
              <w:t>Tipo recomendado para una implementacion relacional estandar.</w:t>
            </w:r>
          </w:p>
        </w:tc>
      </w:tr>
      <w:tr>
        <w:tc>
          <w:tcPr>
            <w:tcW w:type="dxa" w:w="3168"/>
          </w:tcPr>
          <w:p>
            <w:r>
              <w:t>Nulo</w:t>
            </w:r>
          </w:p>
        </w:tc>
        <w:tc>
          <w:tcPr>
            <w:tcW w:type="dxa" w:w="10224"/>
          </w:tcPr>
          <w:p>
            <w:r>
              <w:t>Indica si el campo admite valores nulos por regla de negocio.</w:t>
            </w:r>
          </w:p>
        </w:tc>
      </w:tr>
      <w:tr>
        <w:tc>
          <w:tcPr>
            <w:tcW w:type="dxa" w:w="3168"/>
          </w:tcPr>
          <w:p>
            <w:r>
              <w:t>Clave</w:t>
            </w:r>
          </w:p>
        </w:tc>
        <w:tc>
          <w:tcPr>
            <w:tcW w:type="dxa" w:w="10224"/>
          </w:tcPr>
          <w:p>
            <w:r>
              <w:t>Marca PK, FK, UQ o ausencia de restriccion clave.</w:t>
            </w:r>
          </w:p>
        </w:tc>
      </w:tr>
      <w:tr>
        <w:tc>
          <w:tcPr>
            <w:tcW w:type="dxa" w:w="3168"/>
          </w:tcPr>
          <w:p>
            <w:r>
              <w:t>Ejemplo / dominio</w:t>
            </w:r>
          </w:p>
        </w:tc>
        <w:tc>
          <w:tcPr>
            <w:tcW w:type="dxa" w:w="10224"/>
          </w:tcPr>
          <w:p>
            <w:r>
              <w:t>Ejemplo de valor o dominio permitido.</w:t>
            </w:r>
          </w:p>
        </w:tc>
      </w:tr>
      <w:tr>
        <w:tc>
          <w:tcPr>
            <w:tcW w:type="dxa" w:w="3168"/>
          </w:tcPr>
          <w:p>
            <w:r>
              <w:t>Descripcion y regla de negocio</w:t>
            </w:r>
          </w:p>
        </w:tc>
        <w:tc>
          <w:tcPr>
            <w:tcW w:type="dxa" w:w="10224"/>
          </w:tcPr>
          <w:p>
            <w:r>
              <w:t>Explica el rol del campo y la validacion minima esperada.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clientes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Dimension maestra de clientes sobre la cual se articulan llamadas, casos, productos, facturacion y pagos.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cliente unico.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id_cliente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1, 2, 3...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interno del cliente. No debe reutilizarse.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tipo_documento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CC, CE, NIT, TI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Tipo documental controlado. Conviene manejar catalogo cerrado.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numero_documento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1053812345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Documento unico por cliente. Debe pasar validacion de unicidad.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Carlos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del cliente.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apellido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Gomez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Apellido del cliente.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direccion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Calle 45 #12-33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Direccion opcional. Puede faltar en una porcion menor.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clientes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ciudad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Bogota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Ciudad principal de residencia.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telefono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3005551122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Telefono de contacto con formato consistente.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email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cliente@correo.com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Correo electronico opcional.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fecha_registro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2025-11-14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alta. Debe ser anterior o igual a sus transacciones.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activo, inactivo, suspendido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vigente del cliente. Dominio cerrado.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departamentos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de areas del call center para analisis comparativo.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departamento.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id_departamento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id_departamento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1..5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departamento.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nombre_departamento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soporte_tecnico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estandarizado del area.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descripcion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Area encargada de...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Descripcion breve del frente funcional.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equipos_trabajo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Subestructura operativa para agrupar agentes dentro de cada departamento.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equipo.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id_equipo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id_departamento -&gt; departamentos.id_departamento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id_equipo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equipo.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nombre_equipo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VARCHAR(60)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equipo_soporte_1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operativo del equipo.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id_departamento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Departamento al que pertenece el equipo.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descripcion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Equipo de soporte nivel 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Descripcion funcional del equipo.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agentes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Dimension de agentes para medir productividad, calidad, FCR y conversion comercial.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agente.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id_agente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id_equipo -&gt; equipos_trabajo.id_equipo; id_departamento -&gt; departamentos.id_departamento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id_agente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interno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Laura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apellido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Martinez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Apellido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documento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1002233445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Documento unico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cargo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asesor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Cargo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telefono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3125558899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Telefono corporativo opcional.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agentes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email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agente01@empresa.com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Correo corporativo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fecha_ingreso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2024-08-01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ingreso.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estado_agente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activo, inactivo, vacaciones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actual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id_equipo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Equipo principal del agente.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id_departamento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Departamento principal; debe coincidir con su equipo.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habilidades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de competencias operativas y comerciales de los agentes.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habilidad.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id_habilidad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id_habilidad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1..6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 la habilidad.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nombre_habilidad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ventas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de la habilidad. Dominio cerrado.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descripcion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Capacidad para...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Descripcion funcional de la competencia.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agente_habilidad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Tabla puente N:M entre agentes y habilidades.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asignacion de habilidad.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PK compuesta (id_agente, id_habilidad)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id_agente -&gt; agentes.id_agente; id_habilidad -&gt; habilidades.id_habilidad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id_agente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PK/FK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Agente al que se asigna la habilidad.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id_habilidad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PK/FK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Habilidad asignada. No debe duplicarse para el mismo agente.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turnos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de turnos operativos para planificacion y analisis por franja.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turno.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id_turno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id_turno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1..3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turno.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nombre_turno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manana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del turno.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hora_inicio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06:00:00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Hora de inicio del turno.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hora_fin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14:00:00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Hora de cierre del turno.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dias_semana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VARCHAR(40)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LUN-MAR-MIE-JUE-VIE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Cobertura general del turno.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agente_turno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Asignacion historica de turnos a agentes.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vigencia de turno por agente.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id_agente_turno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id_agente -&gt; agentes.id_agente; id_turno -&gt; turnos.id_turno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id_agente_turno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90001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 la asignacion historica.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id_agente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Agente asignado al turno.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id_turno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Turno asignado.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fecha_inicio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2026-01-01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inicio de la vigencia.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fecha_fin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2026-03-31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cierre. Nulo si sigue vigente.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tipos_servicio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macro de lineas de atencion.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tipo de servicio.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id_tipo_servicio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id_tipo_servicio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1..5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tipo de servicio.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facturacion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normalizado del servicio.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motivos_llamada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detallado de razones de contacto del cliente.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motivo.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id_motivo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id_tipo_servicio -&gt; tipos_servicio.id_tipo_servicio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id_motivo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motivo.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nombre_motivo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VARCHAR(80)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pago_factura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resumido del motivo.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descripcion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Consulta sobre...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Descripcion funcional del motivo.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id_tipo_servicio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Tipo de servicio al que pertenece el motivo.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resultados_llamada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Catalogo de cierre operativo de la llamada.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resultado.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id_resultado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No aplica.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id_resultado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1..7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resultado.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nombre_resultado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VARCHAR(40)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resuelta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Resultado estandarizado del cierre.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casos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Unidad de seguimiento del problema o solicitud del cliente; fundamento del FCR y la reincidencia.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caso.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id_caso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id_cliente -&gt; clientes.id_cliente; id_tipo_servicio -&gt; tipos_servicio.id_tipo_servicio; id_motivo -&gt; motivos_llamada.id_motivo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id_caso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70001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Cliente titular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id_tipo_servicio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Linea de servicio principal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id_motivo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204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Motivo principal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descripcion_caso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Cliente reporta...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Resumen narrativo del problema o solicitud.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fecha_apertura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2026-02-04 09:14:00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apertura del caso.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casos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fecha_cierre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2026-02-04 09:42:00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cierre; nulo si sigue abierto.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estado_caso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abierto, en_proceso, cerrado, cancelado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vigente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resuelto_primer_contacto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0 o 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Indicador derivado del historial real del caso.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prioridad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baja, media, alta, critica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Nivel de prioridad del caso.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llamadas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Tabla central de eventos de atencion. Debe soportar analisis de volumen, AHT, espera, FCR, ventas y calidad.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llamada.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id_llamada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id_cliente -&gt; clientes.id_cliente; id_agente -&gt; agentes.id_agente; id_departamento -&gt; departamentos.id_departamento; id_caso -&gt; casos.id_caso; id_tipo_servicio -&gt; tipos_servicio.id_tipo_servicio; id_motivo -&gt; motivos_llamada.id_motivo; id_resultado -&gt; resultados_llamada.id_resultado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id_llamada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3000001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unico de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Cliente asociado a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id_agente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Agente que atiende. Puede ser nulo en llamadas abandonadas.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id_departamento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Departamento que gestiona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id_caso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70001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Caso asociado. Nulo cuando la llamada no deriva en caso formal.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id_tipo_servicio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Tipo de servicio asociado al contacto.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llamadas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id_motivo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204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Motivo especifico de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id_resultado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Resultado final de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tipo_llamada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VARCHAR(15)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entrante, saliente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Direccion del contacto. Dominio cerrado.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fecha_hora_inicio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2026-02-04 09:18:10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Inicio del evento.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fecha_hora_fin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2026-02-04 09:26:20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Fin del evento; debe ser mayor al inicio.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duracion_segundos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490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Duracion efectiva de atencion.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llamadas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tiempo_espera_segundos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64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Tiempo en cola previo a atencion o abandono.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canal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telefono, voip, campana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Canal tecnico u operativo del contacto.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observaciones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Cliente acepta...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Campo opcional de contexto.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requiere_seguimiento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BOOLEAN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0 o 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Marca de continuidad; debe alinearse con casos pendientes o escalados.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encuestas_satisfaccion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Hecho de experiencia del cliente posterior a la atencion.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encuesta.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id_encuesta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id_llamada -&gt; llamadas.id_llamada; id_cliente -&gt; clientes.id_cliente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id_encuesta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8000001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 la encuesta.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id_llamada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3000001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Llamada evaluada por el cliente.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Cliente que responde. Debe coincidir con la llamada.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calificacion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SMALLINT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 a 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Valoracion del servicio.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comentario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Si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Buena atencion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Comentario libre opcional.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fecha_encuesta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DATETIME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2026-02-04 09:30:00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respuesta, posterior a la llamada.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productos_servicios_cliente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Portafolio contratado por el cliente; insumo para ventas, facturacion y segmentacion.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producto/servicio por cliente.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id_producto_cliente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id_cliente -&gt; clientes.id_cliente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id_producto_cliente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600001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registro de producto/servicio.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Cliente al que pertenece el servicio.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nombre_producto_servicio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VARCHAR(100)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internet_hogar_300mb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Nombre comercial resumido.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categoria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VARCHAR(50)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internet, movil, tv, premium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Categoria del producto.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fecha_adquisicion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2025-10-20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alta del producto o servicio.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estado_producto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activo, suspendido, cancelado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actual del producto.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facturas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Hecho financiero de cobro emitido al cliente.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factura.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id_factura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id_cliente -&gt; clientes.id_cliente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id_factura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4000001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interno de la factura.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id_cliente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10025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Cliente titular de la factura.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numero_factura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UQ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FAC-2026-000321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Consecutivo visible unico.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fecha_emision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de emision del cobro.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fecha_vencimiento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2026-02-15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limite de pago.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valor_total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DECIMAL(12,2)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125000.00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Valor total facturado; debe ser positivo.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F5496"/>
          <w:sz w:val="22"/>
        </w:rPr>
        <w:t>facturas (continuacion)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estado_factura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pagada, pendiente, vencida, en_mora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financiero de la factura.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pagos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Proposito: </w:t>
      </w:r>
      <w:r>
        <w:rPr>
          <w:rFonts w:ascii="Aptos" w:hAnsi="Aptos"/>
          <w:sz w:val="18"/>
        </w:rPr>
        <w:t>Hecho de recaudo asociado a facturas.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Granularidad: </w:t>
      </w:r>
      <w:r>
        <w:rPr>
          <w:rFonts w:ascii="Aptos" w:hAnsi="Aptos"/>
          <w:sz w:val="18"/>
        </w:rPr>
        <w:t>1 fila = 1 pago o abono.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Clave primaria: </w:t>
      </w:r>
      <w:r>
        <w:rPr>
          <w:rFonts w:ascii="Aptos" w:hAnsi="Aptos"/>
          <w:sz w:val="18"/>
        </w:rPr>
        <w:t>id_pago</w:t>
      </w:r>
    </w:p>
    <w:p>
      <w:pPr>
        <w:spacing w:before="0" w:after="0"/>
      </w:pPr>
      <w:r>
        <w:rPr>
          <w:rFonts w:ascii="Aptos" w:hAnsi="Aptos"/>
          <w:b/>
          <w:sz w:val="18"/>
        </w:rPr>
        <w:t xml:space="preserve">Relaciones clave: </w:t>
      </w:r>
      <w:r>
        <w:rPr>
          <w:rFonts w:ascii="Aptos" w:hAnsi="Aptos"/>
          <w:sz w:val="18"/>
        </w:rPr>
        <w:t>id_factura -&gt; facturas.id_factura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D2E3"/>
          <w:left w:val="single" w:sz="4" w:space="0" w:color="C9D2E3"/>
          <w:bottom w:val="single" w:sz="4" w:space="0" w:color="C9D2E3"/>
          <w:right w:val="single" w:sz="4" w:space="0" w:color="C9D2E3"/>
          <w:insideH w:val="single" w:sz="4" w:space="0" w:color="C9D2E3"/>
          <w:insideV w:val="single" w:sz="4" w:space="0" w:color="C9D2E3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Campo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Tipo SQL</w:t>
            </w:r>
          </w:p>
        </w:tc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Nulo</w:t>
            </w:r>
          </w:p>
        </w:tc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Clave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Ejemplo / dominio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D9E2F3"/>
          </w:tcPr>
          <w:p>
            <w:r>
              <w:t>Descripcion y regla de negocio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id_pago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5000001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Identificador del pago.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id_factura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BIGINT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FK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4000001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Factura a la que se aplica el pago.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fecha_pago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DATE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2026-02-13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Fecha efectiva del pago.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valor_pagado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DECIMAL(12,2)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125000.00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Valor del pago o abono.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metodo_pago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VARCHAR(30)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pse, tarjeta, efectivo, transferencia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Canal o metodo de recaudo.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>
              <w:t>estado_pago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t>VARCHAR(20)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No</w:t>
            </w:r>
          </w:p>
        </w:tc>
        <w:tc>
          <w:tcPr>
            <w:tcW w:type="dxa" w:w="1224"/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t>aplicado, pendiente_confirmacion, rechazado</w:t>
            </w:r>
          </w:p>
        </w:tc>
        <w:tc>
          <w:tcPr>
            <w:tcW w:type="dxa" w:w="5112"/>
          </w:tcPr>
          <w:p>
            <w:pPr>
              <w:jc w:val="left"/>
            </w:pPr>
            <w:r>
              <w:t>Estado operativo del pago.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75C"/>
          <w:sz w:val="30"/>
        </w:rPr>
        <w:t>Notas finales de implementacion</w:t>
      </w:r>
    </w:p>
    <w:p>
      <w:pPr>
        <w:pStyle w:val="ListBullet"/>
        <w:spacing w:before="0" w:after="0"/>
      </w:pPr>
      <w:r>
        <w:rPr>
          <w:sz w:val="18"/>
        </w:rPr>
        <w:t>Antes de generar los CSV, validar que todas las FK apunten a registros existentes y que las fechas respeten la secuencia del negocio.</w:t>
      </w:r>
    </w:p>
    <w:p>
      <w:pPr>
        <w:pStyle w:val="ListBullet"/>
        <w:spacing w:before="0" w:after="0"/>
      </w:pPr>
      <w:r>
        <w:rPr>
          <w:sz w:val="18"/>
        </w:rPr>
        <w:t>Se recomienda generar primero catalogos y dimensiones, luego hechos y por ultimo derivar indicadores como FCR.</w:t>
      </w:r>
    </w:p>
    <w:p>
      <w:pPr>
        <w:pStyle w:val="ListBullet"/>
        <w:spacing w:before="0" w:after="0"/>
      </w:pPr>
      <w:r>
        <w:rPr>
          <w:sz w:val="18"/>
        </w:rPr>
        <w:t>Este documento debe mantenerse versionado y servir como fuente unica para DDL, scripts ETL y pruebas automatizadas de calidad.</w:t>
      </w:r>
    </w:p>
    <w:sectPr w:rsidR="00FC693F" w:rsidRPr="0006063C" w:rsidSect="00034616">
      <w:pgSz w:w="15840" w:h="12240" w:orient="landscape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