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Q2 2026 Business Review</w:t>
      </w:r>
    </w:p>
    <w:p>
      <w:pPr>
        <w:jc w:val="center"/>
      </w:pPr>
      <w:r>
        <w:rPr>
          <w:color w:val="C0504D"/>
          <w:sz w:val="32"/>
        </w:rPr>
        <w:t>Quarterly Performance Report</w:t>
      </w:r>
    </w:p>
    <w:p>
      <w:pPr>
        <w:jc w:val="center"/>
      </w:pPr>
      <w:r>
        <w:rPr>
          <w:i/>
        </w:rPr>
        <w:t>Prepared by Sung Kim — July 9, 2026</w:t>
      </w:r>
    </w:p>
    <w:p>
      <w:r>
        <w:br w:type="page"/>
      </w:r>
    </w:p>
    <w:p>
      <w:pPr>
        <w:pStyle w:val="Heading1"/>
      </w:pPr>
      <w:r>
        <w:t>Executive Summary</w:t>
      </w:r>
    </w:p>
    <w:p>
      <w:pPr/>
      <w:r>
        <w:t xml:space="preserve">Q2 2026 revenue grew </w:t>
      </w:r>
      <w:r>
        <w:rPr>
          <w:b/>
        </w:rPr>
        <w:t>18% year-over-year</w:t>
      </w:r>
      <w:r>
        <w:t xml:space="preserve">, driven by the </w:t>
      </w:r>
      <w:r>
        <w:rPr>
          <w:i/>
        </w:rPr>
        <w:t>enterprise</w:t>
      </w:r>
      <w:r>
        <w:t xml:space="preserve"> segment. Churn fell to </w:t>
      </w:r>
      <w:r>
        <w:rPr>
          <w:rFonts w:ascii="Consolas" w:hAnsi="Consolas" w:cs="Consolas"/>
        </w:rPr>
        <w:t>2.1%</w:t>
      </w:r>
      <w:r>
        <w:t>.</w:t>
      </w:r>
    </w:p>
    <w:p>
      <w:pPr>
        <w:pStyle w:val="Quote"/>
      </w:pPr>
      <w:r>
        <w:t>Strategic takeaway: double down on enterprise onboarding automation.</w:t>
      </w:r>
    </w:p>
    <w:p>
      <w:pPr>
        <w:pStyle w:val="Heading2"/>
      </w:pPr>
      <w:r>
        <w:t>Key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Q1 2026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Q2 2026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Delta</w:t>
            </w:r>
          </w:p>
        </w:tc>
      </w:tr>
      <w:tr>
        <w:tc>
          <w:tcPr>
            <w:tcW w:type="dxa" w:w="2160"/>
          </w:tcPr>
          <w:p>
            <w:r>
              <w:t>Revenue</w:t>
            </w:r>
          </w:p>
        </w:tc>
        <w:tc>
          <w:tcPr>
            <w:tcW w:type="dxa" w:w="2160"/>
          </w:tcPr>
          <w:p>
            <w:r>
              <w:t>$4.2M</w:t>
            </w:r>
          </w:p>
        </w:tc>
        <w:tc>
          <w:tcPr>
            <w:tcW w:type="dxa" w:w="2160"/>
          </w:tcPr>
          <w:p>
            <w:r>
              <w:t>$4.9M</w:t>
            </w:r>
          </w:p>
        </w:tc>
        <w:tc>
          <w:tcPr>
            <w:tcW w:type="dxa" w:w="2160"/>
          </w:tcPr>
          <w:p>
            <w:r>
              <w:t>+16.7%</w:t>
            </w:r>
          </w:p>
        </w:tc>
      </w:tr>
      <w:tr>
        <w:tc>
          <w:tcPr>
            <w:tcW w:type="dxa" w:w="2160"/>
          </w:tcPr>
          <w:p>
            <w:r>
              <w:t>Churn</w:t>
            </w:r>
          </w:p>
        </w:tc>
        <w:tc>
          <w:tcPr>
            <w:tcW w:type="dxa" w:w="2160"/>
          </w:tcPr>
          <w:p>
            <w:r>
              <w:t>2.8%</w:t>
            </w:r>
          </w:p>
        </w:tc>
        <w:tc>
          <w:tcPr>
            <w:tcW w:type="dxa" w:w="2160"/>
          </w:tcPr>
          <w:p>
            <w:r>
              <w:t>2.1%</w:t>
            </w:r>
          </w:p>
        </w:tc>
        <w:tc>
          <w:tcPr>
            <w:tcW w:type="dxa" w:w="2160"/>
          </w:tcPr>
          <w:p>
            <w:r>
              <w:t>-0.7pt</w:t>
            </w:r>
          </w:p>
        </w:tc>
      </w:tr>
      <w:tr>
        <w:tc>
          <w:tcPr>
            <w:tcW w:type="dxa" w:w="2160"/>
          </w:tcPr>
          <w:p>
            <w:r>
              <w:t>NPS</w:t>
            </w:r>
          </w:p>
        </w:tc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+7</w:t>
            </w:r>
          </w:p>
        </w:tc>
      </w:tr>
    </w:tbl>
    <w:p/>
    <w:p>
      <w:pPr>
        <w:pStyle w:val="Heading2"/>
      </w:pPr>
      <w:r>
        <w:t>Segment Analysis</w:t>
      </w:r>
    </w:p>
    <w:p>
      <w:pPr>
        <w:pStyle w:val="Heading3"/>
      </w:pPr>
      <w:r>
        <w:t>Enterprise</w:t>
      </w:r>
    </w:p>
    <w:p>
      <w:pPr/>
      <w:r>
        <w:t>Enterprise accounts now represent 62% of ARR. Highlights:</w:t>
      </w:r>
    </w:p>
    <w:p>
      <w:pPr>
        <w:pStyle w:val="ListBullet"/>
      </w:pPr>
      <w:r>
        <w:t>Closed 14 new logos, including two Fortune 500 companies</w:t>
      </w:r>
    </w:p>
    <w:p>
      <w:pPr>
        <w:pStyle w:val="ListBullet"/>
      </w:pPr>
      <w:r>
        <w:t>Average contract value up 22%</w:t>
      </w:r>
    </w:p>
    <w:p>
      <w:pPr>
        <w:pStyle w:val="ListBullet2"/>
      </w:pPr>
      <w:r>
        <w:t>Upsells contributed 40% of the increase</w:t>
      </w:r>
    </w:p>
    <w:p>
      <w:pPr>
        <w:pStyle w:val="ListBullet2"/>
      </w:pPr>
      <w:r>
        <w:t>Multi-year deals doubled</w:t>
      </w:r>
    </w:p>
    <w:p>
      <w:pPr>
        <w:pStyle w:val="ListBullet"/>
      </w:pPr>
      <w:r>
        <w:t xml:space="preserve">Renewal rate at </w:t>
      </w:r>
      <w:r>
        <w:rPr>
          <w:strike/>
        </w:rPr>
        <w:t>91%</w:t>
      </w:r>
      <w:r>
        <w:t xml:space="preserve"> 96%</w:t>
      </w:r>
    </w:p>
    <w:p>
      <w:pPr>
        <w:pStyle w:val="Heading3"/>
      </w:pPr>
      <w:r>
        <w:t>SMB</w:t>
      </w:r>
    </w:p>
    <w:p>
      <w:pPr>
        <w:pStyle w:val="ListNumber"/>
      </w:pPr>
      <w:r>
        <w:t>Self-serve funnel conversion improved to 4.3%</w:t>
      </w:r>
    </w:p>
    <w:p>
      <w:pPr>
        <w:pStyle w:val="ListNumber"/>
      </w:pPr>
      <w:r>
        <w:t>Support ticket volume dropped 15%</w:t>
      </w:r>
    </w:p>
    <w:p>
      <w:pPr>
        <w:pStyle w:val="ListNumber"/>
      </w:pPr>
      <w:r>
        <w:t xml:space="preserve">New pricing page launched — see </w:t>
      </w:r>
      <w:hyperlink r:id="rId15">
        <w:r>
          <w:t>details</w:t>
        </w:r>
      </w:hyperlink>
    </w:p>
    <w:p>
      <w:pPr>
        <w:pStyle w:val="Heading2"/>
      </w:pPr>
      <w:r>
        <w:t>Technical Notes</w:t>
      </w:r>
    </w:p>
    <w:p>
      <w:pPr/>
      <w:r>
        <w:t>Deployment pipeline change:</w:t>
      </w:r>
    </w:p>
    <w:p>
      <w:pPr>
        <w:pStyle w:val="MacroText"/>
      </w:pPr>
      <w:r>
        <w:t>def deploy(env: str) -&gt; None:</w:t>
        <w:br/>
        <w:t xml:space="preserve">    validate(env)</w:t>
        <w:br/>
        <w:t xml:space="preserve">    ship(env)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Outlook</w:t>
      </w:r>
    </w:p>
    <w:p>
      <w:pPr/>
      <w:r>
        <w:t>We expect Q3 growth of 12–15%, assuming stable macro conditions.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Q2 2026 Business Review | Page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Acme Corp — Confidential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1F4E79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/>
      <w:b/>
      <w:bCs/>
      <w:color w:val="1F4E7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/>
      <w:b/>
      <w:bCs/>
      <w:color w:val="C050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color w:val="1F4E79"/>
      <w:spacing w:val="5"/>
      <w:kern w:val="28"/>
      <w:sz w:val="7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40404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hyperlink" Target="https://example.com/pric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