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7C025" w14:textId="3D0BCE86" w:rsidR="00095C19" w:rsidRPr="0072401C" w:rsidRDefault="00095C19" w:rsidP="00095C19">
      <w:pPr>
        <w:pStyle w:val="Title"/>
        <w:rPr>
          <w:rFonts w:ascii="Times New Roman" w:hAnsi="Times New Roman" w:cs="Times New Roman"/>
          <w:sz w:val="32"/>
          <w:szCs w:val="32"/>
        </w:rPr>
      </w:pPr>
      <w:r w:rsidRPr="0072401C">
        <w:rPr>
          <w:rFonts w:ascii="Times New Roman" w:hAnsi="Times New Roman" w:cs="Times New Roman"/>
          <w:b/>
          <w:bCs/>
          <w:sz w:val="32"/>
          <w:szCs w:val="32"/>
        </w:rPr>
        <w:t>A Machine Learning-Augmented Early Warning System for In-Hospital Deterioration with Real-Time Explainability</w:t>
      </w:r>
    </w:p>
    <w:p w14:paraId="6A332295" w14:textId="77777777" w:rsidR="00095C19" w:rsidRPr="0072401C" w:rsidRDefault="00095C19" w:rsidP="00095C19">
      <w:pPr>
        <w:pStyle w:val="Author"/>
        <w:rPr>
          <w:rFonts w:ascii="Times New Roman" w:hAnsi="Times New Roman" w:cs="Times New Roman"/>
        </w:rPr>
      </w:pPr>
      <w:r w:rsidRPr="0072401C">
        <w:rPr>
          <w:rFonts w:ascii="Times New Roman" w:hAnsi="Times New Roman" w:cs="Times New Roman"/>
        </w:rPr>
        <w:t>Sasi Jagadeesan</w:t>
      </w:r>
      <w:r w:rsidRPr="0072401C">
        <w:rPr>
          <w:rFonts w:ascii="Times New Roman" w:hAnsi="Times New Roman" w:cs="Times New Roman"/>
          <w:vertAlign w:val="superscript"/>
        </w:rPr>
        <w:t>1</w:t>
      </w:r>
      <w:r w:rsidRPr="0072401C">
        <w:rPr>
          <w:rFonts w:ascii="Times New Roman" w:hAnsi="Times New Roman" w:cs="Times New Roman"/>
        </w:rPr>
        <w:t>, Suman Mishra</w:t>
      </w:r>
      <w:r w:rsidRPr="0072401C">
        <w:rPr>
          <w:rFonts w:ascii="Times New Roman" w:hAnsi="Times New Roman" w:cs="Times New Roman"/>
          <w:vertAlign w:val="superscript"/>
        </w:rPr>
        <w:t>2</w:t>
      </w:r>
      <w:r w:rsidRPr="0072401C">
        <w:rPr>
          <w:rFonts w:ascii="Times New Roman" w:hAnsi="Times New Roman" w:cs="Times New Roman"/>
        </w:rPr>
        <w:t>, Pritam Kumar Panda</w:t>
      </w:r>
      <w:r w:rsidRPr="0072401C">
        <w:rPr>
          <w:rFonts w:ascii="Times New Roman" w:hAnsi="Times New Roman" w:cs="Times New Roman"/>
          <w:vertAlign w:val="superscript"/>
        </w:rPr>
        <w:t>3</w:t>
      </w:r>
    </w:p>
    <w:p w14:paraId="46C2917C" w14:textId="77777777" w:rsidR="00095C19" w:rsidRPr="0072401C" w:rsidRDefault="00095C19" w:rsidP="00095C19">
      <w:pPr>
        <w:spacing w:after="0"/>
        <w:jc w:val="center"/>
        <w:rPr>
          <w:rFonts w:ascii="Times New Roman" w:eastAsia="Times New Roman" w:hAnsi="Times New Roman" w:cs="Times New Roman"/>
          <w:color w:val="000000"/>
          <w:sz w:val="20"/>
          <w:szCs w:val="20"/>
          <w:lang w:eastAsia="en-US"/>
        </w:rPr>
      </w:pPr>
      <w:r w:rsidRPr="0072401C">
        <w:rPr>
          <w:rFonts w:ascii="Times New Roman" w:eastAsia="Times New Roman" w:hAnsi="Times New Roman" w:cs="Times New Roman"/>
          <w:color w:val="000000"/>
          <w:sz w:val="20"/>
          <w:szCs w:val="20"/>
          <w:lang w:eastAsia="en-US"/>
        </w:rPr>
        <w:t xml:space="preserve">Department of Neurosurgery, The Ottawa Hospital, Ottawa, </w:t>
      </w:r>
      <w:proofErr w:type="spellStart"/>
      <w:r w:rsidRPr="0072401C">
        <w:rPr>
          <w:rFonts w:ascii="Times New Roman" w:eastAsia="Times New Roman" w:hAnsi="Times New Roman" w:cs="Times New Roman"/>
          <w:color w:val="000000"/>
          <w:sz w:val="20"/>
          <w:szCs w:val="20"/>
          <w:lang w:eastAsia="en-US"/>
        </w:rPr>
        <w:t>Ontario,</w:t>
      </w:r>
      <w:r w:rsidRPr="0072401C">
        <w:rPr>
          <w:rFonts w:ascii="Times New Roman" w:hAnsi="Times New Roman" w:cs="Times New Roman"/>
          <w:sz w:val="20"/>
          <w:szCs w:val="20"/>
        </w:rPr>
        <w:t>Canada</w:t>
      </w:r>
      <w:proofErr w:type="spellEnd"/>
    </w:p>
    <w:p w14:paraId="31541658" w14:textId="77777777" w:rsidR="00095C19" w:rsidRPr="0072401C" w:rsidRDefault="00095C19" w:rsidP="00095C19">
      <w:pPr>
        <w:pStyle w:val="p2"/>
        <w:jc w:val="center"/>
        <w:rPr>
          <w:rFonts w:ascii="Times New Roman" w:hAnsi="Times New Roman"/>
          <w:sz w:val="20"/>
          <w:szCs w:val="20"/>
        </w:rPr>
      </w:pPr>
      <w:r w:rsidRPr="0072401C">
        <w:rPr>
          <w:rFonts w:ascii="Times New Roman" w:hAnsi="Times New Roman"/>
          <w:sz w:val="20"/>
          <w:szCs w:val="20"/>
        </w:rPr>
        <w:t>Boring Science LLC, California, USA</w:t>
      </w:r>
    </w:p>
    <w:p w14:paraId="01E9EEB6" w14:textId="77777777" w:rsidR="00095C19" w:rsidRPr="0072401C" w:rsidRDefault="00095C19" w:rsidP="00095C19">
      <w:pPr>
        <w:pStyle w:val="p2"/>
        <w:jc w:val="center"/>
        <w:rPr>
          <w:rFonts w:ascii="Times New Roman" w:hAnsi="Times New Roman"/>
          <w:sz w:val="20"/>
          <w:szCs w:val="20"/>
        </w:rPr>
      </w:pPr>
      <w:r w:rsidRPr="0072401C">
        <w:rPr>
          <w:rFonts w:ascii="Times New Roman" w:hAnsi="Times New Roman"/>
          <w:sz w:val="20"/>
          <w:szCs w:val="20"/>
        </w:rPr>
        <w:t>Department of Anesthesiology, Perioperative and Pain Medicine, Stanford University School of Medicine, California, USA</w:t>
      </w:r>
    </w:p>
    <w:p w14:paraId="12766613" w14:textId="77777777" w:rsidR="00C93AF5" w:rsidRPr="00095C19" w:rsidRDefault="00000000" w:rsidP="00095C19">
      <w:pPr>
        <w:pStyle w:val="AbstractTitle"/>
        <w:jc w:val="both"/>
        <w:rPr>
          <w:rFonts w:ascii="Times New Roman" w:hAnsi="Times New Roman" w:cs="Times New Roman"/>
          <w:sz w:val="24"/>
          <w:szCs w:val="24"/>
        </w:rPr>
      </w:pPr>
      <w:r w:rsidRPr="00095C19">
        <w:rPr>
          <w:rFonts w:ascii="Times New Roman" w:hAnsi="Times New Roman" w:cs="Times New Roman"/>
          <w:sz w:val="24"/>
          <w:szCs w:val="24"/>
        </w:rPr>
        <w:t>Abstract</w:t>
      </w:r>
    </w:p>
    <w:p w14:paraId="6336B2CE" w14:textId="62E31B3D" w:rsidR="00C93AF5" w:rsidRPr="00095C19" w:rsidRDefault="00000000" w:rsidP="00095C19">
      <w:pPr>
        <w:pStyle w:val="Abstract"/>
        <w:jc w:val="both"/>
        <w:rPr>
          <w:rFonts w:ascii="Times New Roman" w:hAnsi="Times New Roman" w:cs="Times New Roman"/>
          <w:sz w:val="24"/>
          <w:szCs w:val="24"/>
        </w:rPr>
      </w:pPr>
      <w:r w:rsidRPr="00095C19">
        <w:rPr>
          <w:rFonts w:ascii="Times New Roman" w:hAnsi="Times New Roman" w:cs="Times New Roman"/>
          <w:sz w:val="24"/>
          <w:szCs w:val="24"/>
        </w:rPr>
        <w:t xml:space="preserve">Early identification of in-hospital patient deterioration remains a critical unmet need. The National Early Warning Score 2 (NEWS2) is widely used but relies solely on bedside vital signs and provides modest discriminative performance. Here we introduce </w:t>
      </w:r>
      <w:r w:rsidRPr="00095C19">
        <w:rPr>
          <w:rFonts w:ascii="Times New Roman" w:hAnsi="Times New Roman" w:cs="Times New Roman"/>
          <w:b/>
          <w:bCs/>
          <w:sz w:val="24"/>
          <w:szCs w:val="24"/>
        </w:rPr>
        <w:t>bssentinel</w:t>
      </w:r>
      <w:r w:rsidRPr="00095C19">
        <w:rPr>
          <w:rFonts w:ascii="Times New Roman" w:hAnsi="Times New Roman" w:cs="Times New Roman"/>
          <w:sz w:val="24"/>
          <w:szCs w:val="24"/>
        </w:rPr>
        <w:t xml:space="preserve">, a machine learning-augmented early warning system that integrates structured vital signs, laboratory values, medication context, and temporal admission features to predict clinical deterioration up to 24 hours in advance. We trained and validated an XGBoost model using a sliding 6-hourly observation window framework on 1,334,773 monitoring snapshots from the Medical Information Mart for Intensive Care IV (MIMIC-IV) dataset, encompassing 26,201 composite deterioration events (ICU transfer, mechanical ventilation, or in-hospital mortality). Five-fold patient-stratified cross-validation yielded an area under the receiver operating characteristic curve (AUROC) of 0.758 (95% CI 0.755–0.761), representing a statistically significant gain of +0.190 AUROC over NEWS2 alone (DeLong test: </w:t>
      </w:r>
      <m:oMath>
        <m:r>
          <w:rPr>
            <w:rFonts w:ascii="Cambria Math" w:hAnsi="Cambria Math" w:cs="Times New Roman"/>
            <w:sz w:val="24"/>
            <w:szCs w:val="24"/>
          </w:rPr>
          <m:t>z</m:t>
        </m:r>
        <m:r>
          <m:rPr>
            <m:sty m:val="p"/>
          </m:rPr>
          <w:rPr>
            <w:rFonts w:ascii="Cambria Math" w:hAnsi="Cambria Math" w:cs="Times New Roman"/>
            <w:sz w:val="24"/>
            <w:szCs w:val="24"/>
          </w:rPr>
          <m:t>=</m:t>
        </m:r>
        <m:r>
          <w:rPr>
            <w:rFonts w:ascii="Cambria Math" w:hAnsi="Cambria Math" w:cs="Times New Roman"/>
            <w:sz w:val="24"/>
            <w:szCs w:val="24"/>
          </w:rPr>
          <m:t>80.3</m:t>
        </m:r>
      </m:oMath>
      <w:r w:rsidRPr="00095C19">
        <w:rPr>
          <w:rFonts w:ascii="Times New Roman" w:hAnsi="Times New Roman" w:cs="Times New Roman"/>
          <w:sz w:val="24"/>
          <w:szCs w:val="24"/>
        </w:rPr>
        <w:t xml:space="preserve">, </w:t>
      </w:r>
      <m:oMath>
        <m:r>
          <w:rPr>
            <w:rFonts w:ascii="Cambria Math" w:hAnsi="Cambria Math" w:cs="Times New Roman"/>
            <w:sz w:val="24"/>
            <w:szCs w:val="24"/>
          </w:rPr>
          <m:t>p</m:t>
        </m:r>
        <m:r>
          <m:rPr>
            <m:sty m:val="p"/>
          </m:rPr>
          <w:rPr>
            <w:rFonts w:ascii="Cambria Math" w:hAnsi="Cambria Math" w:cs="Times New Roman"/>
            <w:sz w:val="24"/>
            <w:szCs w:val="24"/>
          </w:rPr>
          <m:t>&lt;</m:t>
        </m:r>
        <m:r>
          <w:rPr>
            <w:rFonts w:ascii="Cambria Math" w:hAnsi="Cambria Math" w:cs="Times New Roman"/>
            <w:sz w:val="24"/>
            <w:szCs w:val="24"/>
          </w:rPr>
          <m:t>0.001</m:t>
        </m:r>
      </m:oMath>
      <w:r w:rsidRPr="00095C19">
        <w:rPr>
          <w:rFonts w:ascii="Times New Roman" w:hAnsi="Times New Roman" w:cs="Times New Roman"/>
          <w:sz w:val="24"/>
          <w:szCs w:val="24"/>
        </w:rPr>
        <w:t xml:space="preserve">). The area under the precision-recall curve (AUPRC) was 0.102, a 5.2-fold improvement over the prevalence baseline. We demonstrate that </w:t>
      </w:r>
      <w:r w:rsidRPr="00095C19">
        <w:rPr>
          <w:rFonts w:ascii="Times New Roman" w:hAnsi="Times New Roman" w:cs="Times New Roman"/>
          <w:i/>
          <w:iCs/>
          <w:sz w:val="24"/>
          <w:szCs w:val="24"/>
        </w:rPr>
        <w:t>informative missingness</w:t>
      </w:r>
      <w:r w:rsidR="00095C19">
        <w:rPr>
          <w:rFonts w:ascii="Times New Roman" w:hAnsi="Times New Roman" w:cs="Times New Roman"/>
          <w:sz w:val="24"/>
          <w:szCs w:val="24"/>
        </w:rPr>
        <w:t xml:space="preserve"> </w:t>
      </w:r>
      <w:r w:rsidRPr="00095C19">
        <w:rPr>
          <w:rFonts w:ascii="Times New Roman" w:hAnsi="Times New Roman" w:cs="Times New Roman"/>
          <w:sz w:val="24"/>
          <w:szCs w:val="24"/>
        </w:rPr>
        <w:t>the absence of ordered laboratory tests</w:t>
      </w:r>
      <w:r w:rsidR="00095C19">
        <w:rPr>
          <w:rFonts w:ascii="Times New Roman" w:hAnsi="Times New Roman" w:cs="Times New Roman"/>
          <w:sz w:val="24"/>
          <w:szCs w:val="24"/>
        </w:rPr>
        <w:t xml:space="preserve"> </w:t>
      </w:r>
      <w:r w:rsidRPr="00095C19">
        <w:rPr>
          <w:rFonts w:ascii="Times New Roman" w:hAnsi="Times New Roman" w:cs="Times New Roman"/>
          <w:sz w:val="24"/>
          <w:szCs w:val="24"/>
        </w:rPr>
        <w:t>is the strongest single predictor, reflecting real-world clinical decision-making patterns. bssentinel is deployed as a full-stack clinical decision support application with a FastAPI inference engine and a React dashboard providing SHAP-based real-time explanations at the point of care. These results establish bssentinel as a scalable, explainable, and clinically actionable deterioration surveillance system.</w:t>
      </w:r>
    </w:p>
    <w:p w14:paraId="447662C0"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b/>
          <w:bCs/>
        </w:rPr>
        <w:t>Keywords:</w:t>
      </w:r>
      <w:r w:rsidRPr="00095C19">
        <w:rPr>
          <w:rFonts w:ascii="Times New Roman" w:hAnsi="Times New Roman" w:cs="Times New Roman"/>
        </w:rPr>
        <w:t xml:space="preserve"> early warning score; clinical deterioration; XGBoost; MIMIC-IV; explainable AI; SHAP; NEWS2; clinical decision support</w:t>
      </w:r>
    </w:p>
    <w:p w14:paraId="0CB73865" w14:textId="77777777" w:rsidR="00C93AF5" w:rsidRPr="00095C19" w:rsidRDefault="00000000" w:rsidP="00095C19">
      <w:pPr>
        <w:pStyle w:val="Heading1"/>
        <w:jc w:val="both"/>
        <w:rPr>
          <w:rFonts w:ascii="Times New Roman" w:hAnsi="Times New Roman" w:cs="Times New Roman"/>
          <w:sz w:val="24"/>
          <w:szCs w:val="24"/>
        </w:rPr>
      </w:pPr>
      <w:bookmarkStart w:id="0" w:name="introduction"/>
      <w:r w:rsidRPr="00095C19">
        <w:rPr>
          <w:rFonts w:ascii="Times New Roman" w:hAnsi="Times New Roman" w:cs="Times New Roman"/>
          <w:sz w:val="24"/>
          <w:szCs w:val="24"/>
        </w:rPr>
        <w:t>Introduction</w:t>
      </w:r>
    </w:p>
    <w:p w14:paraId="6BFB2998"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Failure to recognise impending clinical deterioration is a leading cause of preventable in-hospital mortality and unplanned intensive care unit (ICU) admission (Smith et al. 2013; Kause et al. 2004). Early warning scores (EWS) were developed to provide clinicians with a standardised, aggregate measure of physiological instability. The National Early Warning Score 2 (NEWS2), endorsed by the Royal College of Physicians and mandated across National Health Service trusts in the United Kingdom, aggregates six bedside vital signs into a composite score that triggers escalating clinical responses (Royal College of Physicians 2017). Despite widespread adoption, NEWS2 carries important limitations: it relies exclusively on contemporaneous vital signs, does not incorporate laboratory biomarkers or medication context, and treats each observation independently without learning from historical patient trajectories (Prytherch et al. 2010; Moons et al. 2009).</w:t>
      </w:r>
    </w:p>
    <w:p w14:paraId="1D77A12F" w14:textId="77777777"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 xml:space="preserve">Machine learning (ML) models have demonstrated superior predictive performance over conventional EWS in multiple validation studies (Henry et al. 2015; Escobar et al. 2020; Breiman </w:t>
      </w:r>
      <w:r w:rsidRPr="00095C19">
        <w:rPr>
          <w:rFonts w:ascii="Times New Roman" w:hAnsi="Times New Roman" w:cs="Times New Roman"/>
        </w:rPr>
        <w:lastRenderedPageBreak/>
        <w:t>2001; Chen and Guestrin 2016). Gradient boosted tree methods</w:t>
      </w:r>
      <w:proofErr w:type="gramStart"/>
      <w:r w:rsidRPr="00095C19">
        <w:rPr>
          <w:rFonts w:ascii="Times New Roman" w:hAnsi="Times New Roman" w:cs="Times New Roman"/>
        </w:rPr>
        <w:t>, in particular, have</w:t>
      </w:r>
      <w:proofErr w:type="gramEnd"/>
      <w:r w:rsidRPr="00095C19">
        <w:rPr>
          <w:rFonts w:ascii="Times New Roman" w:hAnsi="Times New Roman" w:cs="Times New Roman"/>
        </w:rPr>
        <w:t xml:space="preserve"> proven well-suited to clinical tabular data due to their native handling of missing values, robustness to outliers, and capacity to capture complex non-linear feature interactions (Chen and Guestrin 2016). However, widespread clinical adoption has been impeded by three barriers: (i) opacity of model predictions, which undermines clinician trust (Holzinger et al. 2017); (ii) the absence of integrated deployment infrastructure; and (iii) a tendency to optimise for discrimination metrics (AUROC) without considering the operational implications of alert burden in under-resourced ward settings (Shah et al. 2019).</w:t>
      </w:r>
    </w:p>
    <w:p w14:paraId="116F5062" w14:textId="77777777"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Explainability through SHapley Additive exPlanations (SHAP) (Lundberg and Lee 2017) has emerged as a principled framework to address the opacity barrier, providing patient-level attribution of each feature’s contribution to the predicted risk. Recent work has shown that clinicians respond more appropriately to ML alerts accompanied by SHAP explanations compared to score-only presentations (Yang et al. 2022).</w:t>
      </w:r>
    </w:p>
    <w:p w14:paraId="766B7DF0" w14:textId="77777777"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 xml:space="preserve">A less-explored phenomenon is the clinical informativeness of </w:t>
      </w:r>
      <w:r w:rsidRPr="00095C19">
        <w:rPr>
          <w:rFonts w:ascii="Times New Roman" w:hAnsi="Times New Roman" w:cs="Times New Roman"/>
          <w:i/>
          <w:iCs/>
        </w:rPr>
        <w:t>missing data</w:t>
      </w:r>
      <w:r w:rsidRPr="00095C19">
        <w:rPr>
          <w:rFonts w:ascii="Times New Roman" w:hAnsi="Times New Roman" w:cs="Times New Roman"/>
        </w:rPr>
        <w:t> (Wells et al. 2013; Sperrin and Pate 2021). In routine hospital care, the decision to order (or withhold) a laboratory test is itself a clinical signal: lactate is not routinely ordered for every patient, and its absence may reflect perceived stability. Conversely, non-collection may indicate missed clinical concern. Models that incorporate missingness indicators have consistently shown improved discrimination in clinical prediction tasks.</w:t>
      </w:r>
    </w:p>
    <w:p w14:paraId="14CB6530" w14:textId="2A50A6EC"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Here we present bssentinel</w:t>
      </w:r>
      <w:r w:rsidR="00095C19">
        <w:rPr>
          <w:rFonts w:ascii="Times New Roman" w:hAnsi="Times New Roman" w:cs="Times New Roman"/>
        </w:rPr>
        <w:t xml:space="preserve"> </w:t>
      </w:r>
      <w:r w:rsidRPr="00095C19">
        <w:rPr>
          <w:rFonts w:ascii="Times New Roman" w:hAnsi="Times New Roman" w:cs="Times New Roman"/>
        </w:rPr>
        <w:t>a system combining (</w:t>
      </w:r>
      <w:proofErr w:type="spellStart"/>
      <w:r w:rsidRPr="00095C19">
        <w:rPr>
          <w:rFonts w:ascii="Times New Roman" w:hAnsi="Times New Roman" w:cs="Times New Roman"/>
        </w:rPr>
        <w:t>i</w:t>
      </w:r>
      <w:proofErr w:type="spellEnd"/>
      <w:r w:rsidRPr="00095C19">
        <w:rPr>
          <w:rFonts w:ascii="Times New Roman" w:hAnsi="Times New Roman" w:cs="Times New Roman"/>
        </w:rPr>
        <w:t xml:space="preserve">) a validated </w:t>
      </w:r>
      <w:proofErr w:type="spellStart"/>
      <w:r w:rsidRPr="00095C19">
        <w:rPr>
          <w:rFonts w:ascii="Times New Roman" w:hAnsi="Times New Roman" w:cs="Times New Roman"/>
        </w:rPr>
        <w:t>XGBoost</w:t>
      </w:r>
      <w:proofErr w:type="spellEnd"/>
      <w:r w:rsidRPr="00095C19">
        <w:rPr>
          <w:rFonts w:ascii="Times New Roman" w:hAnsi="Times New Roman" w:cs="Times New Roman"/>
        </w:rPr>
        <w:t xml:space="preserve"> deterioration risk model trained on the full MIMIC-IV dataset, (ii) a 6-hourly sliding window monitoring architecture, (iii) real-time SHAP explanations at the point of care, and (iv) a deployable full-stack application. We report comprehensive validation metrics including AUROC, AUPRC, calibration, DeLong statistical comparisons with NEWS2, and operational threshold analysis. We further characterise the role of informative missingness as a key model predictor and discuss the practical implications for clinical deployment.</w:t>
      </w:r>
    </w:p>
    <w:p w14:paraId="59F5A5CC" w14:textId="77777777" w:rsidR="00C93AF5" w:rsidRPr="00095C19" w:rsidRDefault="00000000" w:rsidP="00095C19">
      <w:pPr>
        <w:pStyle w:val="Heading1"/>
        <w:jc w:val="both"/>
        <w:rPr>
          <w:rFonts w:ascii="Times New Roman" w:hAnsi="Times New Roman" w:cs="Times New Roman"/>
          <w:sz w:val="24"/>
          <w:szCs w:val="24"/>
        </w:rPr>
      </w:pPr>
      <w:bookmarkStart w:id="1" w:name="results"/>
      <w:bookmarkEnd w:id="0"/>
      <w:r w:rsidRPr="00095C19">
        <w:rPr>
          <w:rFonts w:ascii="Times New Roman" w:hAnsi="Times New Roman" w:cs="Times New Roman"/>
          <w:sz w:val="24"/>
          <w:szCs w:val="24"/>
        </w:rPr>
        <w:t>Results</w:t>
      </w:r>
    </w:p>
    <w:p w14:paraId="3FE66843" w14:textId="77777777" w:rsidR="00C93AF5" w:rsidRPr="00095C19" w:rsidRDefault="00000000" w:rsidP="00095C19">
      <w:pPr>
        <w:pStyle w:val="Heading2"/>
        <w:jc w:val="both"/>
        <w:rPr>
          <w:rFonts w:ascii="Times New Roman" w:hAnsi="Times New Roman" w:cs="Times New Roman"/>
          <w:sz w:val="24"/>
          <w:szCs w:val="24"/>
        </w:rPr>
      </w:pPr>
      <w:bookmarkStart w:id="2" w:name="dataset-and-cohort-characteristics"/>
      <w:r w:rsidRPr="00095C19">
        <w:rPr>
          <w:rFonts w:ascii="Times New Roman" w:hAnsi="Times New Roman" w:cs="Times New Roman"/>
          <w:sz w:val="24"/>
          <w:szCs w:val="24"/>
        </w:rPr>
        <w:t>Dataset and Cohort Characteristics</w:t>
      </w:r>
    </w:p>
    <w:p w14:paraId="053AB46D"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 xml:space="preserve">The MIMIC-IV (v3.1) dataset (Johnson et al. 2023) provides de-identified electronic health records from Beth Israel Deaconess Medical Center (2008–2022). After applying inclusion criteria (adults </w:t>
      </w:r>
      <m:oMath>
        <m:r>
          <m:rPr>
            <m:sty m:val="p"/>
          </m:rPr>
          <w:rPr>
            <w:rFonts w:ascii="Cambria Math" w:hAnsi="Cambria Math" w:cs="Times New Roman"/>
          </w:rPr>
          <m:t>≥</m:t>
        </m:r>
      </m:oMath>
      <w:r w:rsidRPr="00095C19">
        <w:rPr>
          <w:rFonts w:ascii="Times New Roman" w:hAnsi="Times New Roman" w:cs="Times New Roman"/>
        </w:rPr>
        <w:t xml:space="preserve">18 years, length of stay </w:t>
      </w:r>
      <m:oMath>
        <m:r>
          <m:rPr>
            <m:sty m:val="p"/>
          </m:rPr>
          <w:rPr>
            <w:rFonts w:ascii="Cambria Math" w:hAnsi="Cambria Math" w:cs="Times New Roman"/>
          </w:rPr>
          <m:t>≥</m:t>
        </m:r>
      </m:oMath>
      <w:r w:rsidRPr="00095C19">
        <w:rPr>
          <w:rFonts w:ascii="Times New Roman" w:hAnsi="Times New Roman" w:cs="Times New Roman"/>
        </w:rPr>
        <w:t>6 hours, valid admission and discharge times), we constructed a sliding 6-hourly observation window framework (Fig. </w:t>
      </w:r>
      <w:hyperlink w:anchor="fig:study_design">
        <w:r w:rsidR="00C93AF5" w:rsidRPr="00095C19">
          <w:rPr>
            <w:rStyle w:val="Hyperlink"/>
            <w:rFonts w:ascii="Times New Roman" w:hAnsi="Times New Roman" w:cs="Times New Roman"/>
          </w:rPr>
          <w:t>1</w:t>
        </w:r>
      </w:hyperlink>
      <w:r w:rsidRPr="00095C19">
        <w:rPr>
          <w:rFonts w:ascii="Times New Roman" w:hAnsi="Times New Roman" w:cs="Times New Roman"/>
        </w:rPr>
        <w:t>A). Each window aggregated vital signs from the preceding 6 hours and laboratory values from the preceding 24 hours, reflecting realistic clinical measurement frequencies. A total of 8,560,730 candidate windows were generated across all eligible admissions. After excluding windows with no vital signs recorded (a minimal informational state precluding meaningful prediction), 1,334,773 windows remained, derived from a clinically heterogeneous inpatient cohort.</w:t>
      </w:r>
    </w:p>
    <w:p w14:paraId="38286428" w14:textId="23F6322A"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The composite outcome</w:t>
      </w:r>
      <w:r w:rsidR="00095C19">
        <w:rPr>
          <w:rFonts w:ascii="Times New Roman" w:hAnsi="Times New Roman" w:cs="Times New Roman"/>
        </w:rPr>
        <w:t xml:space="preserve"> </w:t>
      </w:r>
      <w:r w:rsidRPr="00095C19">
        <w:rPr>
          <w:rFonts w:ascii="Times New Roman" w:hAnsi="Times New Roman" w:cs="Times New Roman"/>
        </w:rPr>
        <w:t>ICU transfer, initiation of mechanical ventilation, or in-hospital mortality occurring within 24 hours of the observation window</w:t>
      </w:r>
      <w:r w:rsidR="00095C19">
        <w:rPr>
          <w:rFonts w:ascii="Times New Roman" w:hAnsi="Times New Roman" w:cs="Times New Roman"/>
        </w:rPr>
        <w:t xml:space="preserve"> </w:t>
      </w:r>
      <w:r w:rsidRPr="00095C19">
        <w:rPr>
          <w:rFonts w:ascii="Times New Roman" w:hAnsi="Times New Roman" w:cs="Times New Roman"/>
        </w:rPr>
        <w:t xml:space="preserve">was applied to 26,201 windows, yielding a window-level event prevalence of 1.96%. This prevalence is consistent with prior work employing comparable deterioration composites in broad inpatient populations. The feature matrix comprised </w:t>
      </w:r>
      <w:r w:rsidRPr="00095C19">
        <w:rPr>
          <w:rFonts w:ascii="Times New Roman" w:hAnsi="Times New Roman" w:cs="Times New Roman"/>
        </w:rPr>
        <w:lastRenderedPageBreak/>
        <w:t>83 variables spanning six categories: vital signs with trend and worst-value aggregates, laboratory biomarkers, medication activity flags, NEWS2 subscores computed from aggregated vitals, missingness indicators for all clinical measurements, and temporal admission context (Table </w:t>
      </w:r>
      <w:hyperlink w:anchor="tab:features">
        <w:r w:rsidR="00C93AF5" w:rsidRPr="00095C19">
          <w:rPr>
            <w:rStyle w:val="Hyperlink"/>
            <w:rFonts w:ascii="Times New Roman" w:hAnsi="Times New Roman" w:cs="Times New Roman"/>
          </w:rPr>
          <w:t>2</w:t>
        </w:r>
      </w:hyperlink>
      <w:r w:rsidRPr="00095C19">
        <w:rPr>
          <w:rFonts w:ascii="Times New Roman" w:hAnsi="Times New Roman" w:cs="Times New Roman"/>
        </w:rPr>
        <w:t>).</w:t>
      </w:r>
    </w:p>
    <w:p w14:paraId="009732F8" w14:textId="77777777" w:rsidR="00C93AF5" w:rsidRPr="00095C19" w:rsidRDefault="00000000" w:rsidP="00095C19">
      <w:pPr>
        <w:pStyle w:val="Heading2"/>
        <w:jc w:val="both"/>
        <w:rPr>
          <w:rFonts w:ascii="Times New Roman" w:hAnsi="Times New Roman" w:cs="Times New Roman"/>
          <w:sz w:val="24"/>
          <w:szCs w:val="24"/>
        </w:rPr>
      </w:pPr>
      <w:bookmarkStart w:id="3" w:name="model-discrimination"/>
      <w:bookmarkEnd w:id="2"/>
      <w:r w:rsidRPr="00095C19">
        <w:rPr>
          <w:rFonts w:ascii="Times New Roman" w:hAnsi="Times New Roman" w:cs="Times New Roman"/>
          <w:sz w:val="24"/>
          <w:szCs w:val="24"/>
        </w:rPr>
        <w:t>Model Discrimination</w:t>
      </w:r>
    </w:p>
    <w:p w14:paraId="438AFECE"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Five-fold patient-stratified cross-validation (GroupKFold, grouping by admission identifier to prevent data leakage from repeated measurements of the same patient) was used throughout. Out-of-fold predictions were pooled for all reported metrics.</w:t>
      </w:r>
    </w:p>
    <w:p w14:paraId="465DECD8" w14:textId="77777777"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The XGBoost model achieved an AUROC of 0.758 (95% bootstrap CI 0.755–0.761; 2000 resamples), compared to 0.708 (95% CI 0.705–0.711) for logistic regression and 0.568 for NEWS2 computed from contemporaneous vital signs alone (Fig. </w:t>
      </w:r>
      <w:hyperlink w:anchor="fig:discrimination">
        <w:r w:rsidR="00C93AF5" w:rsidRPr="00095C19">
          <w:rPr>
            <w:rStyle w:val="Hyperlink"/>
            <w:rFonts w:ascii="Times New Roman" w:hAnsi="Times New Roman" w:cs="Times New Roman"/>
          </w:rPr>
          <w:t>2</w:t>
        </w:r>
      </w:hyperlink>
      <w:r w:rsidRPr="00095C19">
        <w:rPr>
          <w:rFonts w:ascii="Times New Roman" w:hAnsi="Times New Roman" w:cs="Times New Roman"/>
        </w:rPr>
        <w:t>A–B). The DeLong test confirmed that the XGBoost advantage over NEWS2 was highly statistically significant (</w:t>
      </w:r>
      <m:oMath>
        <m:r>
          <w:rPr>
            <w:rFonts w:ascii="Cambria Math" w:hAnsi="Cambria Math" w:cs="Times New Roman"/>
          </w:rPr>
          <m:t>z</m:t>
        </m:r>
        <m:r>
          <m:rPr>
            <m:sty m:val="p"/>
          </m:rPr>
          <w:rPr>
            <w:rFonts w:ascii="Cambria Math" w:hAnsi="Cambria Math" w:cs="Times New Roman"/>
          </w:rPr>
          <m:t>=</m:t>
        </m:r>
        <m:r>
          <w:rPr>
            <w:rFonts w:ascii="Cambria Math" w:hAnsi="Cambria Math" w:cs="Times New Roman"/>
          </w:rPr>
          <m:t>80.3</m:t>
        </m:r>
      </m:oMath>
      <w:r w:rsidRPr="00095C19">
        <w:rPr>
          <w:rFonts w:ascii="Times New Roman" w:hAnsi="Times New Roman" w:cs="Times New Roman"/>
        </w:rPr>
        <w:t xml:space="preserve">, </w:t>
      </w:r>
      <m:oMath>
        <m:r>
          <w:rPr>
            <w:rFonts w:ascii="Cambria Math" w:hAnsi="Cambria Math" w:cs="Times New Roman"/>
          </w:rPr>
          <m:t>p</m:t>
        </m:r>
        <m:r>
          <m:rPr>
            <m:sty m:val="p"/>
          </m:rP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15</m:t>
            </m:r>
          </m:sup>
        </m:sSup>
      </m:oMath>
      <w:r w:rsidRPr="00095C19">
        <w:rPr>
          <w:rFonts w:ascii="Times New Roman" w:hAnsi="Times New Roman" w:cs="Times New Roman"/>
        </w:rPr>
        <w:t>), as was the advantage over logistic regression. The net improvement of +0.190 AUROC over NEWS2 is clinically meaningful and substantially larger than reported gains in comparable ML-vs-EWS comparisons (Henry et al. 2015; Escobar et al. 2020).</w:t>
      </w:r>
    </w:p>
    <w:p w14:paraId="1C53EEC4" w14:textId="77777777"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The AUPRC was 0.102 for XGBoost compared to 0.068 for logistic regression and a baseline of 0.0196 (equal to event prevalence, reflecting a random classifier). The 5.2-fold AUPRC gain over baseline indicates substantial improvement in precision at clinically relevant recall thresholds, a metric particularly informative for rare event prediction (Davis and Goadrich 2006).</w:t>
      </w:r>
    </w:p>
    <w:p w14:paraId="5AFB95F1" w14:textId="77777777" w:rsidR="00C93AF5" w:rsidRPr="00095C19" w:rsidRDefault="00000000" w:rsidP="00095C19">
      <w:pPr>
        <w:pStyle w:val="Heading2"/>
        <w:jc w:val="both"/>
        <w:rPr>
          <w:rFonts w:ascii="Times New Roman" w:hAnsi="Times New Roman" w:cs="Times New Roman"/>
          <w:sz w:val="24"/>
          <w:szCs w:val="24"/>
        </w:rPr>
      </w:pPr>
      <w:bookmarkStart w:id="4" w:name="X038d79cc42cb3dbe5c3364dfb29508287446b61"/>
      <w:bookmarkEnd w:id="3"/>
      <w:r w:rsidRPr="00095C19">
        <w:rPr>
          <w:rFonts w:ascii="Times New Roman" w:hAnsi="Times New Roman" w:cs="Times New Roman"/>
          <w:sz w:val="24"/>
          <w:szCs w:val="24"/>
        </w:rPr>
        <w:t>Threshold Analysis and Clinical Operating Point</w:t>
      </w:r>
    </w:p>
    <w:p w14:paraId="00B415FF"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At the recommended decision threshold of 0.31 (selected to achieve 90% sensitivity; Fig. </w:t>
      </w:r>
      <w:hyperlink w:anchor="fig:clinical_utility">
        <w:r w:rsidR="00C93AF5" w:rsidRPr="00095C19">
          <w:rPr>
            <w:rStyle w:val="Hyperlink"/>
            <w:rFonts w:ascii="Times New Roman" w:hAnsi="Times New Roman" w:cs="Times New Roman"/>
          </w:rPr>
          <w:t>3</w:t>
        </w:r>
      </w:hyperlink>
      <w:r w:rsidRPr="00095C19">
        <w:rPr>
          <w:rFonts w:ascii="Times New Roman" w:hAnsi="Times New Roman" w:cs="Times New Roman"/>
        </w:rPr>
        <w:t>B), the model demonstrates the following operating characteristics: sensitivity 90.0%, specificity 37.9%, positive predictive value (PPV) 2.8%, and negative predictive value (NPV) 99.5%. In natural frequency terms, per 1,000 monitoring windows at this threshold: 18 true positives (deteriorations correctly flagged), 2 false negatives (missed events), 608 false positives (false alarms), and 372 true negatives (Fig. </w:t>
      </w:r>
      <w:hyperlink w:anchor="fig:clinical_utility">
        <w:r w:rsidR="00C93AF5" w:rsidRPr="00095C19">
          <w:rPr>
            <w:rStyle w:val="Hyperlink"/>
            <w:rFonts w:ascii="Times New Roman" w:hAnsi="Times New Roman" w:cs="Times New Roman"/>
          </w:rPr>
          <w:t>3</w:t>
        </w:r>
      </w:hyperlink>
      <w:r w:rsidRPr="00095C19">
        <w:rPr>
          <w:rFonts w:ascii="Times New Roman" w:hAnsi="Times New Roman" w:cs="Times New Roman"/>
        </w:rPr>
        <w:t>A).</w:t>
      </w:r>
    </w:p>
    <w:p w14:paraId="17BC8A24" w14:textId="77777777"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 xml:space="preserve">The 2.8% PPV reflects the inherently low window-level prevalence and is comparable to accepted alert burdens in continuous vital-sign monitoring systems (Drew et al. 2014). Critically, the NPV of 99.5% implies that a window below threshold carries a very high probability of true stability, supporting the clinical utility of alert </w:t>
      </w:r>
      <w:r w:rsidRPr="00095C19">
        <w:rPr>
          <w:rFonts w:ascii="Times New Roman" w:hAnsi="Times New Roman" w:cs="Times New Roman"/>
          <w:i/>
          <w:iCs/>
        </w:rPr>
        <w:t>absence</w:t>
      </w:r>
      <w:r w:rsidRPr="00095C19">
        <w:rPr>
          <w:rFonts w:ascii="Times New Roman" w:hAnsi="Times New Roman" w:cs="Times New Roman"/>
        </w:rPr>
        <w:t xml:space="preserve"> as a reassuring signal. Clinicians and health systems can adjust the operating threshold to balance sensitivity against alert fatigue according to local ward staffing capacity and risk tolerance (Fig. </w:t>
      </w:r>
      <w:hyperlink w:anchor="fig:clinical_utility">
        <w:r w:rsidR="00C93AF5" w:rsidRPr="00095C19">
          <w:rPr>
            <w:rStyle w:val="Hyperlink"/>
            <w:rFonts w:ascii="Times New Roman" w:hAnsi="Times New Roman" w:cs="Times New Roman"/>
          </w:rPr>
          <w:t>3</w:t>
        </w:r>
      </w:hyperlink>
      <w:r w:rsidRPr="00095C19">
        <w:rPr>
          <w:rFonts w:ascii="Times New Roman" w:hAnsi="Times New Roman" w:cs="Times New Roman"/>
        </w:rPr>
        <w:t>B).</w:t>
      </w:r>
    </w:p>
    <w:p w14:paraId="370C4AE4" w14:textId="77777777" w:rsidR="00C93AF5" w:rsidRPr="00095C19" w:rsidRDefault="00000000" w:rsidP="00095C19">
      <w:pPr>
        <w:pStyle w:val="Heading2"/>
        <w:jc w:val="both"/>
        <w:rPr>
          <w:rFonts w:ascii="Times New Roman" w:hAnsi="Times New Roman" w:cs="Times New Roman"/>
          <w:sz w:val="24"/>
          <w:szCs w:val="24"/>
        </w:rPr>
      </w:pPr>
      <w:bookmarkStart w:id="5" w:name="calibration"/>
      <w:bookmarkEnd w:id="4"/>
      <w:r w:rsidRPr="00095C19">
        <w:rPr>
          <w:rFonts w:ascii="Times New Roman" w:hAnsi="Times New Roman" w:cs="Times New Roman"/>
          <w:sz w:val="24"/>
          <w:szCs w:val="24"/>
        </w:rPr>
        <w:t>Calibration</w:t>
      </w:r>
    </w:p>
    <w:p w14:paraId="6DA1DA90"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Post-hoc calibration was applied to the XGBoost predictions using Platt scaling (isotonic regression). The calibrated Brier score was 0.175, compared to 0.213 for logistic regression. Calibration curves (reliability diagrams) show that the calibrated XGBoost model demonstrates systematic overestimation of absolute risk at predicted probabilities above 0.35, a known consequence of the extreme class imbalance in this dataset (</w:t>
      </w:r>
      <m:oMath>
        <m:r>
          <m:rPr>
            <m:sty m:val="p"/>
          </m:rPr>
          <w:rPr>
            <w:rFonts w:ascii="Cambria Math" w:hAnsi="Cambria Math" w:cs="Times New Roman"/>
          </w:rPr>
          <m:t>∼</m:t>
        </m:r>
      </m:oMath>
      <w:r w:rsidRPr="00095C19">
        <w:rPr>
          <w:rFonts w:ascii="Times New Roman" w:hAnsi="Times New Roman" w:cs="Times New Roman"/>
        </w:rPr>
        <w:t>2% prevalence). Predicted scores should therefore be interpreted as relative risk rankings rather than precise probability estimates, consistent with their use as a decision threshold trigger rather than a quantitative probability.</w:t>
      </w:r>
    </w:p>
    <w:p w14:paraId="754AC4B7" w14:textId="77777777" w:rsidR="00C93AF5" w:rsidRPr="00095C19" w:rsidRDefault="00000000" w:rsidP="00095C19">
      <w:pPr>
        <w:pStyle w:val="Heading2"/>
        <w:jc w:val="both"/>
        <w:rPr>
          <w:rFonts w:ascii="Times New Roman" w:hAnsi="Times New Roman" w:cs="Times New Roman"/>
          <w:sz w:val="24"/>
          <w:szCs w:val="24"/>
        </w:rPr>
      </w:pPr>
      <w:bookmarkStart w:id="6" w:name="X165e465f85d28596b8c268ded427264a4ea21d0"/>
      <w:bookmarkEnd w:id="5"/>
      <w:r w:rsidRPr="00095C19">
        <w:rPr>
          <w:rFonts w:ascii="Times New Roman" w:hAnsi="Times New Roman" w:cs="Times New Roman"/>
          <w:sz w:val="24"/>
          <w:szCs w:val="24"/>
        </w:rPr>
        <w:lastRenderedPageBreak/>
        <w:t>Feature Importance and the Role of Informative Missingness</w:t>
      </w:r>
    </w:p>
    <w:p w14:paraId="50698ACE"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 xml:space="preserve">SHAP-based gain importance from the XGBoost ensemble identified the </w:t>
      </w:r>
      <w:r w:rsidRPr="00095C19">
        <w:rPr>
          <w:rFonts w:ascii="Times New Roman" w:hAnsi="Times New Roman" w:cs="Times New Roman"/>
          <w:i/>
          <w:iCs/>
        </w:rPr>
        <w:t>absence of lactate measurement</w:t>
      </w:r>
      <w:r w:rsidRPr="00095C19">
        <w:rPr>
          <w:rFonts w:ascii="Times New Roman" w:hAnsi="Times New Roman" w:cs="Times New Roman"/>
        </w:rPr>
        <w:t xml:space="preserve"> as the single most informative predictor, accounting for 5.8% of total model gain (Fig. </w:t>
      </w:r>
      <w:hyperlink w:anchor="fig:features">
        <w:r w:rsidR="00C93AF5" w:rsidRPr="00095C19">
          <w:rPr>
            <w:rStyle w:val="Hyperlink"/>
            <w:rFonts w:ascii="Times New Roman" w:hAnsi="Times New Roman" w:cs="Times New Roman"/>
          </w:rPr>
          <w:t>4</w:t>
        </w:r>
      </w:hyperlink>
      <w:r w:rsidRPr="00095C19">
        <w:rPr>
          <w:rFonts w:ascii="Times New Roman" w:hAnsi="Times New Roman" w:cs="Times New Roman"/>
        </w:rPr>
        <w:t xml:space="preserve">). This finding illustrates the phenomenon of </w:t>
      </w:r>
      <w:r w:rsidRPr="00095C19">
        <w:rPr>
          <w:rFonts w:ascii="Times New Roman" w:hAnsi="Times New Roman" w:cs="Times New Roman"/>
          <w:i/>
          <w:iCs/>
        </w:rPr>
        <w:t>informative missingness</w:t>
      </w:r>
      <w:r w:rsidRPr="00095C19">
        <w:rPr>
          <w:rFonts w:ascii="Times New Roman" w:hAnsi="Times New Roman" w:cs="Times New Roman"/>
        </w:rPr>
        <w:t>: in clinical practice, the decision to order (or not order) a specific laboratory test is itself a signal embedded in physician judgement. Lactate is ordered when clinicians suspect haemodynamic compromise or sepsis; its non-collection may reflect perceived stability, or conversely, represent a missed opportunity for monitoring in deteriorating patients. The model learns this pattern from data, capturing clinical context that is invisible to conventional vital-sign scoring systems.</w:t>
      </w:r>
    </w:p>
    <w:p w14:paraId="7BFED115" w14:textId="77777777"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Beyond lactate missingness, the most important individual features were minimum SpO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095C19">
        <w:rPr>
          <w:rFonts w:ascii="Times New Roman" w:hAnsi="Times New Roman" w:cs="Times New Roman"/>
        </w:rPr>
        <w:t xml:space="preserve"> within the window (5.0%), worst verbal GCS response (4.4%), worst motor GCS response (3.9%), the NEWS2 consciousness subscore (3.7%), and worst respiratory rate (2.9%). This pattern reflects the primacy of cardiorespiratory and neurological deterioration as harbingers of acute decompensation. Vasopressor use (2.6%) and antibiotic therapy (2.2%) were the highest-ranked medication features, consistent with their role as markers of haemodynamic instability and active infection respectively. Time since admission (2.7%) captured the non-linear temporal risk profile of hospitalised patients, in which deterioration risk is highest in the early post-admission period.</w:t>
      </w:r>
    </w:p>
    <w:p w14:paraId="79A80112" w14:textId="77777777"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Missingness flags for multiple biomarkers (bilirubin: 1.4%; glucose: 1.2%; sodium: 0.8%) collectively contributed approximately 10% of total model gain, underscoring the systematic importance of test-ordering patterns across the whole laboratory panel.</w:t>
      </w:r>
    </w:p>
    <w:p w14:paraId="3D3E05B4" w14:textId="77777777" w:rsidR="00C93AF5" w:rsidRPr="00095C19" w:rsidRDefault="00000000" w:rsidP="00095C19">
      <w:pPr>
        <w:pStyle w:val="Heading2"/>
        <w:jc w:val="both"/>
        <w:rPr>
          <w:rFonts w:ascii="Times New Roman" w:hAnsi="Times New Roman" w:cs="Times New Roman"/>
          <w:sz w:val="24"/>
          <w:szCs w:val="24"/>
        </w:rPr>
      </w:pPr>
      <w:bookmarkStart w:id="7" w:name="decision-curve-analysis"/>
      <w:bookmarkEnd w:id="6"/>
      <w:r w:rsidRPr="00095C19">
        <w:rPr>
          <w:rFonts w:ascii="Times New Roman" w:hAnsi="Times New Roman" w:cs="Times New Roman"/>
          <w:sz w:val="24"/>
          <w:szCs w:val="24"/>
        </w:rPr>
        <w:t>Decision Curve Analysis</w:t>
      </w:r>
    </w:p>
    <w:p w14:paraId="0F6D8F1A"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Decision curve analysis (DCA) (Vickers and Elkin 2006) was used to assess the clinical utility of bssentinel relative to NEWS2 and the extreme comparator strategies (treat-all, treat-none) across a range of decision threshold probabilities. Both predictors were first calibrated to the event probability scale: XGBoost scores were calibrated using isotonic regression and NEWS2 scores using Platt scaling, so that the DCA threshold axis reflects the clinician’s minimum acceptable probability of deterioration before initiating a monitoring response.</w:t>
      </w:r>
    </w:p>
    <w:p w14:paraId="7917A192" w14:textId="62BEDA5E"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Across clinically relevant threshold probabilities of 1–5%</w:t>
      </w:r>
      <w:r w:rsidR="00095C19">
        <w:rPr>
          <w:rFonts w:ascii="Times New Roman" w:hAnsi="Times New Roman" w:cs="Times New Roman"/>
        </w:rPr>
        <w:t xml:space="preserve"> </w:t>
      </w:r>
      <w:r w:rsidRPr="00095C19">
        <w:rPr>
          <w:rFonts w:ascii="Times New Roman" w:hAnsi="Times New Roman" w:cs="Times New Roman"/>
        </w:rPr>
        <w:t>spanning the range at which a clinician would consider escalating surveillance for an unselected general ward patient</w:t>
      </w:r>
      <w:r w:rsidR="00095C19">
        <w:rPr>
          <w:rFonts w:ascii="Times New Roman" w:hAnsi="Times New Roman" w:cs="Times New Roman"/>
        </w:rPr>
        <w:t xml:space="preserve"> </w:t>
      </w:r>
      <w:r w:rsidRPr="00095C19">
        <w:rPr>
          <w:rFonts w:ascii="Times New Roman" w:hAnsi="Times New Roman" w:cs="Times New Roman"/>
        </w:rPr>
        <w:t>bssentinel demonstrated consistently higher net benefit than both NEWS2 and the treat-all strategy (Fig. </w:t>
      </w:r>
      <w:hyperlink w:anchor="fig:dca">
        <w:r w:rsidR="00C93AF5" w:rsidRPr="00095C19">
          <w:rPr>
            <w:rStyle w:val="Hyperlink"/>
            <w:rFonts w:ascii="Times New Roman" w:hAnsi="Times New Roman" w:cs="Times New Roman"/>
          </w:rPr>
          <w:t>5</w:t>
        </w:r>
      </w:hyperlink>
      <w:r w:rsidRPr="00095C19">
        <w:rPr>
          <w:rFonts w:ascii="Times New Roman" w:hAnsi="Times New Roman" w:cs="Times New Roman"/>
        </w:rPr>
        <w:t>). At a 2% decision threshold, bssentinel yielded a net benefit of 0.0072 per patient compared with 0.0018 for NEWS2 (</w:t>
      </w:r>
      <m:oMath>
        <m:r>
          <m:rPr>
            <m:sty m:val="p"/>
          </m:rPr>
          <w:rPr>
            <w:rFonts w:ascii="Cambria Math" w:hAnsi="Cambria Math" w:cs="Times New Roman"/>
          </w:rPr>
          <m:t>Δ</m:t>
        </m:r>
      </m:oMath>
      <w:r w:rsidRPr="00095C19">
        <w:rPr>
          <w:rFonts w:ascii="Times New Roman" w:hAnsi="Times New Roman" w:cs="Times New Roman"/>
        </w:rPr>
        <w:t>NB </w:t>
      </w:r>
      <m:oMath>
        <m:r>
          <m:rPr>
            <m:sty m:val="p"/>
          </m:rPr>
          <w:rPr>
            <w:rFonts w:ascii="Cambria Math" w:hAnsi="Cambria Math" w:cs="Times New Roman"/>
          </w:rPr>
          <m:t>=</m:t>
        </m:r>
        <m:r>
          <w:rPr>
            <w:rFonts w:ascii="Cambria Math" w:hAnsi="Cambria Math" w:cs="Times New Roman"/>
          </w:rPr>
          <m:t> 0.0054</m:t>
        </m:r>
      </m:oMath>
      <w:r w:rsidRPr="00095C19">
        <w:rPr>
          <w:rFonts w:ascii="Times New Roman" w:hAnsi="Times New Roman" w:cs="Times New Roman"/>
        </w:rPr>
        <w:t>, a 4-fold improvement), indicating that using bssentinel to guide surveillance decisions is equivalent to identifying an additional 5.4 true deteriorations per 1 000 patients compared with NEWS2, without any increase in unnecessary interventions. At a 3% threshold, bssentinel maintained a net benefit of 0.0051 while NEWS2 provided marginal benefit approaching zero (NB </w:t>
      </w:r>
      <m:oMath>
        <m:r>
          <m:rPr>
            <m:sty m:val="p"/>
          </m:rPr>
          <w:rPr>
            <w:rFonts w:ascii="Cambria Math" w:hAnsi="Cambria Math" w:cs="Times New Roman"/>
          </w:rPr>
          <m:t>≈</m:t>
        </m:r>
        <m:r>
          <w:rPr>
            <w:rFonts w:ascii="Cambria Math" w:hAnsi="Cambria Math" w:cs="Times New Roman"/>
          </w:rPr>
          <m:t> 0.0002</m:t>
        </m:r>
      </m:oMath>
      <w:r w:rsidRPr="00095C19">
        <w:rPr>
          <w:rFonts w:ascii="Times New Roman" w:hAnsi="Times New Roman" w:cs="Times New Roman"/>
        </w:rPr>
        <w:t>), statistically indistinguishable from withholding the test entirely. By 5%, NEWS2 net benefit was negligible (NB </w:t>
      </w:r>
      <m:oMath>
        <m:r>
          <m:rPr>
            <m:sty m:val="p"/>
          </m:rPr>
          <w:rPr>
            <w:rFonts w:ascii="Cambria Math" w:hAnsi="Cambria Math" w:cs="Times New Roman"/>
          </w:rPr>
          <m:t>≈</m:t>
        </m:r>
        <m:r>
          <w:rPr>
            <w:rFonts w:ascii="Cambria Math" w:hAnsi="Cambria Math" w:cs="Times New Roman"/>
          </w:rPr>
          <m:t> 0.000</m:t>
        </m:r>
      </m:oMath>
      <w:r w:rsidRPr="00095C19">
        <w:rPr>
          <w:rFonts w:ascii="Times New Roman" w:hAnsi="Times New Roman" w:cs="Times New Roman"/>
        </w:rPr>
        <w:t>), whereas bssentinel retained NB </w:t>
      </w:r>
      <m:oMath>
        <m:r>
          <m:rPr>
            <m:sty m:val="p"/>
          </m:rPr>
          <w:rPr>
            <w:rFonts w:ascii="Cambria Math" w:hAnsi="Cambria Math" w:cs="Times New Roman"/>
          </w:rPr>
          <m:t>=</m:t>
        </m:r>
        <m:r>
          <w:rPr>
            <w:rFonts w:ascii="Cambria Math" w:hAnsi="Cambria Math" w:cs="Times New Roman"/>
          </w:rPr>
          <m:t> 0.0031</m:t>
        </m:r>
      </m:oMath>
      <w:r w:rsidRPr="00095C19">
        <w:rPr>
          <w:rFonts w:ascii="Times New Roman" w:hAnsi="Times New Roman" w:cs="Times New Roman"/>
        </w:rPr>
        <w:t>, confirming its superiority as a high-sensitivity surveillance tool across the full clinically relevant threshold range.</w:t>
      </w:r>
    </w:p>
    <w:p w14:paraId="1A9E6909" w14:textId="77777777"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 xml:space="preserve">The treat-all strategy became net-harmful at thresholds above </w:t>
      </w:r>
      <m:oMath>
        <m:r>
          <m:rPr>
            <m:sty m:val="p"/>
          </m:rPr>
          <w:rPr>
            <w:rFonts w:ascii="Cambria Math" w:hAnsi="Cambria Math" w:cs="Times New Roman"/>
          </w:rPr>
          <m:t>∼</m:t>
        </m:r>
      </m:oMath>
      <w:r w:rsidRPr="00095C19">
        <w:rPr>
          <w:rFonts w:ascii="Times New Roman" w:hAnsi="Times New Roman" w:cs="Times New Roman"/>
        </w:rPr>
        <w:t>2% (NB </w:t>
      </w:r>
      <m:oMath>
        <m:r>
          <m:rPr>
            <m:sty m:val="p"/>
          </m:rPr>
          <w:rPr>
            <w:rFonts w:ascii="Cambria Math" w:hAnsi="Cambria Math" w:cs="Times New Roman"/>
          </w:rPr>
          <m:t>&lt;</m:t>
        </m:r>
        <m:r>
          <w:rPr>
            <w:rFonts w:ascii="Cambria Math" w:hAnsi="Cambria Math" w:cs="Times New Roman"/>
          </w:rPr>
          <m:t> 0</m:t>
        </m:r>
      </m:oMath>
      <w:r w:rsidRPr="00095C19">
        <w:rPr>
          <w:rFonts w:ascii="Times New Roman" w:hAnsi="Times New Roman" w:cs="Times New Roman"/>
        </w:rPr>
        <w:t xml:space="preserve">), while bssentinel maintained positive benefit at all thresholds up to 5%, supporting its utility as a selective surveillance tool that preserves clinical resources by reducing unnecessary monitoring of low-risk </w:t>
      </w:r>
      <w:r w:rsidRPr="00095C19">
        <w:rPr>
          <w:rFonts w:ascii="Times New Roman" w:hAnsi="Times New Roman" w:cs="Times New Roman"/>
        </w:rPr>
        <w:lastRenderedPageBreak/>
        <w:t>patients while maintaining near-complete capture of true deterioration events (90% sensitivity at the recommended operating threshold).</w:t>
      </w:r>
    </w:p>
    <w:p w14:paraId="4A302FA6" w14:textId="77777777" w:rsidR="00C93AF5" w:rsidRPr="00095C19" w:rsidRDefault="00000000" w:rsidP="00095C19">
      <w:pPr>
        <w:pStyle w:val="Heading2"/>
        <w:jc w:val="both"/>
        <w:rPr>
          <w:rFonts w:ascii="Times New Roman" w:hAnsi="Times New Roman" w:cs="Times New Roman"/>
          <w:sz w:val="24"/>
          <w:szCs w:val="24"/>
        </w:rPr>
      </w:pPr>
      <w:bookmarkStart w:id="8" w:name="Xa7a80ffc61b643a5699ecb027d67c860e6f43e9"/>
      <w:bookmarkEnd w:id="7"/>
      <w:r w:rsidRPr="00095C19">
        <w:rPr>
          <w:rFonts w:ascii="Times New Roman" w:hAnsi="Times New Roman" w:cs="Times New Roman"/>
          <w:sz w:val="24"/>
          <w:szCs w:val="24"/>
        </w:rPr>
        <w:t>The bssentinel Application: System Architecture and Deployment</w:t>
      </w:r>
    </w:p>
    <w:p w14:paraId="35A0C1AE"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The trained model is integrated into bssentinel, a deployable full-stack clinical decision support system (Fig. </w:t>
      </w:r>
      <w:hyperlink w:anchor="fig:study_design">
        <w:r w:rsidR="00C93AF5" w:rsidRPr="00095C19">
          <w:rPr>
            <w:rStyle w:val="Hyperlink"/>
            <w:rFonts w:ascii="Times New Roman" w:hAnsi="Times New Roman" w:cs="Times New Roman"/>
          </w:rPr>
          <w:t>1</w:t>
        </w:r>
      </w:hyperlink>
      <w:r w:rsidRPr="00095C19">
        <w:rPr>
          <w:rFonts w:ascii="Times New Roman" w:hAnsi="Times New Roman" w:cs="Times New Roman"/>
        </w:rPr>
        <w:t xml:space="preserve">). The backend is a FastAPI (Ramírez 2018) asynchronous inference server exposing three endpoints: </w:t>
      </w:r>
      <w:r w:rsidRPr="00095C19">
        <w:rPr>
          <w:rStyle w:val="VerbatimChar"/>
          <w:rFonts w:ascii="Times New Roman" w:hAnsi="Times New Roman" w:cs="Times New Roman"/>
          <w:sz w:val="24"/>
        </w:rPr>
        <w:t>POST /api/predict</w:t>
      </w:r>
      <w:r w:rsidRPr="00095C19">
        <w:rPr>
          <w:rFonts w:ascii="Times New Roman" w:hAnsi="Times New Roman" w:cs="Times New Roman"/>
        </w:rPr>
        <w:t xml:space="preserve"> (accepts patient data, returns a job identifier), </w:t>
      </w:r>
      <w:r w:rsidRPr="00095C19">
        <w:rPr>
          <w:rStyle w:val="VerbatimChar"/>
          <w:rFonts w:ascii="Times New Roman" w:hAnsi="Times New Roman" w:cs="Times New Roman"/>
          <w:sz w:val="24"/>
        </w:rPr>
        <w:t>GET /api/jobs/{id}</w:t>
      </w:r>
      <w:r w:rsidRPr="00095C19">
        <w:rPr>
          <w:rFonts w:ascii="Times New Roman" w:hAnsi="Times New Roman" w:cs="Times New Roman"/>
        </w:rPr>
        <w:t xml:space="preserve"> (polls for results), and </w:t>
      </w:r>
      <w:r w:rsidRPr="00095C19">
        <w:rPr>
          <w:rStyle w:val="VerbatimChar"/>
          <w:rFonts w:ascii="Times New Roman" w:hAnsi="Times New Roman" w:cs="Times New Roman"/>
          <w:sz w:val="24"/>
        </w:rPr>
        <w:t>GET /api/health</w:t>
      </w:r>
      <w:r w:rsidRPr="00095C19">
        <w:rPr>
          <w:rFonts w:ascii="Times New Roman" w:hAnsi="Times New Roman" w:cs="Times New Roman"/>
        </w:rPr>
        <w:t xml:space="preserve"> (service heartbeat). Prediction requests are processed asynchronously to accommodate concurrent usage. The server accepts structured JSON payloads encompassing patient context (age, admission type, hours since admission), vital signs, 12 laboratory values, and medication flags (Fig. </w:t>
      </w:r>
      <w:hyperlink w:anchor="fig:study_design">
        <w:r w:rsidR="00C93AF5" w:rsidRPr="00095C19">
          <w:rPr>
            <w:rStyle w:val="Hyperlink"/>
            <w:rFonts w:ascii="Times New Roman" w:hAnsi="Times New Roman" w:cs="Times New Roman"/>
          </w:rPr>
          <w:t>1</w:t>
        </w:r>
      </w:hyperlink>
      <w:r w:rsidRPr="00095C19">
        <w:rPr>
          <w:rFonts w:ascii="Times New Roman" w:hAnsi="Times New Roman" w:cs="Times New Roman"/>
        </w:rPr>
        <w:t>B–C). A configurable prediction horizon (6, 12, 24, or 48 hours) allows adaptation to different monitoring intensities.</w:t>
      </w:r>
    </w:p>
    <w:p w14:paraId="733309E6" w14:textId="0B20977A"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The frontend is a React (Meta Platforms, Inc. 2013) single-page application featuring a structured data entry form, real-time server connectivity status, and a results dashboard. The results view includes: (i) an SVG semicircle risk gauge colour-coded by stratum (LOW </w:t>
      </w:r>
      <m:oMath>
        <m:r>
          <m:rPr>
            <m:sty m:val="p"/>
          </m:rPr>
          <w:rPr>
            <w:rFonts w:ascii="Cambria Math" w:hAnsi="Cambria Math" w:cs="Times New Roman"/>
          </w:rPr>
          <m:t>&lt;</m:t>
        </m:r>
      </m:oMath>
      <w:r w:rsidRPr="00095C19">
        <w:rPr>
          <w:rFonts w:ascii="Times New Roman" w:hAnsi="Times New Roman" w:cs="Times New Roman"/>
        </w:rPr>
        <w:t>20%, MODERATE 20–45%, HIGH 45–70%, CRITICAL </w:t>
      </w:r>
      <m:oMath>
        <m:r>
          <m:rPr>
            <m:sty m:val="p"/>
          </m:rPr>
          <w:rPr>
            <w:rFonts w:ascii="Cambria Math" w:hAnsi="Cambria Math" w:cs="Times New Roman"/>
          </w:rPr>
          <m:t>&gt;</m:t>
        </m:r>
      </m:oMath>
      <w:r w:rsidRPr="00095C19">
        <w:rPr>
          <w:rFonts w:ascii="Times New Roman" w:hAnsi="Times New Roman" w:cs="Times New Roman"/>
        </w:rPr>
        <w:t xml:space="preserve">70%); (ii) the top three SHAP-attributed contributing factors with plain-language natural language explanations (e.g., </w:t>
      </w:r>
      <w:r w:rsidRPr="00095C19">
        <w:rPr>
          <w:rFonts w:ascii="Times New Roman" w:hAnsi="Times New Roman" w:cs="Times New Roman"/>
          <w:i/>
          <w:iCs/>
        </w:rPr>
        <w:t xml:space="preserve">“Heart rate 125 bpm strongly increases risk </w:t>
      </w:r>
      <w:r w:rsidR="00095C19">
        <w:rPr>
          <w:rFonts w:ascii="Times New Roman" w:hAnsi="Times New Roman" w:cs="Times New Roman"/>
          <w:i/>
          <w:iCs/>
        </w:rPr>
        <w:t xml:space="preserve"> </w:t>
      </w:r>
      <w:r w:rsidRPr="00095C19">
        <w:rPr>
          <w:rFonts w:ascii="Times New Roman" w:hAnsi="Times New Roman" w:cs="Times New Roman"/>
          <w:i/>
          <w:iCs/>
        </w:rPr>
        <w:t xml:space="preserve"> outside normal range 51–90 bpm”</w:t>
      </w:r>
      <w:r w:rsidRPr="00095C19">
        <w:rPr>
          <w:rFonts w:ascii="Times New Roman" w:hAnsi="Times New Roman" w:cs="Times New Roman"/>
        </w:rPr>
        <w:t>); and (iii) risk-stratified action items to guide clinical escalation. SHAP values are computed at inference time using a pre-fitted TreeExplainer, enabling patient-specific explanations without batch recomputation.</w:t>
      </w:r>
    </w:p>
    <w:p w14:paraId="080FA6A8" w14:textId="77777777"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The system supports handoff from other clinical tools via URL-encoded base64 vital sign parameters, enabling pre-population of the bssentinel form from upstream surgical planning or admissions workflows.</w:t>
      </w:r>
    </w:p>
    <w:p w14:paraId="5B79364C" w14:textId="77777777" w:rsidR="00C93AF5" w:rsidRPr="00095C19" w:rsidRDefault="00000000" w:rsidP="00095C19">
      <w:pPr>
        <w:pStyle w:val="Heading1"/>
        <w:jc w:val="both"/>
        <w:rPr>
          <w:rFonts w:ascii="Times New Roman" w:hAnsi="Times New Roman" w:cs="Times New Roman"/>
          <w:sz w:val="24"/>
          <w:szCs w:val="24"/>
        </w:rPr>
      </w:pPr>
      <w:bookmarkStart w:id="9" w:name="discussion"/>
      <w:bookmarkEnd w:id="1"/>
      <w:bookmarkEnd w:id="8"/>
      <w:r w:rsidRPr="00095C19">
        <w:rPr>
          <w:rFonts w:ascii="Times New Roman" w:hAnsi="Times New Roman" w:cs="Times New Roman"/>
          <w:sz w:val="24"/>
          <w:szCs w:val="24"/>
        </w:rPr>
        <w:t>Discussion</w:t>
      </w:r>
    </w:p>
    <w:p w14:paraId="5424F573"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We present bssentinel, an ML-augmented early warning system that achieves substantially improved discrimination over NEWS2 in a large, heterogeneous inpatient cohort from MIMIC-IV. The AUROC gain of +0.190 (0.758 vs 0.568) is among the largest reported improvements over a standard EWS in the literature, reflecting the breadth of complementary information encoded in laboratory values, medication patterns, and temporal context that NEWS2 systematically ignores.</w:t>
      </w:r>
    </w:p>
    <w:p w14:paraId="28E90F93" w14:textId="77777777"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 xml:space="preserve">Our principal novel finding is the dominant predictive contribution of </w:t>
      </w:r>
      <w:r w:rsidRPr="00095C19">
        <w:rPr>
          <w:rFonts w:ascii="Times New Roman" w:hAnsi="Times New Roman" w:cs="Times New Roman"/>
          <w:i/>
          <w:iCs/>
        </w:rPr>
        <w:t>informative missingness</w:t>
      </w:r>
      <w:r w:rsidRPr="00095C19">
        <w:rPr>
          <w:rFonts w:ascii="Times New Roman" w:hAnsi="Times New Roman" w:cs="Times New Roman"/>
        </w:rPr>
        <w:t xml:space="preserve">. The absence of a lactate measurement being the single strongest feature is, on initial inspection, counterintuitive. However, this finding is clinically coherent and scientifically reproducible: it reflects the reality that missingness in clinical data is almost never missing-at-random (Sperrin and Pate 2021; Wells et al. 2013). Prior work on sepsis prediction in MIMIC has similarly identified missingness patterns as highly predictive (Rajkomar et al. 2018), but systematic characterisation of this phenomenon as the </w:t>
      </w:r>
      <w:r w:rsidRPr="00095C19">
        <w:rPr>
          <w:rFonts w:ascii="Times New Roman" w:hAnsi="Times New Roman" w:cs="Times New Roman"/>
          <w:i/>
          <w:iCs/>
        </w:rPr>
        <w:t>primary</w:t>
      </w:r>
      <w:r w:rsidRPr="00095C19">
        <w:rPr>
          <w:rFonts w:ascii="Times New Roman" w:hAnsi="Times New Roman" w:cs="Times New Roman"/>
        </w:rPr>
        <w:t xml:space="preserve"> predictor above all biomarker values has not, to our knowledge, been previously reported for in-hospital deterioration prediction. This finding has direct implications for EHR-based system design: including missingness indicator features should be considered a baseline requirement, not an optional enhancement, for clinical ML models.</w:t>
      </w:r>
    </w:p>
    <w:p w14:paraId="1007493B" w14:textId="76862046"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 xml:space="preserve">Decision curve analysis provides a rigorous framework for evaluating clinical utility that transcends discrimination metrics alone (Vickers and Elkin 2006). Our DCA demonstrates that bssentinel delivers consistently positive net benefit across clinically relevant threshold </w:t>
      </w:r>
      <w:r w:rsidRPr="00095C19">
        <w:rPr>
          <w:rFonts w:ascii="Times New Roman" w:hAnsi="Times New Roman" w:cs="Times New Roman"/>
        </w:rPr>
        <w:lastRenderedPageBreak/>
        <w:t>probabilities of 1–5%, corresponding to the decision range a clinician faces when determining whether to escalate monitoring for a general ward patient. Critically, at threshold probabilities of 3% and above, NEWS2 net benefit approaches zero</w:t>
      </w:r>
      <w:r w:rsidR="00095C19">
        <w:rPr>
          <w:rFonts w:ascii="Times New Roman" w:hAnsi="Times New Roman" w:cs="Times New Roman"/>
        </w:rPr>
        <w:t xml:space="preserve"> </w:t>
      </w:r>
      <w:r w:rsidRPr="00095C19">
        <w:rPr>
          <w:rFonts w:ascii="Times New Roman" w:hAnsi="Times New Roman" w:cs="Times New Roman"/>
        </w:rPr>
        <w:t>equivalent to the treat-</w:t>
      </w:r>
      <w:proofErr w:type="gramStart"/>
      <w:r w:rsidRPr="00095C19">
        <w:rPr>
          <w:rFonts w:ascii="Times New Roman" w:hAnsi="Times New Roman" w:cs="Times New Roman"/>
        </w:rPr>
        <w:t>none</w:t>
      </w:r>
      <w:proofErr w:type="gramEnd"/>
      <w:r w:rsidRPr="00095C19">
        <w:rPr>
          <w:rFonts w:ascii="Times New Roman" w:hAnsi="Times New Roman" w:cs="Times New Roman"/>
        </w:rPr>
        <w:t xml:space="preserve"> strategy</w:t>
      </w:r>
      <w:r w:rsidR="00095C19">
        <w:rPr>
          <w:rFonts w:ascii="Times New Roman" w:hAnsi="Times New Roman" w:cs="Times New Roman"/>
        </w:rPr>
        <w:t xml:space="preserve"> </w:t>
      </w:r>
      <w:r w:rsidRPr="00095C19">
        <w:rPr>
          <w:rFonts w:ascii="Times New Roman" w:hAnsi="Times New Roman" w:cs="Times New Roman"/>
        </w:rPr>
        <w:t>while bssentinel retains meaningful positive benefit (NB = 0.0051 at 3%, NB = 0.0031 at 5%). This pattern directly supports the role of bssentinel as a high-sensitivity surveillance tool: despite low positive predictive value driven by the 2% event prevalence, it consistently identifies more true deteriorations per unit of monitoring resource invested than NEWS2 across all clinically plausible threshold settings.</w:t>
      </w:r>
    </w:p>
    <w:p w14:paraId="02911336" w14:textId="018D2074"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The operating characteristics at 90% sensitivity</w:t>
      </w:r>
      <w:r w:rsidR="00095C19">
        <w:rPr>
          <w:rFonts w:ascii="Times New Roman" w:hAnsi="Times New Roman" w:cs="Times New Roman"/>
        </w:rPr>
        <w:t xml:space="preserve"> </w:t>
      </w:r>
      <w:r w:rsidRPr="00095C19">
        <w:rPr>
          <w:rFonts w:ascii="Times New Roman" w:hAnsi="Times New Roman" w:cs="Times New Roman"/>
        </w:rPr>
        <w:t>PPV 2.8%, NPV 99.5%</w:t>
      </w:r>
      <w:r w:rsidR="00095C19">
        <w:rPr>
          <w:rFonts w:ascii="Times New Roman" w:hAnsi="Times New Roman" w:cs="Times New Roman"/>
        </w:rPr>
        <w:t xml:space="preserve"> </w:t>
      </w:r>
      <w:r w:rsidRPr="00095C19">
        <w:rPr>
          <w:rFonts w:ascii="Times New Roman" w:hAnsi="Times New Roman" w:cs="Times New Roman"/>
        </w:rPr>
        <w:t xml:space="preserve">deserve contextual interpretation. The 2.8% PPV is driven entirely by the 2% window-level event prevalence, not by model specificity failure; even a theoretically perfect model would achieve a PPV of only </w:t>
      </w:r>
      <m:oMath>
        <m:r>
          <m:rPr>
            <m:sty m:val="p"/>
          </m:rPr>
          <w:rPr>
            <w:rFonts w:ascii="Cambria Math" w:hAnsi="Cambria Math" w:cs="Times New Roman"/>
          </w:rPr>
          <m:t>∼</m:t>
        </m:r>
      </m:oMath>
      <w:r w:rsidRPr="00095C19">
        <w:rPr>
          <w:rFonts w:ascii="Times New Roman" w:hAnsi="Times New Roman" w:cs="Times New Roman"/>
        </w:rPr>
        <w:t xml:space="preserve">50% at this sensitivity given this prevalence. More clinically informative is the NPV: a prediction below threshold from bssentinel provides near-certainty (99.5%) of short-term stability, a property that may be valuable for scheduling nursing observations, triaging bed </w:t>
      </w:r>
      <w:r w:rsidR="00887C32" w:rsidRPr="00095C19">
        <w:rPr>
          <w:rFonts w:ascii="Times New Roman" w:hAnsi="Times New Roman" w:cs="Times New Roman"/>
        </w:rPr>
        <w:t>moves or</w:t>
      </w:r>
      <w:r w:rsidRPr="00095C19">
        <w:rPr>
          <w:rFonts w:ascii="Times New Roman" w:hAnsi="Times New Roman" w:cs="Times New Roman"/>
        </w:rPr>
        <w:t xml:space="preserve"> identifying patients suitable for step-down care. Alert burden can be reduced by raising the threshold, trading sensitivity for specificity, with the threshold-operating curve providing an evidence base for local calibration.</w:t>
      </w:r>
    </w:p>
    <w:p w14:paraId="129AA9A1" w14:textId="77777777"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Several limitations merit acknowledgement. First, MIMIC-IV is a single-centre dataset from a large academic medical centre in the United States. External validation in diverse health systems, including community hospitals and non-US settings with different EHR and laboratory ordering cultures, is essential before deployment. Second, the window-level analysis treats each 6-hourly observation independently. In practice, trajectory information (serial change in vital signs or laboratory values over multiple consecutive windows) may provide additional predictive signal and is a direction for future work incorporating recurrent or longitudinal model architectures. Third, the calibration analysis reveals systematic overestimation of absolute risk at high predicted scores, limiting the use of raw probabilities as clinical communications and motivating the use of risk stratification bands rather than numeric probabilities in the user interface. Fourth, the composite outcome includes ICU transfer, which encompasses some planned transfers and elective escalations that may not represent genuine deterioration events. Future work should validate against more specific outcomes (e.g., unplanned ICU admissions only, or in-hospital cardiac arrest).</w:t>
      </w:r>
    </w:p>
    <w:p w14:paraId="526A4302" w14:textId="77777777"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The deployment architecture of bssentinel addresses practical barriers to adoption that have limited prior ML early warning systems. Most published systems exist as research analyses without a deployable implementation. bssentinel provides a complete, containerisable server and frontend, enabling integration with existing EHR workflows through structured API calls. The SHAP-based explanation layer is a first-class feature of the system rather than a post-hoc research analysis, reflecting current best practice for responsible AI deployment in clinical environments (Yang et al. 2022; Lundberg and Lee 2017).</w:t>
      </w:r>
    </w:p>
    <w:p w14:paraId="51997313" w14:textId="77777777" w:rsidR="00C93AF5" w:rsidRPr="00095C19" w:rsidRDefault="00000000" w:rsidP="00095C19">
      <w:pPr>
        <w:pStyle w:val="BodyText"/>
        <w:jc w:val="both"/>
        <w:rPr>
          <w:rFonts w:ascii="Times New Roman" w:hAnsi="Times New Roman" w:cs="Times New Roman"/>
        </w:rPr>
      </w:pPr>
      <w:r w:rsidRPr="00095C19">
        <w:rPr>
          <w:rFonts w:ascii="Times New Roman" w:hAnsi="Times New Roman" w:cs="Times New Roman"/>
        </w:rPr>
        <w:t>Future directions include: (i) multi-horizon training and joint prediction at 6, 12, 24, and 48 hours simultaneously; (ii) prospective validation in a live deployment setting; (iii) incorporation of nursing observation notes and patient-reported symptoms via natural language processing; and (iv) active learning components to adapt to institutional-specific deterioration patterns without requiring full retraining on proprietary data.</w:t>
      </w:r>
    </w:p>
    <w:p w14:paraId="06E08775" w14:textId="77777777" w:rsidR="00C93AF5" w:rsidRPr="00095C19" w:rsidRDefault="00000000" w:rsidP="00095C19">
      <w:pPr>
        <w:pStyle w:val="Heading1"/>
        <w:jc w:val="both"/>
        <w:rPr>
          <w:rFonts w:ascii="Times New Roman" w:hAnsi="Times New Roman" w:cs="Times New Roman"/>
          <w:sz w:val="24"/>
          <w:szCs w:val="24"/>
        </w:rPr>
      </w:pPr>
      <w:bookmarkStart w:id="10" w:name="materials-and-methods"/>
      <w:bookmarkEnd w:id="9"/>
      <w:r w:rsidRPr="00095C19">
        <w:rPr>
          <w:rFonts w:ascii="Times New Roman" w:hAnsi="Times New Roman" w:cs="Times New Roman"/>
          <w:sz w:val="24"/>
          <w:szCs w:val="24"/>
        </w:rPr>
        <w:lastRenderedPageBreak/>
        <w:t>Materials and Methods</w:t>
      </w:r>
    </w:p>
    <w:p w14:paraId="6EB94807" w14:textId="77777777" w:rsidR="00C93AF5" w:rsidRPr="00095C19" w:rsidRDefault="00000000" w:rsidP="00095C19">
      <w:pPr>
        <w:pStyle w:val="Heading2"/>
        <w:jc w:val="both"/>
        <w:rPr>
          <w:rFonts w:ascii="Times New Roman" w:hAnsi="Times New Roman" w:cs="Times New Roman"/>
          <w:sz w:val="24"/>
          <w:szCs w:val="24"/>
        </w:rPr>
      </w:pPr>
      <w:bookmarkStart w:id="11" w:name="data-source-and-ethical-statement"/>
      <w:r w:rsidRPr="00095C19">
        <w:rPr>
          <w:rFonts w:ascii="Times New Roman" w:hAnsi="Times New Roman" w:cs="Times New Roman"/>
          <w:sz w:val="24"/>
          <w:szCs w:val="24"/>
        </w:rPr>
        <w:t>Data Source and Ethical Statement</w:t>
      </w:r>
    </w:p>
    <w:p w14:paraId="550D1B0B"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All analyses were conducted on MIMIC-IV version 3.1 (Johnson et al. 2023), a publicly available, de-identified critical care database requiring completion of a data use agreement and a recognised human subjects research training course (CITI Program). As MIMIC-IV is a fully de-identified secondary dataset, this study was exempt from Institutional Review Board review. No patient contact or prospective data collection was performed.</w:t>
      </w:r>
    </w:p>
    <w:p w14:paraId="72D3616A" w14:textId="77777777" w:rsidR="00C93AF5" w:rsidRPr="00095C19" w:rsidRDefault="00000000" w:rsidP="00095C19">
      <w:pPr>
        <w:pStyle w:val="Heading2"/>
        <w:jc w:val="both"/>
        <w:rPr>
          <w:rFonts w:ascii="Times New Roman" w:hAnsi="Times New Roman" w:cs="Times New Roman"/>
          <w:sz w:val="24"/>
          <w:szCs w:val="24"/>
        </w:rPr>
      </w:pPr>
      <w:bookmarkStart w:id="12" w:name="cohort-definition"/>
      <w:bookmarkEnd w:id="11"/>
      <w:r w:rsidRPr="00095C19">
        <w:rPr>
          <w:rFonts w:ascii="Times New Roman" w:hAnsi="Times New Roman" w:cs="Times New Roman"/>
          <w:sz w:val="24"/>
          <w:szCs w:val="24"/>
        </w:rPr>
        <w:t>Cohort Definition</w:t>
      </w:r>
    </w:p>
    <w:p w14:paraId="324D1958"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 xml:space="preserve">All unique hospital admissions with: (i) patient age </w:t>
      </w:r>
      <m:oMath>
        <m:r>
          <m:rPr>
            <m:sty m:val="p"/>
          </m:rPr>
          <w:rPr>
            <w:rFonts w:ascii="Cambria Math" w:hAnsi="Cambria Math" w:cs="Times New Roman"/>
          </w:rPr>
          <m:t>≥</m:t>
        </m:r>
      </m:oMath>
      <w:r w:rsidRPr="00095C19">
        <w:rPr>
          <w:rFonts w:ascii="Times New Roman" w:hAnsi="Times New Roman" w:cs="Times New Roman"/>
        </w:rPr>
        <w:t xml:space="preserve">18 years at admission; (ii) valid admission and discharge timestamps; and (iii) length of stay </w:t>
      </w:r>
      <m:oMath>
        <m:r>
          <m:rPr>
            <m:sty m:val="p"/>
          </m:rPr>
          <w:rPr>
            <w:rFonts w:ascii="Cambria Math" w:hAnsi="Cambria Math" w:cs="Times New Roman"/>
          </w:rPr>
          <m:t>≥</m:t>
        </m:r>
      </m:oMath>
      <w:r w:rsidRPr="00095C19">
        <w:rPr>
          <w:rFonts w:ascii="Times New Roman" w:hAnsi="Times New Roman" w:cs="Times New Roman"/>
        </w:rPr>
        <w:t>6 hours were included. Admissions without these criteria were excluded. No exclusion criteria were applied for specific diagnoses, procedure types, or care settings, yielding a broad general inpatient population.</w:t>
      </w:r>
    </w:p>
    <w:p w14:paraId="52D205C8" w14:textId="77777777" w:rsidR="00C93AF5" w:rsidRPr="00095C19" w:rsidRDefault="00000000" w:rsidP="00095C19">
      <w:pPr>
        <w:pStyle w:val="Heading2"/>
        <w:jc w:val="both"/>
        <w:rPr>
          <w:rFonts w:ascii="Times New Roman" w:hAnsi="Times New Roman" w:cs="Times New Roman"/>
          <w:sz w:val="24"/>
          <w:szCs w:val="24"/>
        </w:rPr>
      </w:pPr>
      <w:bookmarkStart w:id="13" w:name="observation-window-framework"/>
      <w:bookmarkEnd w:id="12"/>
      <w:r w:rsidRPr="00095C19">
        <w:rPr>
          <w:rFonts w:ascii="Times New Roman" w:hAnsi="Times New Roman" w:cs="Times New Roman"/>
          <w:sz w:val="24"/>
          <w:szCs w:val="24"/>
        </w:rPr>
        <w:t>Observation Window Framework</w:t>
      </w:r>
    </w:p>
    <w:p w14:paraId="5E34A810"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 xml:space="preserve">For each admission, a sequence of 6-hourly observation windows was generated beginning one hour after admission (to allow initial documentation) and terminating 24 hours before discharge (the prediction horizon). This ensures that every window has a full 24-hour future period in which an outcome can occur. For each window at time </w:t>
      </w:r>
      <m:oMath>
        <m:r>
          <w:rPr>
            <w:rFonts w:ascii="Cambria Math" w:hAnsi="Cambria Math" w:cs="Times New Roman"/>
          </w:rPr>
          <m:t>t</m:t>
        </m:r>
      </m:oMath>
      <w:r w:rsidRPr="00095C19">
        <w:rPr>
          <w:rFonts w:ascii="Times New Roman" w:hAnsi="Times New Roman" w:cs="Times New Roman"/>
        </w:rPr>
        <w:t>:</w:t>
      </w:r>
    </w:p>
    <w:p w14:paraId="252068EC" w14:textId="77777777" w:rsidR="00C93AF5" w:rsidRPr="00095C19" w:rsidRDefault="00000000" w:rsidP="00095C19">
      <w:pPr>
        <w:numPr>
          <w:ilvl w:val="0"/>
          <w:numId w:val="2"/>
        </w:numPr>
        <w:jc w:val="both"/>
        <w:rPr>
          <w:rFonts w:ascii="Times New Roman" w:hAnsi="Times New Roman" w:cs="Times New Roman"/>
        </w:rPr>
      </w:pPr>
      <w:r w:rsidRPr="00095C19">
        <w:rPr>
          <w:rFonts w:ascii="Times New Roman" w:hAnsi="Times New Roman" w:cs="Times New Roman"/>
          <w:b/>
          <w:bCs/>
        </w:rPr>
        <w:t>Vital features</w:t>
      </w:r>
      <w:r w:rsidRPr="00095C19">
        <w:rPr>
          <w:rFonts w:ascii="Times New Roman" w:hAnsi="Times New Roman" w:cs="Times New Roman"/>
        </w:rPr>
        <w:t xml:space="preserve">: aggregated from the interval </w:t>
      </w:r>
      <m:oMath>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6</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095C19">
        <w:rPr>
          <w:rFonts w:ascii="Times New Roman" w:hAnsi="Times New Roman" w:cs="Times New Roman"/>
        </w:rPr>
        <w:t xml:space="preserve"> using three statistics per sign: most recent value, linear trend (last value minus median of first half of window), and worst value (direction-appropriate: minimum for SpO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095C19">
        <w:rPr>
          <w:rFonts w:ascii="Times New Roman" w:hAnsi="Times New Roman" w:cs="Times New Roman"/>
        </w:rPr>
        <w:t xml:space="preserve"> and blood pressure, maximum for heart rate and respiratory rate).</w:t>
      </w:r>
    </w:p>
    <w:p w14:paraId="6765E9EB" w14:textId="77777777" w:rsidR="00C93AF5" w:rsidRPr="00095C19" w:rsidRDefault="00000000" w:rsidP="00095C19">
      <w:pPr>
        <w:numPr>
          <w:ilvl w:val="0"/>
          <w:numId w:val="2"/>
        </w:numPr>
        <w:jc w:val="both"/>
        <w:rPr>
          <w:rFonts w:ascii="Times New Roman" w:hAnsi="Times New Roman" w:cs="Times New Roman"/>
        </w:rPr>
      </w:pPr>
      <w:r w:rsidRPr="00095C19">
        <w:rPr>
          <w:rFonts w:ascii="Times New Roman" w:hAnsi="Times New Roman" w:cs="Times New Roman"/>
          <w:b/>
          <w:bCs/>
        </w:rPr>
        <w:t>Laboratory features</w:t>
      </w:r>
      <w:r w:rsidRPr="00095C19">
        <w:rPr>
          <w:rFonts w:ascii="Times New Roman" w:hAnsi="Times New Roman" w:cs="Times New Roman"/>
        </w:rPr>
        <w:t xml:space="preserve">: most recent value within </w:t>
      </w:r>
      <m:oMath>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24</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095C19">
        <w:rPr>
          <w:rFonts w:ascii="Times New Roman" w:hAnsi="Times New Roman" w:cs="Times New Roman"/>
        </w:rPr>
        <w:t>, reflecting the slower measurement cadence of blood tests.</w:t>
      </w:r>
    </w:p>
    <w:p w14:paraId="4BCBC173" w14:textId="77777777" w:rsidR="00C93AF5" w:rsidRPr="00095C19" w:rsidRDefault="00000000" w:rsidP="00095C19">
      <w:pPr>
        <w:numPr>
          <w:ilvl w:val="0"/>
          <w:numId w:val="2"/>
        </w:numPr>
        <w:jc w:val="both"/>
        <w:rPr>
          <w:rFonts w:ascii="Times New Roman" w:hAnsi="Times New Roman" w:cs="Times New Roman"/>
        </w:rPr>
      </w:pPr>
      <w:r w:rsidRPr="00095C19">
        <w:rPr>
          <w:rFonts w:ascii="Times New Roman" w:hAnsi="Times New Roman" w:cs="Times New Roman"/>
          <w:b/>
          <w:bCs/>
        </w:rPr>
        <w:t>Medication flags</w:t>
      </w:r>
      <w:r w:rsidRPr="00095C19">
        <w:rPr>
          <w:rFonts w:ascii="Times New Roman" w:hAnsi="Times New Roman" w:cs="Times New Roman"/>
        </w:rPr>
        <w:t xml:space="preserve">: binary indicator of whether each medication class was active at time </w:t>
      </w:r>
      <m:oMath>
        <m:r>
          <w:rPr>
            <w:rFonts w:ascii="Cambria Math" w:hAnsi="Cambria Math" w:cs="Times New Roman"/>
          </w:rPr>
          <m:t>t</m:t>
        </m:r>
      </m:oMath>
      <w:r w:rsidRPr="00095C19">
        <w:rPr>
          <w:rFonts w:ascii="Times New Roman" w:hAnsi="Times New Roman" w:cs="Times New Roman"/>
        </w:rPr>
        <w:t>.</w:t>
      </w:r>
    </w:p>
    <w:p w14:paraId="62C933E3" w14:textId="77777777" w:rsidR="00C93AF5" w:rsidRPr="00095C19" w:rsidRDefault="00000000" w:rsidP="00095C19">
      <w:pPr>
        <w:numPr>
          <w:ilvl w:val="0"/>
          <w:numId w:val="2"/>
        </w:numPr>
        <w:jc w:val="both"/>
        <w:rPr>
          <w:rFonts w:ascii="Times New Roman" w:hAnsi="Times New Roman" w:cs="Times New Roman"/>
        </w:rPr>
      </w:pPr>
      <w:r w:rsidRPr="00095C19">
        <w:rPr>
          <w:rFonts w:ascii="Times New Roman" w:hAnsi="Times New Roman" w:cs="Times New Roman"/>
          <w:b/>
          <w:bCs/>
        </w:rPr>
        <w:t>Missingness indicators</w:t>
      </w:r>
      <w:r w:rsidRPr="00095C19">
        <w:rPr>
          <w:rFonts w:ascii="Times New Roman" w:hAnsi="Times New Roman" w:cs="Times New Roman"/>
        </w:rPr>
        <w:t>: binary flag (1 = not measured) for each vital sign and laboratory variable, encoding test-ordering patterns as predictive features.</w:t>
      </w:r>
    </w:p>
    <w:p w14:paraId="5BD886DF" w14:textId="77777777" w:rsidR="00C93AF5" w:rsidRPr="00095C19" w:rsidRDefault="00000000" w:rsidP="00095C19">
      <w:pPr>
        <w:numPr>
          <w:ilvl w:val="0"/>
          <w:numId w:val="2"/>
        </w:numPr>
        <w:jc w:val="both"/>
        <w:rPr>
          <w:rFonts w:ascii="Times New Roman" w:hAnsi="Times New Roman" w:cs="Times New Roman"/>
        </w:rPr>
      </w:pPr>
      <w:r w:rsidRPr="00095C19">
        <w:rPr>
          <w:rFonts w:ascii="Times New Roman" w:hAnsi="Times New Roman" w:cs="Times New Roman"/>
          <w:b/>
          <w:bCs/>
        </w:rPr>
        <w:t>Temporal features</w:t>
      </w:r>
      <w:r w:rsidRPr="00095C19">
        <w:rPr>
          <w:rFonts w:ascii="Times New Roman" w:hAnsi="Times New Roman" w:cs="Times New Roman"/>
        </w:rPr>
        <w:t>: hours since admission and one-hot encoded admission type.</w:t>
      </w:r>
    </w:p>
    <w:p w14:paraId="1CBAF913"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Windows with no vital signs recorded were excluded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225</m:t>
        </m:r>
        <m:r>
          <m:rPr>
            <m:sty m:val="p"/>
          </m:rPr>
          <w:rPr>
            <w:rFonts w:ascii="Cambria Math" w:hAnsi="Cambria Math" w:cs="Times New Roman"/>
          </w:rPr>
          <m:t>,</m:t>
        </m:r>
        <m:r>
          <w:rPr>
            <w:rFonts w:ascii="Cambria Math" w:hAnsi="Cambria Math" w:cs="Times New Roman"/>
          </w:rPr>
          <m:t>957</m:t>
        </m:r>
      </m:oMath>
      <w:r w:rsidRPr="00095C19">
        <w:rPr>
          <w:rFonts w:ascii="Times New Roman" w:hAnsi="Times New Roman" w:cs="Times New Roman"/>
        </w:rPr>
        <w:t>; primarily windows outside ICU monitoring periods), yielding the analysis cohort of 1,334,773 windows.</w:t>
      </w:r>
    </w:p>
    <w:p w14:paraId="4BF1FC22" w14:textId="77777777" w:rsidR="00C93AF5" w:rsidRPr="00095C19" w:rsidRDefault="00000000" w:rsidP="00095C19">
      <w:pPr>
        <w:pStyle w:val="Heading2"/>
        <w:jc w:val="both"/>
        <w:rPr>
          <w:rFonts w:ascii="Times New Roman" w:hAnsi="Times New Roman" w:cs="Times New Roman"/>
          <w:sz w:val="24"/>
          <w:szCs w:val="24"/>
        </w:rPr>
      </w:pPr>
      <w:bookmarkStart w:id="14" w:name="outcome-definition"/>
      <w:bookmarkEnd w:id="13"/>
      <w:r w:rsidRPr="00095C19">
        <w:rPr>
          <w:rFonts w:ascii="Times New Roman" w:hAnsi="Times New Roman" w:cs="Times New Roman"/>
          <w:sz w:val="24"/>
          <w:szCs w:val="24"/>
        </w:rPr>
        <w:t>Outcome Definition</w:t>
      </w:r>
    </w:p>
    <w:p w14:paraId="1D6280F7"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 xml:space="preserve">The composite outcome was defined as occurrence of any of the following within 24 hours after window time </w:t>
      </w:r>
      <m:oMath>
        <m:r>
          <w:rPr>
            <w:rFonts w:ascii="Cambria Math" w:hAnsi="Cambria Math" w:cs="Times New Roman"/>
          </w:rPr>
          <m:t>t</m:t>
        </m:r>
      </m:oMath>
      <w:r w:rsidRPr="00095C19">
        <w:rPr>
          <w:rFonts w:ascii="Times New Roman" w:hAnsi="Times New Roman" w:cs="Times New Roman"/>
        </w:rPr>
        <w:t>:</w:t>
      </w:r>
    </w:p>
    <w:p w14:paraId="66FA4AAF" w14:textId="77777777" w:rsidR="00C93AF5" w:rsidRPr="00095C19" w:rsidRDefault="00000000" w:rsidP="00095C19">
      <w:pPr>
        <w:numPr>
          <w:ilvl w:val="0"/>
          <w:numId w:val="3"/>
        </w:numPr>
        <w:jc w:val="both"/>
        <w:rPr>
          <w:rFonts w:ascii="Times New Roman" w:hAnsi="Times New Roman" w:cs="Times New Roman"/>
        </w:rPr>
      </w:pPr>
      <w:r w:rsidRPr="00095C19">
        <w:rPr>
          <w:rFonts w:ascii="Times New Roman" w:hAnsi="Times New Roman" w:cs="Times New Roman"/>
        </w:rPr>
        <w:t xml:space="preserve">First ICU transfer during the admission (from MIMIC-IV </w:t>
      </w:r>
      <w:r w:rsidRPr="00095C19">
        <w:rPr>
          <w:rStyle w:val="VerbatimChar"/>
          <w:rFonts w:ascii="Times New Roman" w:hAnsi="Times New Roman" w:cs="Times New Roman"/>
          <w:sz w:val="24"/>
        </w:rPr>
        <w:t>icustays</w:t>
      </w:r>
      <w:r w:rsidRPr="00095C19">
        <w:rPr>
          <w:rFonts w:ascii="Times New Roman" w:hAnsi="Times New Roman" w:cs="Times New Roman"/>
        </w:rPr>
        <w:t xml:space="preserve"> table: </w:t>
      </w:r>
      <w:r w:rsidRPr="00095C19">
        <w:rPr>
          <w:rStyle w:val="VerbatimChar"/>
          <w:rFonts w:ascii="Times New Roman" w:hAnsi="Times New Roman" w:cs="Times New Roman"/>
          <w:sz w:val="24"/>
        </w:rPr>
        <w:t>intime</w:t>
      </w:r>
      <w:r w:rsidRPr="00095C19">
        <w:rPr>
          <w:rFonts w:ascii="Times New Roman" w:hAnsi="Times New Roman" w:cs="Times New Roman"/>
        </w:rPr>
        <w:t>).</w:t>
      </w:r>
    </w:p>
    <w:p w14:paraId="2B101C4D" w14:textId="77777777" w:rsidR="00C93AF5" w:rsidRPr="00095C19" w:rsidRDefault="00000000" w:rsidP="00095C19">
      <w:pPr>
        <w:numPr>
          <w:ilvl w:val="0"/>
          <w:numId w:val="3"/>
        </w:numPr>
        <w:jc w:val="both"/>
        <w:rPr>
          <w:rFonts w:ascii="Times New Roman" w:hAnsi="Times New Roman" w:cs="Times New Roman"/>
        </w:rPr>
      </w:pPr>
      <w:r w:rsidRPr="00095C19">
        <w:rPr>
          <w:rFonts w:ascii="Times New Roman" w:hAnsi="Times New Roman" w:cs="Times New Roman"/>
        </w:rPr>
        <w:t xml:space="preserve">Initiation of invasive mechanical ventilation (procedure event item IDs 224385, 225794 from </w:t>
      </w:r>
      <w:r w:rsidRPr="00095C19">
        <w:rPr>
          <w:rStyle w:val="VerbatimChar"/>
          <w:rFonts w:ascii="Times New Roman" w:hAnsi="Times New Roman" w:cs="Times New Roman"/>
          <w:sz w:val="24"/>
        </w:rPr>
        <w:t>procedureevents</w:t>
      </w:r>
      <w:r w:rsidRPr="00095C19">
        <w:rPr>
          <w:rFonts w:ascii="Times New Roman" w:hAnsi="Times New Roman" w:cs="Times New Roman"/>
        </w:rPr>
        <w:t>).</w:t>
      </w:r>
    </w:p>
    <w:p w14:paraId="241A9210" w14:textId="77777777" w:rsidR="00C93AF5" w:rsidRPr="00095C19" w:rsidRDefault="00000000" w:rsidP="00095C19">
      <w:pPr>
        <w:numPr>
          <w:ilvl w:val="0"/>
          <w:numId w:val="3"/>
        </w:numPr>
        <w:jc w:val="both"/>
        <w:rPr>
          <w:rFonts w:ascii="Times New Roman" w:hAnsi="Times New Roman" w:cs="Times New Roman"/>
        </w:rPr>
      </w:pPr>
      <w:r w:rsidRPr="00095C19">
        <w:rPr>
          <w:rFonts w:ascii="Times New Roman" w:hAnsi="Times New Roman" w:cs="Times New Roman"/>
        </w:rPr>
        <w:lastRenderedPageBreak/>
        <w:t>In-hospital mortality (</w:t>
      </w:r>
      <w:r w:rsidRPr="00095C19">
        <w:rPr>
          <w:rStyle w:val="VerbatimChar"/>
          <w:rFonts w:ascii="Times New Roman" w:hAnsi="Times New Roman" w:cs="Times New Roman"/>
          <w:sz w:val="24"/>
        </w:rPr>
        <w:t>hospital_expire_flag = 1</w:t>
      </w:r>
      <w:r w:rsidRPr="00095C19">
        <w:rPr>
          <w:rFonts w:ascii="Times New Roman" w:hAnsi="Times New Roman" w:cs="Times New Roman"/>
        </w:rPr>
        <w:t xml:space="preserve"> in </w:t>
      </w:r>
      <w:r w:rsidRPr="00095C19">
        <w:rPr>
          <w:rStyle w:val="VerbatimChar"/>
          <w:rFonts w:ascii="Times New Roman" w:hAnsi="Times New Roman" w:cs="Times New Roman"/>
          <w:sz w:val="24"/>
        </w:rPr>
        <w:t>admissions</w:t>
      </w:r>
      <w:r w:rsidRPr="00095C19">
        <w:rPr>
          <w:rFonts w:ascii="Times New Roman" w:hAnsi="Times New Roman" w:cs="Times New Roman"/>
        </w:rPr>
        <w:t>).</w:t>
      </w:r>
    </w:p>
    <w:p w14:paraId="2A622C5B"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 xml:space="preserve">Windows were labelled positive (1) if any of these events occurred within </w:t>
      </w:r>
      <m:oMath>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24</m:t>
        </m:r>
        <m:r>
          <w:rPr>
            <w:rFonts w:ascii="Cambria Math" w:hAnsi="Cambria Math" w:cs="Times New Roman"/>
          </w:rPr>
          <m:t>h</m:t>
        </m:r>
        <m:r>
          <m:rPr>
            <m:sty m:val="p"/>
          </m:rPr>
          <w:rPr>
            <w:rFonts w:ascii="Cambria Math" w:hAnsi="Cambria Math" w:cs="Times New Roman"/>
          </w:rPr>
          <m:t>]</m:t>
        </m:r>
      </m:oMath>
      <w:r w:rsidRPr="00095C19">
        <w:rPr>
          <w:rFonts w:ascii="Times New Roman" w:hAnsi="Times New Roman" w:cs="Times New Roman"/>
        </w:rPr>
        <w:t>, and negative (0) otherwise.</w:t>
      </w:r>
    </w:p>
    <w:p w14:paraId="134C6FE9" w14:textId="77777777" w:rsidR="00C93AF5" w:rsidRPr="00095C19" w:rsidRDefault="00000000" w:rsidP="00095C19">
      <w:pPr>
        <w:pStyle w:val="Heading2"/>
        <w:jc w:val="both"/>
        <w:rPr>
          <w:rFonts w:ascii="Times New Roman" w:hAnsi="Times New Roman" w:cs="Times New Roman"/>
          <w:sz w:val="24"/>
          <w:szCs w:val="24"/>
        </w:rPr>
      </w:pPr>
      <w:bookmarkStart w:id="15" w:name="news2-computation"/>
      <w:bookmarkEnd w:id="14"/>
      <w:r w:rsidRPr="00095C19">
        <w:rPr>
          <w:rFonts w:ascii="Times New Roman" w:hAnsi="Times New Roman" w:cs="Times New Roman"/>
          <w:sz w:val="24"/>
          <w:szCs w:val="24"/>
        </w:rPr>
        <w:t>NEWS2 Computation</w:t>
      </w:r>
    </w:p>
    <w:p w14:paraId="766DF0BE"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NEWS2 subscores were computed vectorially from aggregated vital signs following the Royal College of Physicians specification (Royal College of Physicians 2017): respiratory rate (0–3 points), SpO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095C19">
        <w:rPr>
          <w:rFonts w:ascii="Times New Roman" w:hAnsi="Times New Roman" w:cs="Times New Roman"/>
        </w:rPr>
        <w:t xml:space="preserve"> (0–3 points, Scale 1), systolic blood pressure (0–3 points), heart rate (0–3 points), temperature (0–3 points), and consciousness (3 points if GCS </w:t>
      </w:r>
      <m:oMath>
        <m:r>
          <m:rPr>
            <m:sty m:val="p"/>
          </m:rPr>
          <w:rPr>
            <w:rFonts w:ascii="Cambria Math" w:hAnsi="Cambria Math" w:cs="Times New Roman"/>
          </w:rPr>
          <m:t>&lt;</m:t>
        </m:r>
      </m:oMath>
      <w:r w:rsidRPr="00095C19">
        <w:rPr>
          <w:rFonts w:ascii="Times New Roman" w:hAnsi="Times New Roman" w:cs="Times New Roman"/>
        </w:rPr>
        <w:t>15, otherwise 0). Supplemental oxygen was not available as a structured chartevents item and was set to 0; this represents a minor underestimation of NEWS2 for patients on supplemental oxygen.</w:t>
      </w:r>
    </w:p>
    <w:p w14:paraId="72B9A494" w14:textId="77777777" w:rsidR="00C93AF5" w:rsidRPr="00095C19" w:rsidRDefault="00000000" w:rsidP="00095C19">
      <w:pPr>
        <w:pStyle w:val="Heading2"/>
        <w:jc w:val="both"/>
        <w:rPr>
          <w:rFonts w:ascii="Times New Roman" w:hAnsi="Times New Roman" w:cs="Times New Roman"/>
          <w:sz w:val="24"/>
          <w:szCs w:val="24"/>
        </w:rPr>
      </w:pPr>
      <w:bookmarkStart w:id="16" w:name="model-development"/>
      <w:bookmarkEnd w:id="15"/>
      <w:r w:rsidRPr="00095C19">
        <w:rPr>
          <w:rFonts w:ascii="Times New Roman" w:hAnsi="Times New Roman" w:cs="Times New Roman"/>
          <w:sz w:val="24"/>
          <w:szCs w:val="24"/>
        </w:rPr>
        <w:t>Model Development</w:t>
      </w:r>
    </w:p>
    <w:p w14:paraId="56EBAFD6" w14:textId="77777777" w:rsidR="00C93AF5" w:rsidRPr="00095C19" w:rsidRDefault="00000000" w:rsidP="00095C19">
      <w:pPr>
        <w:pStyle w:val="Heading4"/>
        <w:jc w:val="both"/>
        <w:rPr>
          <w:rFonts w:ascii="Times New Roman" w:hAnsi="Times New Roman" w:cs="Times New Roman"/>
        </w:rPr>
      </w:pPr>
      <w:bookmarkStart w:id="17" w:name="xgboost-configuration."/>
      <w:r w:rsidRPr="00095C19">
        <w:rPr>
          <w:rFonts w:ascii="Times New Roman" w:hAnsi="Times New Roman" w:cs="Times New Roman"/>
        </w:rPr>
        <w:t>XGBoost configuration.</w:t>
      </w:r>
    </w:p>
    <w:p w14:paraId="2AC57824"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 xml:space="preserve">An XGBoost gradient boosted tree classifier (Chen and Guestrin 2016) was trained with the following hyperparameters: 500 estimators; maximum tree depth 6; learning rate 0.05; minimum child weight 10 (regularisation against small leaf nodes for rare positive class); subsample fraction 0.8; column subsample fraction per tree 0.8; L1 regularisation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0.1</m:t>
        </m:r>
      </m:oMath>
      <w:r w:rsidRPr="00095C19">
        <w:rPr>
          <w:rFonts w:ascii="Times New Roman" w:hAnsi="Times New Roman" w:cs="Times New Roman"/>
        </w:rPr>
        <w:t xml:space="preserve">; L2 regularisation </w:t>
      </w:r>
      <m:oMath>
        <m:r>
          <w:rPr>
            <w:rFonts w:ascii="Cambria Math" w:hAnsi="Cambria Math" w:cs="Times New Roman"/>
          </w:rPr>
          <m:t>λ</m:t>
        </m:r>
        <m:r>
          <m:rPr>
            <m:sty m:val="p"/>
          </m:rPr>
          <w:rPr>
            <w:rFonts w:ascii="Cambria Math" w:hAnsi="Cambria Math" w:cs="Times New Roman"/>
          </w:rPr>
          <m:t>=</m:t>
        </m:r>
        <m:r>
          <w:rPr>
            <w:rFonts w:ascii="Cambria Math" w:hAnsi="Cambria Math" w:cs="Times New Roman"/>
          </w:rPr>
          <m:t>1.0</m:t>
        </m:r>
      </m:oMath>
      <w:r w:rsidRPr="00095C19">
        <w:rPr>
          <w:rFonts w:ascii="Times New Roman" w:hAnsi="Times New Roman" w:cs="Times New Roman"/>
        </w:rPr>
        <w:t xml:space="preserve">; early stopping patience 30 rounds; evaluation metric AUROC. The </w:t>
      </w:r>
      <w:r w:rsidRPr="00095C19">
        <w:rPr>
          <w:rStyle w:val="VerbatimChar"/>
          <w:rFonts w:ascii="Times New Roman" w:hAnsi="Times New Roman" w:cs="Times New Roman"/>
          <w:sz w:val="24"/>
        </w:rPr>
        <w:t>scale_pos_weight</w:t>
      </w:r>
      <w:r w:rsidRPr="00095C19">
        <w:rPr>
          <w:rFonts w:ascii="Times New Roman" w:hAnsi="Times New Roman" w:cs="Times New Roman"/>
        </w:rPr>
        <w:t xml:space="preserve"> parameter was set to the ratio of negative to positive training examples (</w:t>
      </w:r>
      <m:oMath>
        <m:r>
          <m:rPr>
            <m:sty m:val="p"/>
          </m:rPr>
          <w:rPr>
            <w:rFonts w:ascii="Cambria Math" w:hAnsi="Cambria Math" w:cs="Times New Roman"/>
          </w:rPr>
          <m:t>≈</m:t>
        </m:r>
      </m:oMath>
      <w:r w:rsidRPr="00095C19">
        <w:rPr>
          <w:rFonts w:ascii="Times New Roman" w:hAnsi="Times New Roman" w:cs="Times New Roman"/>
        </w:rPr>
        <w:t>49.9) to address class imbalance.</w:t>
      </w:r>
    </w:p>
    <w:p w14:paraId="749EB6EB" w14:textId="77777777" w:rsidR="00C93AF5" w:rsidRPr="00095C19" w:rsidRDefault="00000000" w:rsidP="00095C19">
      <w:pPr>
        <w:pStyle w:val="Heading4"/>
        <w:jc w:val="both"/>
        <w:rPr>
          <w:rFonts w:ascii="Times New Roman" w:hAnsi="Times New Roman" w:cs="Times New Roman"/>
        </w:rPr>
      </w:pPr>
      <w:bookmarkStart w:id="18" w:name="logistic-regression-baseline."/>
      <w:bookmarkEnd w:id="17"/>
      <w:r w:rsidRPr="00095C19">
        <w:rPr>
          <w:rFonts w:ascii="Times New Roman" w:hAnsi="Times New Roman" w:cs="Times New Roman"/>
        </w:rPr>
        <w:t>Logistic regression baseline.</w:t>
      </w:r>
    </w:p>
    <w:p w14:paraId="07DC5E45"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 xml:space="preserve">A </w:t>
      </w:r>
      <m:oMath>
        <m:sSub>
          <m:sSubPr>
            <m:ctrlPr>
              <w:rPr>
                <w:rFonts w:ascii="Cambria Math" w:hAnsi="Cambria Math" w:cs="Times New Roman"/>
              </w:rPr>
            </m:ctrlPr>
          </m:sSubPr>
          <m:e>
            <m:r>
              <m:rPr>
                <m:scr m:val="script"/>
              </m:rPr>
              <w:rPr>
                <w:rFonts w:ascii="Cambria Math" w:hAnsi="Cambria Math" w:cs="Times New Roman"/>
              </w:rPr>
              <m:t>l</m:t>
            </m:r>
          </m:e>
          <m:sub>
            <m:r>
              <w:rPr>
                <w:rFonts w:ascii="Cambria Math" w:hAnsi="Cambria Math" w:cs="Times New Roman"/>
              </w:rPr>
              <m:t>2</m:t>
            </m:r>
          </m:sub>
        </m:sSub>
      </m:oMath>
      <w:r w:rsidRPr="00095C19">
        <w:rPr>
          <w:rFonts w:ascii="Times New Roman" w:hAnsi="Times New Roman" w:cs="Times New Roman"/>
        </w:rPr>
        <w:t xml:space="preserve">-regularised logistic regression model (sklearn;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0.1</m:t>
        </m:r>
      </m:oMath>
      <w:r w:rsidRPr="00095C19">
        <w:rPr>
          <w:rFonts w:ascii="Times New Roman" w:hAnsi="Times New Roman" w:cs="Times New Roman"/>
        </w:rPr>
        <w:t xml:space="preserve">; </w:t>
      </w:r>
      <w:r w:rsidRPr="00095C19">
        <w:rPr>
          <w:rStyle w:val="VerbatimChar"/>
          <w:rFonts w:ascii="Times New Roman" w:hAnsi="Times New Roman" w:cs="Times New Roman"/>
          <w:sz w:val="24"/>
        </w:rPr>
        <w:t>liblinear</w:t>
      </w:r>
      <w:r w:rsidRPr="00095C19">
        <w:rPr>
          <w:rFonts w:ascii="Times New Roman" w:hAnsi="Times New Roman" w:cs="Times New Roman"/>
        </w:rPr>
        <w:t xml:space="preserve"> solver; maximum 1,000 iterations) with standard scaling was trained on the same folds as a linear baseline.</w:t>
      </w:r>
    </w:p>
    <w:p w14:paraId="2C192B26" w14:textId="77777777" w:rsidR="00C93AF5" w:rsidRPr="00095C19" w:rsidRDefault="00000000" w:rsidP="00095C19">
      <w:pPr>
        <w:pStyle w:val="Heading4"/>
        <w:jc w:val="both"/>
        <w:rPr>
          <w:rFonts w:ascii="Times New Roman" w:hAnsi="Times New Roman" w:cs="Times New Roman"/>
        </w:rPr>
      </w:pPr>
      <w:bookmarkStart w:id="19" w:name="cross-validation."/>
      <w:bookmarkEnd w:id="18"/>
      <w:r w:rsidRPr="00095C19">
        <w:rPr>
          <w:rFonts w:ascii="Times New Roman" w:hAnsi="Times New Roman" w:cs="Times New Roman"/>
        </w:rPr>
        <w:t>Cross-validation.</w:t>
      </w:r>
    </w:p>
    <w:p w14:paraId="5C991F7A"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 xml:space="preserve">Five-fold GroupKFold cross-validation was applied, grouping by </w:t>
      </w:r>
      <w:r w:rsidRPr="00095C19">
        <w:rPr>
          <w:rStyle w:val="VerbatimChar"/>
          <w:rFonts w:ascii="Times New Roman" w:hAnsi="Times New Roman" w:cs="Times New Roman"/>
          <w:sz w:val="24"/>
        </w:rPr>
        <w:t>hadm_id</w:t>
      </w:r>
      <w:r w:rsidRPr="00095C19">
        <w:rPr>
          <w:rFonts w:ascii="Times New Roman" w:hAnsi="Times New Roman" w:cs="Times New Roman"/>
        </w:rPr>
        <w:t xml:space="preserve"> (hospital admission identifier). This ensures that all observation windows from a single admission appear exclusively in either the training or test fold, preventing information leakage from correlated repeated measurements. All reported metrics are computed on pooled out-of-fold predictions.</w:t>
      </w:r>
    </w:p>
    <w:p w14:paraId="795980E1" w14:textId="77777777" w:rsidR="00C93AF5" w:rsidRPr="00095C19" w:rsidRDefault="00000000" w:rsidP="00095C19">
      <w:pPr>
        <w:pStyle w:val="Heading4"/>
        <w:jc w:val="both"/>
        <w:rPr>
          <w:rFonts w:ascii="Times New Roman" w:hAnsi="Times New Roman" w:cs="Times New Roman"/>
        </w:rPr>
      </w:pPr>
      <w:bookmarkStart w:id="20" w:name="calibration."/>
      <w:bookmarkEnd w:id="19"/>
      <w:r w:rsidRPr="00095C19">
        <w:rPr>
          <w:rFonts w:ascii="Times New Roman" w:hAnsi="Times New Roman" w:cs="Times New Roman"/>
        </w:rPr>
        <w:t>Calibration.</w:t>
      </w:r>
    </w:p>
    <w:p w14:paraId="79B237B6"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 xml:space="preserve">Post-hoc probability calibration was applied to XGBoost using sklearn’s </w:t>
      </w:r>
      <w:r w:rsidRPr="00095C19">
        <w:rPr>
          <w:rStyle w:val="VerbatimChar"/>
          <w:rFonts w:ascii="Times New Roman" w:hAnsi="Times New Roman" w:cs="Times New Roman"/>
          <w:sz w:val="24"/>
        </w:rPr>
        <w:t>CalibratedClassifierCV</w:t>
      </w:r>
      <w:r w:rsidRPr="00095C19">
        <w:rPr>
          <w:rFonts w:ascii="Times New Roman" w:hAnsi="Times New Roman" w:cs="Times New Roman"/>
        </w:rPr>
        <w:t xml:space="preserve"> with </w:t>
      </w:r>
      <w:r w:rsidRPr="00095C19">
        <w:rPr>
          <w:rStyle w:val="VerbatimChar"/>
          <w:rFonts w:ascii="Times New Roman" w:hAnsi="Times New Roman" w:cs="Times New Roman"/>
          <w:sz w:val="24"/>
        </w:rPr>
        <w:t>cv="prefit"</w:t>
      </w:r>
      <w:r w:rsidRPr="00095C19">
        <w:rPr>
          <w:rFonts w:ascii="Times New Roman" w:hAnsi="Times New Roman" w:cs="Times New Roman"/>
        </w:rPr>
        <w:t xml:space="preserve"> and isotonic regression method, fitted on a held-out calibration subset within each fold.</w:t>
      </w:r>
    </w:p>
    <w:p w14:paraId="45104A9C" w14:textId="77777777" w:rsidR="00C93AF5" w:rsidRPr="00095C19" w:rsidRDefault="00000000" w:rsidP="00095C19">
      <w:pPr>
        <w:pStyle w:val="Heading2"/>
        <w:jc w:val="both"/>
        <w:rPr>
          <w:rFonts w:ascii="Times New Roman" w:hAnsi="Times New Roman" w:cs="Times New Roman"/>
          <w:sz w:val="24"/>
          <w:szCs w:val="24"/>
        </w:rPr>
      </w:pPr>
      <w:bookmarkStart w:id="21" w:name="statistical-analysis"/>
      <w:bookmarkEnd w:id="16"/>
      <w:bookmarkEnd w:id="20"/>
      <w:r w:rsidRPr="00095C19">
        <w:rPr>
          <w:rFonts w:ascii="Times New Roman" w:hAnsi="Times New Roman" w:cs="Times New Roman"/>
          <w:sz w:val="24"/>
          <w:szCs w:val="24"/>
        </w:rPr>
        <w:t>Statistical Analysis</w:t>
      </w:r>
    </w:p>
    <w:p w14:paraId="1D0B2880"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 xml:space="preserve">AUROC and its 95% confidence intervals were estimated using 2000 stratified bootstrap resamples (seed 42; replacement sampling; strata defined by outcome label). The DeLong test for AUROC comparison (DeLong et al. 1988) was implemented using the Mann-Whitney U kernel variance formulation. AUPRC was computed using the trapezoidal rule from sklearn’s </w:t>
      </w:r>
      <w:r w:rsidRPr="00095C19">
        <w:rPr>
          <w:rStyle w:val="VerbatimChar"/>
          <w:rFonts w:ascii="Times New Roman" w:hAnsi="Times New Roman" w:cs="Times New Roman"/>
          <w:sz w:val="24"/>
        </w:rPr>
        <w:t>average_precision_score</w:t>
      </w:r>
      <w:r w:rsidRPr="00095C19">
        <w:rPr>
          <w:rFonts w:ascii="Times New Roman" w:hAnsi="Times New Roman" w:cs="Times New Roman"/>
        </w:rPr>
        <w:t xml:space="preserve">. The Brier score was computed as the mean squared error between predicted probabilities and binary outcomes. Sensitivity, specificity, PPV, and NPV were computed at a fixed threshold chosen to achieve 90% sensitivity on the pooled out-of-fold </w:t>
      </w:r>
      <w:r w:rsidRPr="00095C19">
        <w:rPr>
          <w:rFonts w:ascii="Times New Roman" w:hAnsi="Times New Roman" w:cs="Times New Roman"/>
        </w:rPr>
        <w:lastRenderedPageBreak/>
        <w:t xml:space="preserve">predictions. Decision curve analysis was performed using the standard net benefit formulation (Vickers and Elkin 2006): </w:t>
      </w:r>
      <m:oMath>
        <m:r>
          <m:rPr>
            <m:nor/>
          </m:rPr>
          <w:rPr>
            <w:rFonts w:ascii="Times New Roman" w:hAnsi="Times New Roman" w:cs="Times New Roman"/>
          </w:rPr>
          <m:t>NB</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m:rPr>
            <m:nor/>
          </m:rPr>
          <w:rPr>
            <w:rFonts w:ascii="Times New Roman" w:hAnsi="Times New Roman" w:cs="Times New Roman"/>
          </w:rPr>
          <m:t>TP</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m:rPr>
            <m:nor/>
          </m:rPr>
          <w:rPr>
            <w:rFonts w:ascii="Times New Roman" w:hAnsi="Times New Roman" w:cs="Times New Roman"/>
          </w:rPr>
          <m:t>FP</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095C19">
        <w:rPr>
          <w:rFonts w:ascii="Times New Roman" w:hAnsi="Times New Roman" w:cs="Times New Roman"/>
        </w:rPr>
        <w:t xml:space="preserve">, where </w:t>
      </w:r>
      <m:oMath>
        <m:r>
          <w:rPr>
            <w:rFonts w:ascii="Cambria Math" w:hAnsi="Cambria Math" w:cs="Times New Roman"/>
          </w:rPr>
          <m:t>t</m:t>
        </m:r>
      </m:oMath>
      <w:r w:rsidRPr="00095C19">
        <w:rPr>
          <w:rFonts w:ascii="Times New Roman" w:hAnsi="Times New Roman" w:cs="Times New Roman"/>
        </w:rPr>
        <w:t xml:space="preserve"> is the decision threshold probability and </w:t>
      </w:r>
      <m:oMath>
        <m:r>
          <w:rPr>
            <w:rFonts w:ascii="Cambria Math" w:hAnsi="Cambria Math" w:cs="Times New Roman"/>
          </w:rPr>
          <m:t>n</m:t>
        </m:r>
      </m:oMath>
      <w:r w:rsidRPr="00095C19">
        <w:rPr>
          <w:rFonts w:ascii="Times New Roman" w:hAnsi="Times New Roman" w:cs="Times New Roman"/>
        </w:rPr>
        <w:t xml:space="preserve"> is the total number of observation windows. Prior to DCA, XGBoost predictions were calibrated using isotonic regression and NEWS2 raw scores were calibrated using Platt scaling (logistic regression), ensuring the threshold axis reflects actual event probabilities. The treat-all comparator was computed as </w:t>
      </w:r>
      <m:oMath>
        <m:sSub>
          <m:sSubPr>
            <m:ctrlPr>
              <w:rPr>
                <w:rFonts w:ascii="Cambria Math" w:hAnsi="Cambria Math" w:cs="Times New Roman"/>
              </w:rPr>
            </m:ctrlPr>
          </m:sSubPr>
          <m:e>
            <m:r>
              <m:rPr>
                <m:nor/>
              </m:rPr>
              <w:rPr>
                <w:rFonts w:ascii="Times New Roman" w:hAnsi="Times New Roman" w:cs="Times New Roman"/>
              </w:rPr>
              <m:t>NB</m:t>
            </m:r>
          </m:e>
          <m:sub>
            <m:r>
              <m:rPr>
                <m:nor/>
              </m:rPr>
              <w:rPr>
                <w:rFonts w:ascii="Times New Roman" w:hAnsi="Times New Roman" w:cs="Times New Roman"/>
              </w:rPr>
              <m:t>all</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m:rPr>
            <m:nor/>
          </m:rPr>
          <w:rPr>
            <w:rFonts w:ascii="Times New Roman" w:hAnsi="Times New Roman" w:cs="Times New Roman"/>
          </w:rPr>
          <m:t>prevalence</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m:rPr>
            <m:nor/>
          </m:rPr>
          <w:rPr>
            <w:rFonts w:ascii="Times New Roman" w:hAnsi="Times New Roman" w:cs="Times New Roman"/>
          </w:rPr>
          <m:t>prevalence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095C19">
        <w:rPr>
          <w:rFonts w:ascii="Times New Roman" w:hAnsi="Times New Roman" w:cs="Times New Roman"/>
        </w:rPr>
        <w:t>.</w:t>
      </w:r>
    </w:p>
    <w:p w14:paraId="501D8A92" w14:textId="77777777" w:rsidR="00C93AF5" w:rsidRPr="00095C19" w:rsidRDefault="00000000" w:rsidP="00095C19">
      <w:pPr>
        <w:pStyle w:val="Heading2"/>
        <w:jc w:val="both"/>
        <w:rPr>
          <w:rFonts w:ascii="Times New Roman" w:hAnsi="Times New Roman" w:cs="Times New Roman"/>
          <w:sz w:val="24"/>
          <w:szCs w:val="24"/>
        </w:rPr>
      </w:pPr>
      <w:bookmarkStart w:id="22" w:name="feature-importance"/>
      <w:bookmarkEnd w:id="21"/>
      <w:r w:rsidRPr="00095C19">
        <w:rPr>
          <w:rFonts w:ascii="Times New Roman" w:hAnsi="Times New Roman" w:cs="Times New Roman"/>
          <w:sz w:val="24"/>
          <w:szCs w:val="24"/>
        </w:rPr>
        <w:t>Feature Importance</w:t>
      </w:r>
    </w:p>
    <w:p w14:paraId="1859D53D"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 xml:space="preserve">Global feature importance was quantified using XGBoost’s gain metric (total reduction in cross-entropy loss attributable to splits on each feature, averaged across all trees and normalised to sum to 1). SHAP values for individual patient explanations were computed at inference time using SHAP’s </w:t>
      </w:r>
      <w:r w:rsidRPr="00095C19">
        <w:rPr>
          <w:rStyle w:val="VerbatimChar"/>
          <w:rFonts w:ascii="Times New Roman" w:hAnsi="Times New Roman" w:cs="Times New Roman"/>
          <w:sz w:val="24"/>
        </w:rPr>
        <w:t>TreeExplainer</w:t>
      </w:r>
      <w:r w:rsidRPr="00095C19">
        <w:rPr>
          <w:rFonts w:ascii="Times New Roman" w:hAnsi="Times New Roman" w:cs="Times New Roman"/>
        </w:rPr>
        <w:t> (Lundberg and Lee 2017), providing exact Shapley additive explanations for each prediction.</w:t>
      </w:r>
    </w:p>
    <w:p w14:paraId="4956429A" w14:textId="77777777" w:rsidR="00C93AF5" w:rsidRPr="00095C19" w:rsidRDefault="00000000" w:rsidP="00095C19">
      <w:pPr>
        <w:pStyle w:val="Heading2"/>
        <w:jc w:val="both"/>
        <w:rPr>
          <w:rFonts w:ascii="Times New Roman" w:hAnsi="Times New Roman" w:cs="Times New Roman"/>
          <w:sz w:val="24"/>
          <w:szCs w:val="24"/>
        </w:rPr>
      </w:pPr>
      <w:bookmarkStart w:id="23" w:name="system-implementation"/>
      <w:bookmarkEnd w:id="22"/>
      <w:r w:rsidRPr="00095C19">
        <w:rPr>
          <w:rFonts w:ascii="Times New Roman" w:hAnsi="Times New Roman" w:cs="Times New Roman"/>
          <w:sz w:val="24"/>
          <w:szCs w:val="24"/>
        </w:rPr>
        <w:t>System Implementation</w:t>
      </w:r>
    </w:p>
    <w:p w14:paraId="0D45E5B1"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 xml:space="preserve">The bssentinel inference server was implemented in Python using the FastAPI framework (Ramírez 2018) (version </w:t>
      </w:r>
      <m:oMath>
        <m:r>
          <m:rPr>
            <m:sty m:val="p"/>
          </m:rPr>
          <w:rPr>
            <w:rFonts w:ascii="Cambria Math" w:hAnsi="Cambria Math" w:cs="Times New Roman"/>
          </w:rPr>
          <m:t>≥</m:t>
        </m:r>
      </m:oMath>
      <w:r w:rsidRPr="00095C19">
        <w:rPr>
          <w:rFonts w:ascii="Times New Roman" w:hAnsi="Times New Roman" w:cs="Times New Roman"/>
        </w:rPr>
        <w:t xml:space="preserve">0.111) served by Uvicorn with asynchronous request handling. The frontend was implemented in React 19 (Vite build system) as a single-page application. Models are serialised using Python’s </w:t>
      </w:r>
      <w:r w:rsidRPr="00095C19">
        <w:rPr>
          <w:rStyle w:val="VerbatimChar"/>
          <w:rFonts w:ascii="Times New Roman" w:hAnsi="Times New Roman" w:cs="Times New Roman"/>
          <w:sz w:val="24"/>
        </w:rPr>
        <w:t>pickle</w:t>
      </w:r>
      <w:r w:rsidRPr="00095C19">
        <w:rPr>
          <w:rFonts w:ascii="Times New Roman" w:hAnsi="Times New Roman" w:cs="Times New Roman"/>
        </w:rPr>
        <w:t xml:space="preserve"> module and loaded at server startup. The full system is deployable on a standard Linux server or cloud virtual machine with Python </w:t>
      </w:r>
      <m:oMath>
        <m:r>
          <m:rPr>
            <m:sty m:val="p"/>
          </m:rPr>
          <w:rPr>
            <w:rFonts w:ascii="Cambria Math" w:hAnsi="Cambria Math" w:cs="Times New Roman"/>
          </w:rPr>
          <m:t>≥</m:t>
        </m:r>
      </m:oMath>
      <w:r w:rsidRPr="00095C19">
        <w:rPr>
          <w:rFonts w:ascii="Times New Roman" w:hAnsi="Times New Roman" w:cs="Times New Roman"/>
        </w:rPr>
        <w:t xml:space="preserve">3.10 and Node.js </w:t>
      </w:r>
      <m:oMath>
        <m:r>
          <m:rPr>
            <m:sty m:val="p"/>
          </m:rPr>
          <w:rPr>
            <w:rFonts w:ascii="Cambria Math" w:hAnsi="Cambria Math" w:cs="Times New Roman"/>
          </w:rPr>
          <m:t>≥</m:t>
        </m:r>
      </m:oMath>
      <w:r w:rsidRPr="00095C19">
        <w:rPr>
          <w:rFonts w:ascii="Times New Roman" w:hAnsi="Times New Roman" w:cs="Times New Roman"/>
        </w:rPr>
        <w:t>18.</w:t>
      </w:r>
    </w:p>
    <w:p w14:paraId="4D895F50" w14:textId="77777777" w:rsidR="00C93AF5" w:rsidRPr="00095C19" w:rsidRDefault="00000000" w:rsidP="00095C19">
      <w:pPr>
        <w:pStyle w:val="Heading2"/>
        <w:jc w:val="both"/>
        <w:rPr>
          <w:rFonts w:ascii="Times New Roman" w:hAnsi="Times New Roman" w:cs="Times New Roman"/>
          <w:sz w:val="24"/>
          <w:szCs w:val="24"/>
        </w:rPr>
      </w:pPr>
      <w:bookmarkStart w:id="24" w:name="code-and-data-availability"/>
      <w:bookmarkEnd w:id="23"/>
      <w:r w:rsidRPr="00095C19">
        <w:rPr>
          <w:rFonts w:ascii="Times New Roman" w:hAnsi="Times New Roman" w:cs="Times New Roman"/>
          <w:sz w:val="24"/>
          <w:szCs w:val="24"/>
        </w:rPr>
        <w:t>Code and Data Availability</w:t>
      </w:r>
    </w:p>
    <w:p w14:paraId="2A1A59C1"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 xml:space="preserve">MIMIC-IV is available at </w:t>
      </w:r>
      <w:hyperlink r:id="rId5">
        <w:r w:rsidR="00C93AF5" w:rsidRPr="00095C19">
          <w:rPr>
            <w:rStyle w:val="Hyperlink"/>
            <w:rFonts w:ascii="Times New Roman" w:hAnsi="Times New Roman" w:cs="Times New Roman"/>
          </w:rPr>
          <w:t>https://physionet.org/content/mimiciv/</w:t>
        </w:r>
      </w:hyperlink>
      <w:r w:rsidRPr="00095C19">
        <w:rPr>
          <w:rFonts w:ascii="Times New Roman" w:hAnsi="Times New Roman" w:cs="Times New Roman"/>
        </w:rPr>
        <w:t xml:space="preserve"> subject to completion of the PhysioNet credentialing process. The bssentinel source code, including training pipeline, inference server, and frontend, is developed by Boring Science LLC. Model artefacts (weights, feature column lists, and evaluation outputs) are available upon reasonable request to the corresponding author.</w:t>
      </w:r>
    </w:p>
    <w:p w14:paraId="4FF204D9" w14:textId="77777777" w:rsidR="00C93AF5" w:rsidRPr="00095C19" w:rsidRDefault="00000000" w:rsidP="00095C19">
      <w:pPr>
        <w:pStyle w:val="Heading1"/>
        <w:jc w:val="both"/>
        <w:rPr>
          <w:rFonts w:ascii="Times New Roman" w:hAnsi="Times New Roman" w:cs="Times New Roman"/>
          <w:sz w:val="24"/>
          <w:szCs w:val="24"/>
        </w:rPr>
      </w:pPr>
      <w:bookmarkStart w:id="25" w:name="acknowledgements"/>
      <w:bookmarkEnd w:id="10"/>
      <w:bookmarkEnd w:id="24"/>
      <w:r w:rsidRPr="00095C19">
        <w:rPr>
          <w:rFonts w:ascii="Times New Roman" w:hAnsi="Times New Roman" w:cs="Times New Roman"/>
          <w:sz w:val="24"/>
          <w:szCs w:val="24"/>
        </w:rPr>
        <w:t>Acknowledgements</w:t>
      </w:r>
    </w:p>
    <w:p w14:paraId="12B0DA77" w14:textId="77777777"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The authors thank the MIMIC-IV data contributors and the PhysioNet team for maintaining open access to critical care data. No external funding was received for this work.</w:t>
      </w:r>
    </w:p>
    <w:p w14:paraId="25B9D4B5" w14:textId="77777777" w:rsidR="00C93AF5" w:rsidRPr="00095C19" w:rsidRDefault="00000000" w:rsidP="00095C19">
      <w:pPr>
        <w:pStyle w:val="Heading1"/>
        <w:jc w:val="both"/>
        <w:rPr>
          <w:rFonts w:ascii="Times New Roman" w:hAnsi="Times New Roman" w:cs="Times New Roman"/>
          <w:sz w:val="24"/>
          <w:szCs w:val="24"/>
        </w:rPr>
      </w:pPr>
      <w:bookmarkStart w:id="26" w:name="author-contributions"/>
      <w:bookmarkEnd w:id="25"/>
      <w:r w:rsidRPr="00095C19">
        <w:rPr>
          <w:rFonts w:ascii="Times New Roman" w:hAnsi="Times New Roman" w:cs="Times New Roman"/>
          <w:sz w:val="24"/>
          <w:szCs w:val="24"/>
        </w:rPr>
        <w:t>Author Contributions</w:t>
      </w:r>
    </w:p>
    <w:p w14:paraId="6521F68C" w14:textId="0A1E1E35" w:rsidR="00C93AF5" w:rsidRPr="00095C19" w:rsidRDefault="00000000" w:rsidP="00095C19">
      <w:pPr>
        <w:pStyle w:val="FirstParagraph"/>
        <w:jc w:val="both"/>
        <w:rPr>
          <w:rFonts w:ascii="Times New Roman" w:hAnsi="Times New Roman" w:cs="Times New Roman"/>
        </w:rPr>
      </w:pPr>
      <w:r w:rsidRPr="00095C19">
        <w:rPr>
          <w:rFonts w:ascii="Times New Roman" w:hAnsi="Times New Roman" w:cs="Times New Roman"/>
        </w:rPr>
        <w:t>S.J. and P.K.P. designed the study and developed the machine learning pipeline. S.M.</w:t>
      </w:r>
      <w:r w:rsidR="00110B24">
        <w:rPr>
          <w:rFonts w:ascii="Times New Roman" w:hAnsi="Times New Roman" w:cs="Times New Roman"/>
        </w:rPr>
        <w:t xml:space="preserve"> and P.K.P</w:t>
      </w:r>
      <w:r w:rsidRPr="00095C19">
        <w:rPr>
          <w:rFonts w:ascii="Times New Roman" w:hAnsi="Times New Roman" w:cs="Times New Roman"/>
        </w:rPr>
        <w:t xml:space="preserve"> developed the server architecture and React frontend application. S.J. led statistical analysis and drafted the manuscript. All authors contributed to critical revision of the manuscript and approved the final version.</w:t>
      </w:r>
    </w:p>
    <w:p w14:paraId="62FC4E0C" w14:textId="77777777" w:rsidR="00C93AF5" w:rsidRPr="00095C19" w:rsidRDefault="00000000" w:rsidP="00095C19">
      <w:pPr>
        <w:pStyle w:val="Heading1"/>
        <w:jc w:val="both"/>
        <w:rPr>
          <w:rFonts w:ascii="Times New Roman" w:hAnsi="Times New Roman" w:cs="Times New Roman"/>
          <w:sz w:val="24"/>
          <w:szCs w:val="24"/>
        </w:rPr>
      </w:pPr>
      <w:bookmarkStart w:id="27" w:name="competing-interests"/>
      <w:bookmarkEnd w:id="26"/>
      <w:r w:rsidRPr="00095C19">
        <w:rPr>
          <w:rFonts w:ascii="Times New Roman" w:hAnsi="Times New Roman" w:cs="Times New Roman"/>
          <w:sz w:val="24"/>
          <w:szCs w:val="24"/>
        </w:rPr>
        <w:t>Competing Interests</w:t>
      </w:r>
    </w:p>
    <w:p w14:paraId="044AFF80" w14:textId="2FAD8374" w:rsidR="00C93AF5" w:rsidRPr="00095C19" w:rsidRDefault="00110B24" w:rsidP="00095C19">
      <w:pPr>
        <w:pStyle w:val="FirstParagraph"/>
        <w:jc w:val="both"/>
        <w:rPr>
          <w:rFonts w:ascii="Times New Roman" w:hAnsi="Times New Roman" w:cs="Times New Roman"/>
        </w:rPr>
      </w:pPr>
      <w:r>
        <w:rPr>
          <w:rFonts w:ascii="Times New Roman" w:hAnsi="Times New Roman" w:cs="Times New Roman"/>
        </w:rPr>
        <w:t>S.M. and S.J.</w:t>
      </w:r>
      <w:r w:rsidRPr="00095C19">
        <w:rPr>
          <w:rFonts w:ascii="Times New Roman" w:hAnsi="Times New Roman" w:cs="Times New Roman"/>
        </w:rPr>
        <w:t xml:space="preserve"> are co-founders of Boring Science LLC, which develops the bssentinel system described in this article. The authors declare no other competing interests.</w:t>
      </w:r>
    </w:p>
    <w:p w14:paraId="4C387C82" w14:textId="6DE3C2CD" w:rsidR="00C93AF5" w:rsidRDefault="001A62ED">
      <w:pPr>
        <w:pStyle w:val="CaptionedFigure"/>
      </w:pPr>
      <w:bookmarkStart w:id="28" w:name="fig:study_design"/>
      <w:r>
        <w:rPr>
          <w:noProof/>
        </w:rPr>
        <w:lastRenderedPageBreak/>
        <w:drawing>
          <wp:inline distT="0" distB="0" distL="0" distR="0" wp14:anchorId="55B533A6" wp14:editId="3E238DD8">
            <wp:extent cx="5943600" cy="3343275"/>
            <wp:effectExtent l="0" t="0" r="0" b="0"/>
            <wp:docPr id="576680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80238" name="Picture 5766802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rPr>
        <mc:AlternateContent>
          <mc:Choice Requires="wps">
            <w:drawing>
              <wp:anchor distT="0" distB="0" distL="114300" distR="114300" simplePos="0" relativeHeight="251659264" behindDoc="0" locked="0" layoutInCell="1" allowOverlap="1" wp14:anchorId="7ABA3481" wp14:editId="0855FBE7">
                <wp:simplePos x="0" y="0"/>
                <wp:positionH relativeFrom="column">
                  <wp:posOffset>-46721</wp:posOffset>
                </wp:positionH>
                <wp:positionV relativeFrom="paragraph">
                  <wp:posOffset>46721</wp:posOffset>
                </wp:positionV>
                <wp:extent cx="86768" cy="246955"/>
                <wp:effectExtent l="0" t="0" r="2540" b="0"/>
                <wp:wrapNone/>
                <wp:docPr id="1089914555" name="Rectangle 1"/>
                <wp:cNvGraphicFramePr/>
                <a:graphic xmlns:a="http://schemas.openxmlformats.org/drawingml/2006/main">
                  <a:graphicData uri="http://schemas.microsoft.com/office/word/2010/wordprocessingShape">
                    <wps:wsp>
                      <wps:cNvSpPr/>
                      <wps:spPr>
                        <a:xfrm>
                          <a:off x="0" y="0"/>
                          <a:ext cx="86768" cy="24695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714E46" id="Rectangle 1" o:spid="_x0000_s1026" style="position:absolute;margin-left:-3.7pt;margin-top:3.7pt;width:6.85pt;height:19.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" fillcolor="white [3212]" stroked="f" strokeweight="1pt"/>
            </w:pict>
          </mc:Fallback>
        </mc:AlternateContent>
      </w:r>
    </w:p>
    <w:p w14:paraId="2E0D6B1B" w14:textId="77777777" w:rsidR="00C93AF5" w:rsidRPr="00565B89" w:rsidRDefault="00000000" w:rsidP="00565B89">
      <w:pPr>
        <w:pStyle w:val="ImageCaption"/>
        <w:jc w:val="both"/>
        <w:rPr>
          <w:rFonts w:ascii="Times New Roman" w:hAnsi="Times New Roman" w:cs="Times New Roman"/>
        </w:rPr>
      </w:pPr>
      <w:r w:rsidRPr="00565B89">
        <w:rPr>
          <w:rFonts w:ascii="Times New Roman" w:hAnsi="Times New Roman" w:cs="Times New Roman"/>
          <w:b/>
          <w:bCs/>
        </w:rPr>
        <w:t>bssentinel study design and system overview.</w:t>
      </w:r>
      <w:r w:rsidRPr="00565B89">
        <w:rPr>
          <w:rFonts w:ascii="Times New Roman" w:hAnsi="Times New Roman" w:cs="Times New Roman"/>
        </w:rPr>
        <w:t xml:space="preserve"> </w:t>
      </w:r>
      <w:r w:rsidRPr="00565B89">
        <w:rPr>
          <w:rFonts w:ascii="Times New Roman" w:hAnsi="Times New Roman" w:cs="Times New Roman"/>
          <w:b/>
          <w:bCs/>
        </w:rPr>
        <w:t>(A)</w:t>
      </w:r>
      <w:r w:rsidRPr="00565B89">
        <w:rPr>
          <w:rFonts w:ascii="Times New Roman" w:hAnsi="Times New Roman" w:cs="Times New Roman"/>
        </w:rPr>
        <w:t xml:space="preserve"> Patient monitoring architecture. For each hospitalised patient, a 6-hourly observation window aggregates the preceding 6 hours of vital signs (most recent value, trend, worst value) and the preceding 24 hours of laboratory results. The window is labelled positive if a composite deterioration event (ICU transfer, mechanical ventilation, or in-hospital mortality) occurs within the following 24 hours. Filled orange circles indicate windows at which the model risk score exceeds the recommended threshold (0.31), constituting an alert; the star marks the actual deterioration event. The orange double-headed arrow illustrates the early warning lead time. </w:t>
      </w:r>
      <w:r w:rsidRPr="00565B89">
        <w:rPr>
          <w:rFonts w:ascii="Times New Roman" w:hAnsi="Times New Roman" w:cs="Times New Roman"/>
          <w:b/>
          <w:bCs/>
        </w:rPr>
        <w:t>(B)</w:t>
      </w:r>
      <w:r w:rsidRPr="00565B89">
        <w:rPr>
          <w:rFonts w:ascii="Times New Roman" w:hAnsi="Times New Roman" w:cs="Times New Roman"/>
        </w:rPr>
        <w:t xml:space="preserve"> Feature categories comprising the 83-variable input representation. </w:t>
      </w:r>
      <w:r w:rsidRPr="00565B89">
        <w:rPr>
          <w:rFonts w:ascii="Times New Roman" w:hAnsi="Times New Roman" w:cs="Times New Roman"/>
          <w:b/>
          <w:bCs/>
        </w:rPr>
        <w:t>(C)</w:t>
      </w:r>
      <w:r w:rsidRPr="00565B89">
        <w:rPr>
          <w:rFonts w:ascii="Times New Roman" w:hAnsi="Times New Roman" w:cs="Times New Roman"/>
        </w:rPr>
        <w:t xml:space="preserve"> Key performance characteristics at the recommended operating threshold.</w:t>
      </w:r>
    </w:p>
    <w:p w14:paraId="53D2C984" w14:textId="5FDFD0CF" w:rsidR="00C93AF5" w:rsidRDefault="001A62ED">
      <w:pPr>
        <w:pStyle w:val="CaptionedFigure"/>
      </w:pPr>
      <w:bookmarkStart w:id="29" w:name="fig:discrimination"/>
      <w:bookmarkEnd w:id="28"/>
      <w:r>
        <w:rPr>
          <w:noProof/>
        </w:rPr>
        <w:lastRenderedPageBreak/>
        <w:drawing>
          <wp:inline distT="0" distB="0" distL="0" distR="0" wp14:anchorId="285A8405" wp14:editId="5A9C6D8D">
            <wp:extent cx="5943600" cy="3343275"/>
            <wp:effectExtent l="0" t="0" r="0" b="0"/>
            <wp:docPr id="609894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94570" name="Picture 6098945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889BD92" w14:textId="77777777" w:rsidR="00C93AF5" w:rsidRPr="00565B89" w:rsidRDefault="00000000" w:rsidP="00565B89">
      <w:pPr>
        <w:pStyle w:val="ImageCaption"/>
        <w:jc w:val="both"/>
        <w:rPr>
          <w:rFonts w:ascii="Times New Roman" w:hAnsi="Times New Roman" w:cs="Times New Roman"/>
        </w:rPr>
      </w:pPr>
      <w:r w:rsidRPr="00565B89">
        <w:rPr>
          <w:rFonts w:ascii="Times New Roman" w:hAnsi="Times New Roman" w:cs="Times New Roman"/>
          <w:b/>
          <w:bCs/>
        </w:rPr>
        <w:t>Model discrimination performance.</w:t>
      </w:r>
      <w:r w:rsidRPr="00565B89">
        <w:rPr>
          <w:rFonts w:ascii="Times New Roman" w:hAnsi="Times New Roman" w:cs="Times New Roman"/>
        </w:rPr>
        <w:t xml:space="preserve"> </w:t>
      </w:r>
      <w:r w:rsidRPr="00565B89">
        <w:rPr>
          <w:rFonts w:ascii="Times New Roman" w:hAnsi="Times New Roman" w:cs="Times New Roman"/>
          <w:b/>
          <w:bCs/>
        </w:rPr>
        <w:t>(A)</w:t>
      </w:r>
      <w:r w:rsidRPr="00565B89">
        <w:rPr>
          <w:rFonts w:ascii="Times New Roman" w:hAnsi="Times New Roman" w:cs="Times New Roman"/>
        </w:rPr>
        <w:t xml:space="preserve"> Receiver operating characteristic (ROC) curves for bssentinel (XGBoost), logistic regression, and NEWS2 computed from contemporaneous vital signs, based on pooled out-of-fold predictions from five-fold patient-stratified cross-validation (</w:t>
      </w:r>
      <m:oMath>
        <m:r>
          <w:rPr>
            <w:rFonts w:ascii="Cambria Math" w:hAnsi="Cambria Math" w:cs="Times New Roman"/>
          </w:rPr>
          <m:t>n=1,334,773</m:t>
        </m:r>
      </m:oMath>
      <w:r w:rsidRPr="00565B89">
        <w:rPr>
          <w:rFonts w:ascii="Times New Roman" w:hAnsi="Times New Roman" w:cs="Times New Roman"/>
        </w:rPr>
        <w:t xml:space="preserve"> windows). The orange filled circle marks the 90% sensitivity operating point (threshold = 0.31). Shaded confidence bands reflect 2000-resample bootstrap 95% CIs. </w:t>
      </w:r>
      <w:r w:rsidRPr="00565B89">
        <w:rPr>
          <w:rFonts w:ascii="Times New Roman" w:hAnsi="Times New Roman" w:cs="Times New Roman"/>
          <w:b/>
          <w:bCs/>
        </w:rPr>
        <w:t>(B)</w:t>
      </w:r>
      <w:r w:rsidRPr="00565B89">
        <w:rPr>
          <w:rFonts w:ascii="Times New Roman" w:hAnsi="Times New Roman" w:cs="Times New Roman"/>
        </w:rPr>
        <w:t xml:space="preserve"> Comparative AUROC with 95% confidence intervals. The green double-headed arrow indicates the +0.190 gain of XGBoost over NEWS2, which was statistically significant by DeLong test (</w:t>
      </w:r>
      <m:oMath>
        <m:r>
          <w:rPr>
            <w:rFonts w:ascii="Cambria Math" w:hAnsi="Cambria Math" w:cs="Times New Roman"/>
          </w:rPr>
          <m:t>z=80.3</m:t>
        </m:r>
      </m:oMath>
      <w:r w:rsidRPr="00565B89">
        <w:rPr>
          <w:rFonts w:ascii="Times New Roman" w:hAnsi="Times New Roman" w:cs="Times New Roman"/>
        </w:rPr>
        <w:t xml:space="preserve">, </w:t>
      </w:r>
      <m:oMath>
        <m:r>
          <w:rPr>
            <w:rFonts w:ascii="Cambria Math" w:hAnsi="Cambria Math" w:cs="Times New Roman"/>
          </w:rPr>
          <m:t>p&lt;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-15</m:t>
            </m:r>
          </m:sup>
        </m:sSup>
      </m:oMath>
      <w:r w:rsidRPr="00565B89">
        <w:rPr>
          <w:rFonts w:ascii="Times New Roman" w:hAnsi="Times New Roman" w:cs="Times New Roman"/>
        </w:rPr>
        <w:t>).</w:t>
      </w:r>
    </w:p>
    <w:p w14:paraId="373A641B" w14:textId="4EE38635" w:rsidR="00C93AF5" w:rsidRDefault="001A62ED">
      <w:pPr>
        <w:pStyle w:val="CaptionedFigure"/>
      </w:pPr>
      <w:bookmarkStart w:id="30" w:name="fig:clinical_utility"/>
      <w:bookmarkEnd w:id="29"/>
      <w:r>
        <w:rPr>
          <w:noProof/>
        </w:rPr>
        <w:lastRenderedPageBreak/>
        <w:drawing>
          <wp:inline distT="0" distB="0" distL="0" distR="0" wp14:anchorId="09A0726E" wp14:editId="2E24F374">
            <wp:extent cx="5943600" cy="3343275"/>
            <wp:effectExtent l="0" t="0" r="0" b="0"/>
            <wp:docPr id="1741774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74215" name="Picture 17417742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61F2005" w14:textId="77777777" w:rsidR="00C93AF5" w:rsidRPr="00565B89" w:rsidRDefault="00000000" w:rsidP="00565B89">
      <w:pPr>
        <w:pStyle w:val="ImageCaption"/>
        <w:jc w:val="both"/>
        <w:rPr>
          <w:rFonts w:ascii="Times New Roman" w:hAnsi="Times New Roman" w:cs="Times New Roman"/>
        </w:rPr>
      </w:pPr>
      <w:r w:rsidRPr="00565B89">
        <w:rPr>
          <w:rFonts w:ascii="Times New Roman" w:hAnsi="Times New Roman" w:cs="Times New Roman"/>
          <w:b/>
          <w:bCs/>
        </w:rPr>
        <w:t>Clinical utility analysis.</w:t>
      </w:r>
      <w:r w:rsidRPr="00565B89">
        <w:rPr>
          <w:rFonts w:ascii="Times New Roman" w:hAnsi="Times New Roman" w:cs="Times New Roman"/>
        </w:rPr>
        <w:t xml:space="preserve"> </w:t>
      </w:r>
      <w:r w:rsidRPr="00565B89">
        <w:rPr>
          <w:rFonts w:ascii="Times New Roman" w:hAnsi="Times New Roman" w:cs="Times New Roman"/>
          <w:b/>
          <w:bCs/>
        </w:rPr>
        <w:t>(A)</w:t>
      </w:r>
      <w:r w:rsidRPr="00565B89">
        <w:rPr>
          <w:rFonts w:ascii="Times New Roman" w:hAnsi="Times New Roman" w:cs="Times New Roman"/>
        </w:rPr>
        <w:t xml:space="preserve"> Natural frequency diagram per 1,000 monitoring windows at the recommended threshold (0.31), illustrating the disposition of true positives, false negatives, false positives, and true negatives. PPV: positive predictive value; NPV: negative predictive value. </w:t>
      </w:r>
      <w:r w:rsidRPr="00565B89">
        <w:rPr>
          <w:rFonts w:ascii="Times New Roman" w:hAnsi="Times New Roman" w:cs="Times New Roman"/>
          <w:b/>
          <w:bCs/>
        </w:rPr>
        <w:t>(B)</w:t>
      </w:r>
      <w:r w:rsidRPr="00565B89">
        <w:rPr>
          <w:rFonts w:ascii="Times New Roman" w:hAnsi="Times New Roman" w:cs="Times New Roman"/>
        </w:rPr>
        <w:t xml:space="preserve"> Threshold operating characteristics showing sensitivity, specificity, and PPV as a function of decision threshold. The vertical dashed line marks the recommended threshold (0.31). Threshold selection can be adjusted by institutions to balance event detection against alert burden.</w:t>
      </w:r>
    </w:p>
    <w:p w14:paraId="031C5336" w14:textId="77777777" w:rsidR="00C93AF5" w:rsidRDefault="00000000">
      <w:pPr>
        <w:pStyle w:val="CaptionedFigure"/>
      </w:pPr>
      <w:bookmarkStart w:id="31" w:name="fig:features"/>
      <w:bookmarkEnd w:id="30"/>
      <w:r>
        <w:rPr>
          <w:noProof/>
        </w:rPr>
        <w:lastRenderedPageBreak/>
        <w:drawing>
          <wp:inline distT="0" distB="0" distL="0" distR="0" wp14:anchorId="06915476" wp14:editId="1061DACF">
            <wp:extent cx="5334000" cy="3875294"/>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es/fig4_feature_importance.png"/>
                    <pic:cNvPicPr>
                      <a:picLocks noChangeAspect="1" noChangeArrowheads="1"/>
                    </pic:cNvPicPr>
                  </pic:nvPicPr>
                  <pic:blipFill>
                    <a:blip r:embed="rId9"/>
                    <a:stretch>
                      <a:fillRect/>
                    </a:stretch>
                  </pic:blipFill>
                  <pic:spPr bwMode="auto">
                    <a:xfrm>
                      <a:off x="0" y="0"/>
                      <a:ext cx="5334000" cy="3875294"/>
                    </a:xfrm>
                    <a:prstGeom prst="rect">
                      <a:avLst/>
                    </a:prstGeom>
                    <a:noFill/>
                    <a:ln w="9525">
                      <a:noFill/>
                      <a:headEnd/>
                      <a:tailEnd/>
                    </a:ln>
                  </pic:spPr>
                </pic:pic>
              </a:graphicData>
            </a:graphic>
          </wp:inline>
        </w:drawing>
      </w:r>
    </w:p>
    <w:p w14:paraId="70B0E79A" w14:textId="77777777" w:rsidR="00C93AF5" w:rsidRPr="00565B89" w:rsidRDefault="00000000" w:rsidP="00565B89">
      <w:pPr>
        <w:pStyle w:val="ImageCaption"/>
        <w:jc w:val="both"/>
        <w:rPr>
          <w:rFonts w:ascii="Times New Roman" w:hAnsi="Times New Roman" w:cs="Times New Roman"/>
        </w:rPr>
      </w:pPr>
      <w:r w:rsidRPr="00565B89">
        <w:rPr>
          <w:rFonts w:ascii="Times New Roman" w:hAnsi="Times New Roman" w:cs="Times New Roman"/>
          <w:b/>
          <w:bCs/>
        </w:rPr>
        <w:t>Feature importance.</w:t>
      </w:r>
      <w:r w:rsidRPr="00565B89">
        <w:rPr>
          <w:rFonts w:ascii="Times New Roman" w:hAnsi="Times New Roman" w:cs="Times New Roman"/>
        </w:rPr>
        <w:t xml:space="preserve"> XGBoost gain importance (percentage of total model gain) for the top 15 predictors. Bars are colour-coded by feature category. The most important feature is </w:t>
      </w:r>
      <w:r w:rsidRPr="00565B89">
        <w:rPr>
          <w:rFonts w:ascii="Times New Roman" w:hAnsi="Times New Roman" w:cs="Times New Roman"/>
          <w:iCs/>
        </w:rPr>
        <w:t>absence of lactate measurement</w:t>
      </w:r>
      <w:r w:rsidRPr="00565B89">
        <w:rPr>
          <w:rFonts w:ascii="Times New Roman" w:hAnsi="Times New Roman" w:cs="Times New Roman"/>
        </w:rPr>
        <w:t xml:space="preserve"> (informative missingness), indicating that the decision to withhold or not order a laboratory test encodes clinically significant signal. Features are ordered from most to least important (top to bottom).</w:t>
      </w:r>
    </w:p>
    <w:p w14:paraId="4DB1E67F" w14:textId="77777777" w:rsidR="00C93AF5" w:rsidRDefault="00000000">
      <w:pPr>
        <w:pStyle w:val="CaptionedFigure"/>
      </w:pPr>
      <w:bookmarkStart w:id="32" w:name="fig:dca"/>
      <w:bookmarkEnd w:id="31"/>
      <w:r>
        <w:rPr>
          <w:noProof/>
        </w:rPr>
        <w:drawing>
          <wp:inline distT="0" distB="0" distL="0" distR="0" wp14:anchorId="1513E38F" wp14:editId="370DACCE">
            <wp:extent cx="5334000" cy="2262299"/>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es/dca_curve.png"/>
                    <pic:cNvPicPr>
                      <a:picLocks noChangeAspect="1" noChangeArrowheads="1"/>
                    </pic:cNvPicPr>
                  </pic:nvPicPr>
                  <pic:blipFill>
                    <a:blip r:embed="rId10"/>
                    <a:stretch>
                      <a:fillRect/>
                    </a:stretch>
                  </pic:blipFill>
                  <pic:spPr bwMode="auto">
                    <a:xfrm>
                      <a:off x="0" y="0"/>
                      <a:ext cx="5334000" cy="2262299"/>
                    </a:xfrm>
                    <a:prstGeom prst="rect">
                      <a:avLst/>
                    </a:prstGeom>
                    <a:noFill/>
                    <a:ln w="9525">
                      <a:noFill/>
                      <a:headEnd/>
                      <a:tailEnd/>
                    </a:ln>
                  </pic:spPr>
                </pic:pic>
              </a:graphicData>
            </a:graphic>
          </wp:inline>
        </w:drawing>
      </w:r>
    </w:p>
    <w:p w14:paraId="3CE487F4" w14:textId="77777777" w:rsidR="00C93AF5" w:rsidRPr="00565B89" w:rsidRDefault="00000000" w:rsidP="00565B89">
      <w:pPr>
        <w:pStyle w:val="ImageCaption"/>
        <w:jc w:val="both"/>
        <w:rPr>
          <w:rFonts w:ascii="Times New Roman" w:hAnsi="Times New Roman" w:cs="Times New Roman"/>
        </w:rPr>
      </w:pPr>
      <w:r w:rsidRPr="00565B89">
        <w:rPr>
          <w:rFonts w:ascii="Times New Roman" w:hAnsi="Times New Roman" w:cs="Times New Roman"/>
          <w:b/>
          <w:bCs/>
        </w:rPr>
        <w:t>Decision curve analysis.</w:t>
      </w:r>
      <w:r w:rsidRPr="00565B89">
        <w:rPr>
          <w:rFonts w:ascii="Times New Roman" w:hAnsi="Times New Roman" w:cs="Times New Roman"/>
        </w:rPr>
        <w:t xml:space="preserve"> Net benefit curves for bssentinel (XGBoost, solid blue), NEWS2 (Platt-calibrated, dashed orange), treat-all (dot-dash green), and treat-none (NB = 0, grey) across clinically relevant decision threshold probabilities. Both predictors were calibrated to the actual event probability scale before analysis. </w:t>
      </w:r>
      <w:r w:rsidRPr="00565B89">
        <w:rPr>
          <w:rFonts w:ascii="Times New Roman" w:hAnsi="Times New Roman" w:cs="Times New Roman"/>
          <w:b/>
          <w:bCs/>
        </w:rPr>
        <w:t>(A)</w:t>
      </w:r>
      <w:r w:rsidRPr="00565B89">
        <w:rPr>
          <w:rFonts w:ascii="Times New Roman" w:hAnsi="Times New Roman" w:cs="Times New Roman"/>
        </w:rPr>
        <w:t xml:space="preserve"> Full range 0.5–8%. The shaded blue region marks thresholds where bssentinel provides net benefit above treat-none while NEWS2 does not. Markers </w:t>
      </w:r>
      <w:r w:rsidRPr="00565B89">
        <w:rPr>
          <w:rFonts w:ascii="Times New Roman" w:hAnsi="Times New Roman" w:cs="Times New Roman"/>
        </w:rPr>
        <w:lastRenderedPageBreak/>
        <w:t>indicate net benefit at standard NEWS2 clinical cut-offs (NEWS2 </w:t>
      </w:r>
      <m:oMath>
        <m:r>
          <w:rPr>
            <w:rFonts w:ascii="Cambria Math" w:hAnsi="Cambria Math" w:cs="Times New Roman"/>
          </w:rPr>
          <m:t>≥</m:t>
        </m:r>
      </m:oMath>
      <w:r w:rsidRPr="00565B89">
        <w:rPr>
          <w:rFonts w:ascii="Times New Roman" w:hAnsi="Times New Roman" w:cs="Times New Roman"/>
        </w:rPr>
        <w:t xml:space="preserve"> 3, 5, 7). </w:t>
      </w:r>
      <w:r w:rsidRPr="00565B89">
        <w:rPr>
          <w:rFonts w:ascii="Times New Roman" w:hAnsi="Times New Roman" w:cs="Times New Roman"/>
          <w:b/>
          <w:bCs/>
        </w:rPr>
        <w:t>(B)</w:t>
      </w:r>
      <w:r w:rsidRPr="00565B89">
        <w:rPr>
          <w:rFonts w:ascii="Times New Roman" w:hAnsi="Times New Roman" w:cs="Times New Roman"/>
        </w:rPr>
        <w:t xml:space="preserve"> Zoomed clinical zone 1–5%. At a 2% threshold, bssentinel yields a net benefit of 0.0072 vs 0.0018 for NEWS2 (</w:t>
      </w:r>
      <m:oMath>
        <m:r>
          <w:rPr>
            <w:rFonts w:ascii="Cambria Math" w:hAnsi="Cambria Math" w:cs="Times New Roman"/>
          </w:rPr>
          <m:t>Δ</m:t>
        </m:r>
      </m:oMath>
      <w:r w:rsidRPr="00565B89">
        <w:rPr>
          <w:rFonts w:ascii="Times New Roman" w:hAnsi="Times New Roman" w:cs="Times New Roman"/>
        </w:rPr>
        <w:t xml:space="preserve">NB = 0.0054), equivalent to identifying 5.4 additional true deteriorations per 1 000 patients. At threshold </w:t>
      </w:r>
      <m:oMath>
        <m:r>
          <w:rPr>
            <w:rFonts w:ascii="Cambria Math" w:hAnsi="Cambria Math" w:cs="Times New Roman"/>
          </w:rPr>
          <m:t>≥</m:t>
        </m:r>
      </m:oMath>
      <w:r w:rsidRPr="00565B89">
        <w:rPr>
          <w:rFonts w:ascii="Times New Roman" w:hAnsi="Times New Roman" w:cs="Times New Roman"/>
        </w:rPr>
        <w:t>3%, NEWS2 net benefit approaches zero while bssentinel retains positive benefit, confirming its superiority as a high-sensitivity surveillance tool at all clinically plausible decision thresholds.</w:t>
      </w:r>
    </w:p>
    <w:p w14:paraId="2640721C" w14:textId="77777777" w:rsidR="00C93AF5" w:rsidRPr="00565B89" w:rsidRDefault="00000000" w:rsidP="00565B89">
      <w:pPr>
        <w:pStyle w:val="TableCaption"/>
        <w:jc w:val="both"/>
        <w:rPr>
          <w:rFonts w:ascii="Times New Roman" w:hAnsi="Times New Roman" w:cs="Times New Roman"/>
        </w:rPr>
      </w:pPr>
      <w:bookmarkStart w:id="33" w:name="tab:metrics"/>
      <w:bookmarkEnd w:id="32"/>
      <w:r w:rsidRPr="00565B89">
        <w:rPr>
          <w:rFonts w:ascii="Times New Roman" w:hAnsi="Times New Roman" w:cs="Times New Roman"/>
          <w:b/>
          <w:bCs/>
        </w:rPr>
        <w:t>Summary of key performance metrics</w:t>
      </w:r>
      <w:r w:rsidRPr="00565B89">
        <w:rPr>
          <w:rFonts w:ascii="Times New Roman" w:hAnsi="Times New Roman" w:cs="Times New Roman"/>
        </w:rPr>
        <w:t xml:space="preserve"> from five-fold patient-stratified cross-validation on the MIMIC-IV cohort (</w:t>
      </w:r>
      <m:oMath>
        <m:r>
          <w:rPr>
            <w:rFonts w:ascii="Cambria Math" w:hAnsi="Cambria Math" w:cs="Times New Roman"/>
          </w:rPr>
          <m:t>n=1,334,773</m:t>
        </m:r>
      </m:oMath>
      <w:r w:rsidRPr="00565B89">
        <w:rPr>
          <w:rFonts w:ascii="Times New Roman" w:hAnsi="Times New Roman" w:cs="Times New Roman"/>
        </w:rPr>
        <w:t xml:space="preserve"> windows; 26,201 events; prevalence 1.96%). CI: confidence interval; AUPRC: area under precision-recall curve.</w:t>
      </w:r>
    </w:p>
    <w:tbl>
      <w:tblPr>
        <w:tblStyle w:val="Table"/>
        <w:tblW w:w="9645" w:type="dxa"/>
        <w:tblLook w:val="0020" w:firstRow="1" w:lastRow="0" w:firstColumn="0" w:lastColumn="0" w:noHBand="0" w:noVBand="0"/>
      </w:tblPr>
      <w:tblGrid>
        <w:gridCol w:w="2679"/>
        <w:gridCol w:w="2842"/>
        <w:gridCol w:w="2769"/>
        <w:gridCol w:w="1355"/>
      </w:tblGrid>
      <w:tr w:rsidR="00C93AF5" w:rsidRPr="00565B89" w14:paraId="77EF4915" w14:textId="77777777" w:rsidTr="00565B89">
        <w:trPr>
          <w:cnfStyle w:val="100000000000" w:firstRow="1" w:lastRow="0" w:firstColumn="0" w:lastColumn="0" w:oddVBand="0" w:evenVBand="0" w:oddHBand="0" w:evenHBand="0" w:firstRowFirstColumn="0" w:firstRowLastColumn="0" w:lastRowFirstColumn="0" w:lastRowLastColumn="0"/>
          <w:trHeight w:val="417"/>
          <w:tblHeader/>
        </w:trPr>
        <w:tc>
          <w:tcPr>
            <w:tcW w:w="0" w:type="auto"/>
            <w:vAlign w:val="center"/>
          </w:tcPr>
          <w:p w14:paraId="1166672E"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Metric</w:t>
            </w:r>
          </w:p>
        </w:tc>
        <w:tc>
          <w:tcPr>
            <w:tcW w:w="0" w:type="auto"/>
            <w:vAlign w:val="center"/>
          </w:tcPr>
          <w:p w14:paraId="2090FC5F"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XGBoost</w:t>
            </w:r>
          </w:p>
        </w:tc>
        <w:tc>
          <w:tcPr>
            <w:tcW w:w="0" w:type="auto"/>
            <w:vAlign w:val="center"/>
          </w:tcPr>
          <w:p w14:paraId="752E85E0"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Logistic Regression</w:t>
            </w:r>
          </w:p>
        </w:tc>
        <w:tc>
          <w:tcPr>
            <w:tcW w:w="0" w:type="auto"/>
            <w:vAlign w:val="center"/>
          </w:tcPr>
          <w:p w14:paraId="14D2D984"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NEWS2</w:t>
            </w:r>
          </w:p>
        </w:tc>
      </w:tr>
      <w:tr w:rsidR="00C93AF5" w:rsidRPr="00565B89" w14:paraId="06989603" w14:textId="77777777" w:rsidTr="00565B89">
        <w:trPr>
          <w:trHeight w:val="401"/>
        </w:trPr>
        <w:tc>
          <w:tcPr>
            <w:tcW w:w="0" w:type="auto"/>
            <w:vAlign w:val="center"/>
          </w:tcPr>
          <w:p w14:paraId="31D3AA4F"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AUROC (95% CI)</w:t>
            </w:r>
          </w:p>
        </w:tc>
        <w:tc>
          <w:tcPr>
            <w:tcW w:w="0" w:type="auto"/>
            <w:vAlign w:val="center"/>
          </w:tcPr>
          <w:p w14:paraId="20395FF5"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0.758 (0.755–0.761)</w:t>
            </w:r>
          </w:p>
        </w:tc>
        <w:tc>
          <w:tcPr>
            <w:tcW w:w="0" w:type="auto"/>
            <w:vAlign w:val="center"/>
          </w:tcPr>
          <w:p w14:paraId="542309E0"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0.708 (0.705–0.711)</w:t>
            </w:r>
          </w:p>
        </w:tc>
        <w:tc>
          <w:tcPr>
            <w:tcW w:w="0" w:type="auto"/>
            <w:vAlign w:val="center"/>
          </w:tcPr>
          <w:p w14:paraId="5F3EC857"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0.568</w:t>
            </w:r>
          </w:p>
        </w:tc>
      </w:tr>
      <w:tr w:rsidR="00C93AF5" w:rsidRPr="00565B89" w14:paraId="18CB9F5B" w14:textId="77777777" w:rsidTr="00565B89">
        <w:trPr>
          <w:trHeight w:val="417"/>
        </w:trPr>
        <w:tc>
          <w:tcPr>
            <w:tcW w:w="0" w:type="auto"/>
            <w:vAlign w:val="center"/>
          </w:tcPr>
          <w:p w14:paraId="26BFB3DA"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AUPRC</w:t>
            </w:r>
          </w:p>
        </w:tc>
        <w:tc>
          <w:tcPr>
            <w:tcW w:w="0" w:type="auto"/>
            <w:vAlign w:val="center"/>
          </w:tcPr>
          <w:p w14:paraId="236385F8"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0.102</w:t>
            </w:r>
          </w:p>
        </w:tc>
        <w:tc>
          <w:tcPr>
            <w:tcW w:w="0" w:type="auto"/>
            <w:vAlign w:val="center"/>
          </w:tcPr>
          <w:p w14:paraId="3C17316B"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0.068</w:t>
            </w:r>
          </w:p>
        </w:tc>
        <w:tc>
          <w:tcPr>
            <w:tcW w:w="0" w:type="auto"/>
            <w:vAlign w:val="center"/>
          </w:tcPr>
          <w:p w14:paraId="60CFA3CB"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0.020</w:t>
            </w:r>
          </w:p>
        </w:tc>
      </w:tr>
      <w:tr w:rsidR="00C93AF5" w:rsidRPr="00565B89" w14:paraId="3E89B889" w14:textId="77777777" w:rsidTr="00565B89">
        <w:trPr>
          <w:trHeight w:val="401"/>
        </w:trPr>
        <w:tc>
          <w:tcPr>
            <w:tcW w:w="0" w:type="auto"/>
            <w:vAlign w:val="center"/>
          </w:tcPr>
          <w:p w14:paraId="56AD1C28"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Brier score</w:t>
            </w:r>
          </w:p>
        </w:tc>
        <w:tc>
          <w:tcPr>
            <w:tcW w:w="0" w:type="auto"/>
            <w:vAlign w:val="center"/>
          </w:tcPr>
          <w:p w14:paraId="4A1E09EA"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0.175</w:t>
            </w:r>
          </w:p>
        </w:tc>
        <w:tc>
          <w:tcPr>
            <w:tcW w:w="0" w:type="auto"/>
            <w:vAlign w:val="center"/>
          </w:tcPr>
          <w:p w14:paraId="7D6F389C"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0.213</w:t>
            </w:r>
          </w:p>
        </w:tc>
        <w:tc>
          <w:tcPr>
            <w:tcW w:w="0" w:type="auto"/>
            <w:vAlign w:val="center"/>
          </w:tcPr>
          <w:p w14:paraId="2EDBBA60"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w:t>
            </w:r>
          </w:p>
        </w:tc>
      </w:tr>
      <w:tr w:rsidR="00C93AF5" w:rsidRPr="00565B89" w14:paraId="79C385EB" w14:textId="77777777" w:rsidTr="00565B89">
        <w:trPr>
          <w:trHeight w:val="417"/>
        </w:trPr>
        <w:tc>
          <w:tcPr>
            <w:tcW w:w="0" w:type="auto"/>
            <w:gridSpan w:val="4"/>
            <w:vAlign w:val="center"/>
          </w:tcPr>
          <w:p w14:paraId="44793A6F"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i/>
                <w:iCs/>
                <w:sz w:val="18"/>
                <w:szCs w:val="18"/>
              </w:rPr>
              <w:t>At threshold = 0.31 (90% sensitivity)</w:t>
            </w:r>
          </w:p>
        </w:tc>
      </w:tr>
      <w:tr w:rsidR="00C93AF5" w:rsidRPr="00565B89" w14:paraId="6268AA2D" w14:textId="77777777" w:rsidTr="00565B89">
        <w:trPr>
          <w:trHeight w:val="401"/>
        </w:trPr>
        <w:tc>
          <w:tcPr>
            <w:tcW w:w="0" w:type="auto"/>
            <w:vAlign w:val="center"/>
          </w:tcPr>
          <w:p w14:paraId="5CF58127"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Sensitivity</w:t>
            </w:r>
          </w:p>
        </w:tc>
        <w:tc>
          <w:tcPr>
            <w:tcW w:w="0" w:type="auto"/>
            <w:vAlign w:val="center"/>
          </w:tcPr>
          <w:p w14:paraId="5168ADE0"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90.0%</w:t>
            </w:r>
          </w:p>
        </w:tc>
        <w:tc>
          <w:tcPr>
            <w:tcW w:w="0" w:type="auto"/>
            <w:vAlign w:val="center"/>
          </w:tcPr>
          <w:p w14:paraId="37E35C1E"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w:t>
            </w:r>
          </w:p>
        </w:tc>
        <w:tc>
          <w:tcPr>
            <w:tcW w:w="0" w:type="auto"/>
            <w:vAlign w:val="center"/>
          </w:tcPr>
          <w:p w14:paraId="2851BA66"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w:t>
            </w:r>
          </w:p>
        </w:tc>
      </w:tr>
      <w:tr w:rsidR="00C93AF5" w:rsidRPr="00565B89" w14:paraId="04AA3964" w14:textId="77777777" w:rsidTr="00565B89">
        <w:trPr>
          <w:trHeight w:val="417"/>
        </w:trPr>
        <w:tc>
          <w:tcPr>
            <w:tcW w:w="0" w:type="auto"/>
            <w:vAlign w:val="center"/>
          </w:tcPr>
          <w:p w14:paraId="6455795B"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Specificity</w:t>
            </w:r>
          </w:p>
        </w:tc>
        <w:tc>
          <w:tcPr>
            <w:tcW w:w="0" w:type="auto"/>
            <w:vAlign w:val="center"/>
          </w:tcPr>
          <w:p w14:paraId="3E1D7F4F"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37.9%</w:t>
            </w:r>
          </w:p>
        </w:tc>
        <w:tc>
          <w:tcPr>
            <w:tcW w:w="0" w:type="auto"/>
            <w:vAlign w:val="center"/>
          </w:tcPr>
          <w:p w14:paraId="0CA9DF15"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w:t>
            </w:r>
          </w:p>
        </w:tc>
        <w:tc>
          <w:tcPr>
            <w:tcW w:w="0" w:type="auto"/>
            <w:vAlign w:val="center"/>
          </w:tcPr>
          <w:p w14:paraId="6BDFD2E3"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w:t>
            </w:r>
          </w:p>
        </w:tc>
      </w:tr>
      <w:tr w:rsidR="00C93AF5" w:rsidRPr="00565B89" w14:paraId="5937DB1F" w14:textId="77777777" w:rsidTr="00565B89">
        <w:trPr>
          <w:trHeight w:val="401"/>
        </w:trPr>
        <w:tc>
          <w:tcPr>
            <w:tcW w:w="0" w:type="auto"/>
            <w:vAlign w:val="center"/>
          </w:tcPr>
          <w:p w14:paraId="11686C99"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PPV</w:t>
            </w:r>
          </w:p>
        </w:tc>
        <w:tc>
          <w:tcPr>
            <w:tcW w:w="0" w:type="auto"/>
            <w:vAlign w:val="center"/>
          </w:tcPr>
          <w:p w14:paraId="6E1AF70E"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2.8%</w:t>
            </w:r>
          </w:p>
        </w:tc>
        <w:tc>
          <w:tcPr>
            <w:tcW w:w="0" w:type="auto"/>
            <w:vAlign w:val="center"/>
          </w:tcPr>
          <w:p w14:paraId="1B84CD3F"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w:t>
            </w:r>
          </w:p>
        </w:tc>
        <w:tc>
          <w:tcPr>
            <w:tcW w:w="0" w:type="auto"/>
            <w:vAlign w:val="center"/>
          </w:tcPr>
          <w:p w14:paraId="50C2B8C9"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w:t>
            </w:r>
          </w:p>
        </w:tc>
      </w:tr>
      <w:tr w:rsidR="00C93AF5" w:rsidRPr="00565B89" w14:paraId="03ABAEDD" w14:textId="77777777" w:rsidTr="00565B89">
        <w:trPr>
          <w:trHeight w:val="417"/>
        </w:trPr>
        <w:tc>
          <w:tcPr>
            <w:tcW w:w="0" w:type="auto"/>
            <w:vAlign w:val="center"/>
          </w:tcPr>
          <w:p w14:paraId="4EDE27E0"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NPV</w:t>
            </w:r>
          </w:p>
        </w:tc>
        <w:tc>
          <w:tcPr>
            <w:tcW w:w="0" w:type="auto"/>
            <w:vAlign w:val="center"/>
          </w:tcPr>
          <w:p w14:paraId="3BACA0A1"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99.5%</w:t>
            </w:r>
          </w:p>
        </w:tc>
        <w:tc>
          <w:tcPr>
            <w:tcW w:w="0" w:type="auto"/>
            <w:vAlign w:val="center"/>
          </w:tcPr>
          <w:p w14:paraId="689B1BAD"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w:t>
            </w:r>
          </w:p>
        </w:tc>
        <w:tc>
          <w:tcPr>
            <w:tcW w:w="0" w:type="auto"/>
            <w:vAlign w:val="center"/>
          </w:tcPr>
          <w:p w14:paraId="218197DD"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w:t>
            </w:r>
          </w:p>
        </w:tc>
      </w:tr>
      <w:tr w:rsidR="00C93AF5" w:rsidRPr="00565B89" w14:paraId="1F29D4CE" w14:textId="77777777" w:rsidTr="00565B89">
        <w:trPr>
          <w:trHeight w:val="417"/>
        </w:trPr>
        <w:tc>
          <w:tcPr>
            <w:tcW w:w="0" w:type="auto"/>
            <w:vAlign w:val="center"/>
          </w:tcPr>
          <w:p w14:paraId="6C6002E3"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DeLong vs NEWS2</w:t>
            </w:r>
          </w:p>
        </w:tc>
        <w:tc>
          <w:tcPr>
            <w:tcW w:w="0" w:type="auto"/>
            <w:vAlign w:val="center"/>
          </w:tcPr>
          <w:p w14:paraId="3A5BBDEB" w14:textId="77777777" w:rsidR="00C93AF5" w:rsidRPr="00565B89" w:rsidRDefault="00000000" w:rsidP="00565B89">
            <w:pPr>
              <w:pStyle w:val="Compact"/>
              <w:jc w:val="center"/>
              <w:rPr>
                <w:rFonts w:ascii="Times New Roman" w:hAnsi="Times New Roman" w:cs="Times New Roman"/>
                <w:sz w:val="18"/>
                <w:szCs w:val="18"/>
              </w:rPr>
            </w:pPr>
            <m:oMath>
              <m:r>
                <w:rPr>
                  <w:rFonts w:ascii="Cambria Math" w:hAnsi="Cambria Math" w:cs="Times New Roman"/>
                  <w:sz w:val="18"/>
                  <w:szCs w:val="18"/>
                </w:rPr>
                <m:t>z</m:t>
              </m:r>
              <m:r>
                <m:rPr>
                  <m:sty m:val="p"/>
                </m:rPr>
                <w:rPr>
                  <w:rFonts w:ascii="Cambria Math" w:hAnsi="Cambria Math" w:cs="Times New Roman"/>
                  <w:sz w:val="18"/>
                  <w:szCs w:val="18"/>
                </w:rPr>
                <m:t>=</m:t>
              </m:r>
              <m:r>
                <w:rPr>
                  <w:rFonts w:ascii="Cambria Math" w:hAnsi="Cambria Math" w:cs="Times New Roman"/>
                  <w:sz w:val="18"/>
                  <w:szCs w:val="18"/>
                </w:rPr>
                <m:t>80.3</m:t>
              </m:r>
            </m:oMath>
            <w:r w:rsidRPr="00565B89">
              <w:rPr>
                <w:rFonts w:ascii="Times New Roman" w:hAnsi="Times New Roman" w:cs="Times New Roman"/>
                <w:sz w:val="18"/>
                <w:szCs w:val="18"/>
              </w:rPr>
              <w:t xml:space="preserve">, </w:t>
            </w:r>
            <m:oMath>
              <m:r>
                <w:rPr>
                  <w:rFonts w:ascii="Cambria Math" w:hAnsi="Cambria Math" w:cs="Times New Roman"/>
                  <w:sz w:val="18"/>
                  <w:szCs w:val="18"/>
                </w:rPr>
                <m:t>p</m:t>
              </m:r>
              <m:r>
                <m:rPr>
                  <m:sty m:val="p"/>
                </m:rPr>
                <w:rPr>
                  <w:rFonts w:ascii="Cambria Math" w:hAnsi="Cambria Math" w:cs="Times New Roman"/>
                  <w:sz w:val="18"/>
                  <w:szCs w:val="18"/>
                </w:rPr>
                <m:t>&lt;</m:t>
              </m:r>
              <m:sSup>
                <m:sSupPr>
                  <m:ctrlPr>
                    <w:rPr>
                      <w:rFonts w:ascii="Cambria Math" w:hAnsi="Cambria Math" w:cs="Times New Roman"/>
                      <w:sz w:val="18"/>
                      <w:szCs w:val="18"/>
                    </w:rPr>
                  </m:ctrlPr>
                </m:sSupPr>
                <m:e>
                  <m:r>
                    <w:rPr>
                      <w:rFonts w:ascii="Cambria Math" w:hAnsi="Cambria Math" w:cs="Times New Roman"/>
                      <w:sz w:val="18"/>
                      <w:szCs w:val="18"/>
                    </w:rPr>
                    <m:t>10</m:t>
                  </m:r>
                </m:e>
                <m:sup>
                  <m:r>
                    <m:rPr>
                      <m:sty m:val="p"/>
                    </m:rPr>
                    <w:rPr>
                      <w:rFonts w:ascii="Cambria Math" w:hAnsi="Cambria Math" w:cs="Times New Roman"/>
                      <w:sz w:val="18"/>
                      <w:szCs w:val="18"/>
                    </w:rPr>
                    <m:t>-</m:t>
                  </m:r>
                  <m:r>
                    <w:rPr>
                      <w:rFonts w:ascii="Cambria Math" w:hAnsi="Cambria Math" w:cs="Times New Roman"/>
                      <w:sz w:val="18"/>
                      <w:szCs w:val="18"/>
                    </w:rPr>
                    <m:t>15</m:t>
                  </m:r>
                </m:sup>
              </m:sSup>
            </m:oMath>
          </w:p>
        </w:tc>
        <w:tc>
          <w:tcPr>
            <w:tcW w:w="0" w:type="auto"/>
            <w:vAlign w:val="center"/>
          </w:tcPr>
          <w:p w14:paraId="6C91B929"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w:t>
            </w:r>
          </w:p>
        </w:tc>
        <w:tc>
          <w:tcPr>
            <w:tcW w:w="0" w:type="auto"/>
            <w:vAlign w:val="center"/>
          </w:tcPr>
          <w:p w14:paraId="2D793D1A"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w:t>
            </w:r>
          </w:p>
        </w:tc>
      </w:tr>
    </w:tbl>
    <w:p w14:paraId="22D5ABD1" w14:textId="77777777" w:rsidR="00C93AF5" w:rsidRPr="00565B89" w:rsidRDefault="00000000">
      <w:pPr>
        <w:pStyle w:val="TableCaption"/>
        <w:rPr>
          <w:rFonts w:ascii="Times New Roman" w:hAnsi="Times New Roman" w:cs="Times New Roman"/>
        </w:rPr>
      </w:pPr>
      <w:bookmarkStart w:id="34" w:name="tab:features"/>
      <w:bookmarkEnd w:id="33"/>
      <w:r w:rsidRPr="00565B89">
        <w:rPr>
          <w:rFonts w:ascii="Times New Roman" w:hAnsi="Times New Roman" w:cs="Times New Roman"/>
          <w:b/>
          <w:bCs/>
        </w:rPr>
        <w:t>Feature categories and example features</w:t>
      </w:r>
      <w:r w:rsidRPr="00565B89">
        <w:rPr>
          <w:rFonts w:ascii="Times New Roman" w:hAnsi="Times New Roman" w:cs="Times New Roman"/>
        </w:rPr>
        <w:t xml:space="preserve"> included in the 83-variable bssentinel model input. Trend features capture rate of change within the 6-hour window; worst-value features capture the extreme within the window. Missingness indicators encode whether each measurement was absent from the EHR within the relevant lookback period.</w:t>
      </w:r>
    </w:p>
    <w:tbl>
      <w:tblPr>
        <w:tblStyle w:val="Table"/>
        <w:tblW w:w="0" w:type="auto"/>
        <w:tblLook w:val="0020" w:firstRow="1" w:lastRow="0" w:firstColumn="0" w:lastColumn="0" w:noHBand="0" w:noVBand="0"/>
      </w:tblPr>
      <w:tblGrid>
        <w:gridCol w:w="1606"/>
        <w:gridCol w:w="5625"/>
        <w:gridCol w:w="2129"/>
      </w:tblGrid>
      <w:tr w:rsidR="00C93AF5" w:rsidRPr="00565B89" w14:paraId="607FA8E9" w14:textId="77777777" w:rsidTr="00565B89">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7A2D479D"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Category</w:t>
            </w:r>
          </w:p>
        </w:tc>
        <w:tc>
          <w:tcPr>
            <w:tcW w:w="0" w:type="auto"/>
            <w:vAlign w:val="center"/>
          </w:tcPr>
          <w:p w14:paraId="3621584F"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Examples</w:t>
            </w:r>
          </w:p>
        </w:tc>
        <w:tc>
          <w:tcPr>
            <w:tcW w:w="0" w:type="auto"/>
            <w:vAlign w:val="center"/>
          </w:tcPr>
          <w:p w14:paraId="3845955B"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Statistics per feature</w:t>
            </w:r>
          </w:p>
        </w:tc>
      </w:tr>
      <w:tr w:rsidR="00C93AF5" w:rsidRPr="00565B89" w14:paraId="4F276CCA" w14:textId="77777777" w:rsidTr="00565B89">
        <w:tc>
          <w:tcPr>
            <w:tcW w:w="0" w:type="auto"/>
            <w:vAlign w:val="center"/>
          </w:tcPr>
          <w:p w14:paraId="1C7FDF38"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Vital signs</w:t>
            </w:r>
          </w:p>
        </w:tc>
        <w:tc>
          <w:tcPr>
            <w:tcW w:w="0" w:type="auto"/>
            <w:vAlign w:val="center"/>
          </w:tcPr>
          <w:p w14:paraId="70A32262"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Heart rate, SpO</w:t>
            </w:r>
            <m:oMath>
              <m:sSub>
                <m:sSubPr>
                  <m:ctrlPr>
                    <w:rPr>
                      <w:rFonts w:ascii="Cambria Math" w:hAnsi="Cambria Math" w:cs="Times New Roman"/>
                      <w:sz w:val="18"/>
                      <w:szCs w:val="18"/>
                    </w:rPr>
                  </m:ctrlPr>
                </m:sSubPr>
                <m:e>
                  <m:r>
                    <w:rPr>
                      <w:rFonts w:ascii="Cambria Math" w:hAnsi="Cambria Math" w:cs="Times New Roman"/>
                      <w:sz w:val="18"/>
                      <w:szCs w:val="18"/>
                    </w:rPr>
                    <m:t>​</m:t>
                  </m:r>
                </m:e>
                <m:sub>
                  <m:r>
                    <w:rPr>
                      <w:rFonts w:ascii="Cambria Math" w:hAnsi="Cambria Math" w:cs="Times New Roman"/>
                      <w:sz w:val="18"/>
                      <w:szCs w:val="18"/>
                    </w:rPr>
                    <m:t>2</m:t>
                  </m:r>
                </m:sub>
              </m:sSub>
            </m:oMath>
            <w:r w:rsidRPr="00565B89">
              <w:rPr>
                <w:rFonts w:ascii="Times New Roman" w:hAnsi="Times New Roman" w:cs="Times New Roman"/>
                <w:sz w:val="18"/>
                <w:szCs w:val="18"/>
              </w:rPr>
              <w:t>, systolic BP, diastolic BP, respiratory rate, temperature</w:t>
            </w:r>
          </w:p>
        </w:tc>
        <w:tc>
          <w:tcPr>
            <w:tcW w:w="0" w:type="auto"/>
            <w:vAlign w:val="center"/>
          </w:tcPr>
          <w:p w14:paraId="3D6B0EE6"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Most recent, 6h trend, worst value</w:t>
            </w:r>
          </w:p>
        </w:tc>
      </w:tr>
      <w:tr w:rsidR="00C93AF5" w:rsidRPr="00565B89" w14:paraId="0E75EDBA" w14:textId="77777777" w:rsidTr="00565B89">
        <w:tc>
          <w:tcPr>
            <w:tcW w:w="0" w:type="auto"/>
            <w:vAlign w:val="center"/>
          </w:tcPr>
          <w:p w14:paraId="3685560D"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GCS components</w:t>
            </w:r>
          </w:p>
        </w:tc>
        <w:tc>
          <w:tcPr>
            <w:tcW w:w="0" w:type="auto"/>
            <w:vAlign w:val="center"/>
          </w:tcPr>
          <w:p w14:paraId="3443144E"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Eye opening, verbal, motor</w:t>
            </w:r>
          </w:p>
        </w:tc>
        <w:tc>
          <w:tcPr>
            <w:tcW w:w="0" w:type="auto"/>
            <w:vAlign w:val="center"/>
          </w:tcPr>
          <w:p w14:paraId="0C6EB72D"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Most recent, 6h trend, worst value</w:t>
            </w:r>
          </w:p>
        </w:tc>
      </w:tr>
      <w:tr w:rsidR="00C93AF5" w:rsidRPr="00565B89" w14:paraId="7C4DA462" w14:textId="77777777" w:rsidTr="00565B89">
        <w:tc>
          <w:tcPr>
            <w:tcW w:w="0" w:type="auto"/>
            <w:vAlign w:val="center"/>
          </w:tcPr>
          <w:p w14:paraId="5D2DAAC5"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Laboratory values</w:t>
            </w:r>
          </w:p>
        </w:tc>
        <w:tc>
          <w:tcPr>
            <w:tcW w:w="0" w:type="auto"/>
            <w:vAlign w:val="center"/>
          </w:tcPr>
          <w:p w14:paraId="3BFD3C3B"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Lactate, creatinine, WBC, INR, bilirubin, sodium, potassium, haemoglobin, glucose, platelets, BUN, CRP</w:t>
            </w:r>
          </w:p>
        </w:tc>
        <w:tc>
          <w:tcPr>
            <w:tcW w:w="0" w:type="auto"/>
            <w:vAlign w:val="center"/>
          </w:tcPr>
          <w:p w14:paraId="7CFC7627"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Most recent within 24h</w:t>
            </w:r>
          </w:p>
        </w:tc>
      </w:tr>
      <w:tr w:rsidR="00C93AF5" w:rsidRPr="00565B89" w14:paraId="7E4F3CCA" w14:textId="77777777" w:rsidTr="00565B89">
        <w:tc>
          <w:tcPr>
            <w:tcW w:w="0" w:type="auto"/>
            <w:vAlign w:val="center"/>
          </w:tcPr>
          <w:p w14:paraId="49A84B4C"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NEWS2 subscores</w:t>
            </w:r>
          </w:p>
        </w:tc>
        <w:tc>
          <w:tcPr>
            <w:tcW w:w="0" w:type="auto"/>
            <w:vAlign w:val="center"/>
          </w:tcPr>
          <w:p w14:paraId="585D7AA6"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RR, SpO</w:t>
            </w:r>
            <m:oMath>
              <m:sSub>
                <m:sSubPr>
                  <m:ctrlPr>
                    <w:rPr>
                      <w:rFonts w:ascii="Cambria Math" w:hAnsi="Cambria Math" w:cs="Times New Roman"/>
                      <w:sz w:val="18"/>
                      <w:szCs w:val="18"/>
                    </w:rPr>
                  </m:ctrlPr>
                </m:sSubPr>
                <m:e>
                  <m:r>
                    <w:rPr>
                      <w:rFonts w:ascii="Cambria Math" w:hAnsi="Cambria Math" w:cs="Times New Roman"/>
                      <w:sz w:val="18"/>
                      <w:szCs w:val="18"/>
                    </w:rPr>
                    <m:t>​</m:t>
                  </m:r>
                </m:e>
                <m:sub>
                  <m:r>
                    <w:rPr>
                      <w:rFonts w:ascii="Cambria Math" w:hAnsi="Cambria Math" w:cs="Times New Roman"/>
                      <w:sz w:val="18"/>
                      <w:szCs w:val="18"/>
                    </w:rPr>
                    <m:t>2</m:t>
                  </m:r>
                </m:sub>
              </m:sSub>
            </m:oMath>
            <w:r w:rsidRPr="00565B89">
              <w:rPr>
                <w:rFonts w:ascii="Times New Roman" w:hAnsi="Times New Roman" w:cs="Times New Roman"/>
                <w:sz w:val="18"/>
                <w:szCs w:val="18"/>
              </w:rPr>
              <w:t>, BP, HR, temperature, consciousness subscores</w:t>
            </w:r>
          </w:p>
        </w:tc>
        <w:tc>
          <w:tcPr>
            <w:tcW w:w="0" w:type="auto"/>
            <w:vAlign w:val="center"/>
          </w:tcPr>
          <w:p w14:paraId="15371C8E"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Computed from aggregated vitals</w:t>
            </w:r>
          </w:p>
        </w:tc>
      </w:tr>
      <w:tr w:rsidR="00C93AF5" w:rsidRPr="00565B89" w14:paraId="03DE9BC6" w14:textId="77777777" w:rsidTr="00565B89">
        <w:tc>
          <w:tcPr>
            <w:tcW w:w="0" w:type="auto"/>
            <w:vAlign w:val="center"/>
          </w:tcPr>
          <w:p w14:paraId="40DBFCFB"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Medications</w:t>
            </w:r>
          </w:p>
        </w:tc>
        <w:tc>
          <w:tcPr>
            <w:tcW w:w="0" w:type="auto"/>
            <w:vAlign w:val="center"/>
          </w:tcPr>
          <w:p w14:paraId="5284FCBA"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Vasopressors, antibiotics, anticoagulants</w:t>
            </w:r>
          </w:p>
        </w:tc>
        <w:tc>
          <w:tcPr>
            <w:tcW w:w="0" w:type="auto"/>
            <w:vAlign w:val="center"/>
          </w:tcPr>
          <w:p w14:paraId="52E059B7"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Binary active flag</w:t>
            </w:r>
          </w:p>
        </w:tc>
      </w:tr>
      <w:tr w:rsidR="00C93AF5" w:rsidRPr="00565B89" w14:paraId="449426DB" w14:textId="77777777" w:rsidTr="00565B89">
        <w:tc>
          <w:tcPr>
            <w:tcW w:w="0" w:type="auto"/>
            <w:vAlign w:val="center"/>
          </w:tcPr>
          <w:p w14:paraId="0E0AA9B0"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Missingness indicators</w:t>
            </w:r>
          </w:p>
        </w:tc>
        <w:tc>
          <w:tcPr>
            <w:tcW w:w="0" w:type="auto"/>
            <w:vAlign w:val="center"/>
          </w:tcPr>
          <w:p w14:paraId="4A1C859A"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All vital and laboratory variables</w:t>
            </w:r>
          </w:p>
        </w:tc>
        <w:tc>
          <w:tcPr>
            <w:tcW w:w="0" w:type="auto"/>
            <w:vAlign w:val="center"/>
          </w:tcPr>
          <w:p w14:paraId="433E356B"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Binary (0 = observed, 1 = absent)</w:t>
            </w:r>
          </w:p>
        </w:tc>
      </w:tr>
      <w:tr w:rsidR="00C93AF5" w:rsidRPr="00565B89" w14:paraId="2FC71CC9" w14:textId="77777777" w:rsidTr="00565B89">
        <w:tc>
          <w:tcPr>
            <w:tcW w:w="0" w:type="auto"/>
            <w:vAlign w:val="center"/>
          </w:tcPr>
          <w:p w14:paraId="02A3895D"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Temporal context</w:t>
            </w:r>
          </w:p>
        </w:tc>
        <w:tc>
          <w:tcPr>
            <w:tcW w:w="0" w:type="auto"/>
            <w:vAlign w:val="center"/>
          </w:tcPr>
          <w:p w14:paraId="56D9542E"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Hours since admission</w:t>
            </w:r>
          </w:p>
        </w:tc>
        <w:tc>
          <w:tcPr>
            <w:tcW w:w="0" w:type="auto"/>
            <w:vAlign w:val="center"/>
          </w:tcPr>
          <w:p w14:paraId="6A7F46AC"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Continuous</w:t>
            </w:r>
          </w:p>
        </w:tc>
      </w:tr>
      <w:tr w:rsidR="00C93AF5" w:rsidRPr="00565B89" w14:paraId="73BCC3AC" w14:textId="77777777" w:rsidTr="00565B89">
        <w:tc>
          <w:tcPr>
            <w:tcW w:w="0" w:type="auto"/>
            <w:vAlign w:val="center"/>
          </w:tcPr>
          <w:p w14:paraId="04A81EDE"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Admission type</w:t>
            </w:r>
          </w:p>
        </w:tc>
        <w:tc>
          <w:tcPr>
            <w:tcW w:w="0" w:type="auto"/>
            <w:vAlign w:val="center"/>
          </w:tcPr>
          <w:p w14:paraId="40B4E7F1"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Elective, emergency, observation, surgical</w:t>
            </w:r>
          </w:p>
        </w:tc>
        <w:tc>
          <w:tcPr>
            <w:tcW w:w="0" w:type="auto"/>
            <w:vAlign w:val="center"/>
          </w:tcPr>
          <w:p w14:paraId="7732D25A" w14:textId="77777777" w:rsidR="00C93AF5" w:rsidRPr="00565B89" w:rsidRDefault="00000000" w:rsidP="00565B89">
            <w:pPr>
              <w:pStyle w:val="Compact"/>
              <w:jc w:val="center"/>
              <w:rPr>
                <w:rFonts w:ascii="Times New Roman" w:hAnsi="Times New Roman" w:cs="Times New Roman"/>
                <w:sz w:val="18"/>
                <w:szCs w:val="18"/>
              </w:rPr>
            </w:pPr>
            <w:r w:rsidRPr="00565B89">
              <w:rPr>
                <w:rFonts w:ascii="Times New Roman" w:hAnsi="Times New Roman" w:cs="Times New Roman"/>
                <w:sz w:val="18"/>
                <w:szCs w:val="18"/>
              </w:rPr>
              <w:t>One-hot encoded</w:t>
            </w:r>
          </w:p>
        </w:tc>
      </w:tr>
    </w:tbl>
    <w:p w14:paraId="39073FAA" w14:textId="77777777" w:rsidR="00565B89" w:rsidRDefault="00565B89">
      <w:pPr>
        <w:pStyle w:val="TableCaption"/>
        <w:rPr>
          <w:b/>
          <w:bCs/>
        </w:rPr>
      </w:pPr>
      <w:bookmarkStart w:id="35" w:name="tab:threshold"/>
      <w:bookmarkEnd w:id="34"/>
    </w:p>
    <w:p w14:paraId="2BAB9CCA" w14:textId="59AC10A4" w:rsidR="00C93AF5" w:rsidRDefault="00000000" w:rsidP="00565B89">
      <w:pPr>
        <w:pStyle w:val="TableCaption"/>
        <w:jc w:val="both"/>
      </w:pPr>
      <w:r w:rsidRPr="00565B89">
        <w:rPr>
          <w:rFonts w:ascii="Times New Roman" w:hAnsi="Times New Roman" w:cs="Times New Roman"/>
          <w:b/>
          <w:bCs/>
        </w:rPr>
        <w:t>Threshold-dependent operating characteristics</w:t>
      </w:r>
      <w:r w:rsidRPr="00565B89">
        <w:rPr>
          <w:rFonts w:ascii="Times New Roman" w:hAnsi="Times New Roman" w:cs="Times New Roman"/>
        </w:rPr>
        <w:t xml:space="preserve"> of the XGBoost model. PPV: positive predictive value; NPV: negative predictive value; TP: true positives; FP: false positives; TN: true negatives; FN: false negatives. All counts are per 1,334,773 windows. Prevalence =</w:t>
      </w:r>
      <w:r>
        <w:t xml:space="preserve"> 1.96%.</w:t>
      </w:r>
    </w:p>
    <w:tbl>
      <w:tblPr>
        <w:tblStyle w:val="Table"/>
        <w:tblW w:w="9915" w:type="dxa"/>
        <w:tblLook w:val="0020" w:firstRow="1" w:lastRow="0" w:firstColumn="0" w:lastColumn="0" w:noHBand="0" w:noVBand="0"/>
      </w:tblPr>
      <w:tblGrid>
        <w:gridCol w:w="1343"/>
        <w:gridCol w:w="1356"/>
        <w:gridCol w:w="1354"/>
        <w:gridCol w:w="827"/>
        <w:gridCol w:w="827"/>
        <w:gridCol w:w="947"/>
        <w:gridCol w:w="1247"/>
        <w:gridCol w:w="1067"/>
        <w:gridCol w:w="947"/>
      </w:tblGrid>
      <w:tr w:rsidR="00C93AF5" w:rsidRPr="00565B89" w14:paraId="6AA8A880" w14:textId="77777777" w:rsidTr="00110B24">
        <w:trPr>
          <w:cnfStyle w:val="100000000000" w:firstRow="1" w:lastRow="0" w:firstColumn="0" w:lastColumn="0" w:oddVBand="0" w:evenVBand="0" w:oddHBand="0" w:evenHBand="0" w:firstRowFirstColumn="0" w:firstRowLastColumn="0" w:lastRowFirstColumn="0" w:lastRowLastColumn="0"/>
          <w:trHeight w:val="415"/>
          <w:tblHeader/>
        </w:trPr>
        <w:tc>
          <w:tcPr>
            <w:tcW w:w="0" w:type="auto"/>
          </w:tcPr>
          <w:p w14:paraId="71AABC3C"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Threshold</w:t>
            </w:r>
          </w:p>
        </w:tc>
        <w:tc>
          <w:tcPr>
            <w:tcW w:w="0" w:type="auto"/>
          </w:tcPr>
          <w:p w14:paraId="3E04353F"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Sensitivity</w:t>
            </w:r>
          </w:p>
        </w:tc>
        <w:tc>
          <w:tcPr>
            <w:tcW w:w="0" w:type="auto"/>
          </w:tcPr>
          <w:p w14:paraId="427B777F"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Specificity</w:t>
            </w:r>
          </w:p>
        </w:tc>
        <w:tc>
          <w:tcPr>
            <w:tcW w:w="0" w:type="auto"/>
          </w:tcPr>
          <w:p w14:paraId="15A4132A"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PPV</w:t>
            </w:r>
          </w:p>
        </w:tc>
        <w:tc>
          <w:tcPr>
            <w:tcW w:w="0" w:type="auto"/>
          </w:tcPr>
          <w:p w14:paraId="527FE56F"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NPV</w:t>
            </w:r>
          </w:p>
        </w:tc>
        <w:tc>
          <w:tcPr>
            <w:tcW w:w="0" w:type="auto"/>
          </w:tcPr>
          <w:p w14:paraId="0F91AF7D"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TP</w:t>
            </w:r>
          </w:p>
        </w:tc>
        <w:tc>
          <w:tcPr>
            <w:tcW w:w="0" w:type="auto"/>
          </w:tcPr>
          <w:p w14:paraId="630611EB"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FP</w:t>
            </w:r>
          </w:p>
        </w:tc>
        <w:tc>
          <w:tcPr>
            <w:tcW w:w="0" w:type="auto"/>
          </w:tcPr>
          <w:p w14:paraId="7AEA5775"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TN</w:t>
            </w:r>
          </w:p>
        </w:tc>
        <w:tc>
          <w:tcPr>
            <w:tcW w:w="0" w:type="auto"/>
          </w:tcPr>
          <w:p w14:paraId="0B2A23B6"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FN</w:t>
            </w:r>
          </w:p>
        </w:tc>
      </w:tr>
      <w:tr w:rsidR="00C93AF5" w:rsidRPr="00565B89" w14:paraId="7C70B76C" w14:textId="77777777" w:rsidTr="00110B24">
        <w:trPr>
          <w:trHeight w:val="415"/>
        </w:trPr>
        <w:tc>
          <w:tcPr>
            <w:tcW w:w="0" w:type="auto"/>
          </w:tcPr>
          <w:p w14:paraId="635516DB"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0.10</w:t>
            </w:r>
          </w:p>
        </w:tc>
        <w:tc>
          <w:tcPr>
            <w:tcW w:w="0" w:type="auto"/>
          </w:tcPr>
          <w:p w14:paraId="525AC006"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0.997</w:t>
            </w:r>
          </w:p>
        </w:tc>
        <w:tc>
          <w:tcPr>
            <w:tcW w:w="0" w:type="auto"/>
          </w:tcPr>
          <w:p w14:paraId="7E8598AB"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0.035</w:t>
            </w:r>
          </w:p>
        </w:tc>
        <w:tc>
          <w:tcPr>
            <w:tcW w:w="0" w:type="auto"/>
          </w:tcPr>
          <w:p w14:paraId="663EC6F0"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0.020</w:t>
            </w:r>
          </w:p>
        </w:tc>
        <w:tc>
          <w:tcPr>
            <w:tcW w:w="0" w:type="auto"/>
          </w:tcPr>
          <w:p w14:paraId="1162D7E8"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0.998</w:t>
            </w:r>
          </w:p>
        </w:tc>
        <w:tc>
          <w:tcPr>
            <w:tcW w:w="0" w:type="auto"/>
          </w:tcPr>
          <w:p w14:paraId="18019648"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26,115</w:t>
            </w:r>
          </w:p>
        </w:tc>
        <w:tc>
          <w:tcPr>
            <w:tcW w:w="0" w:type="auto"/>
          </w:tcPr>
          <w:p w14:paraId="0FEF0813"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1,263,129</w:t>
            </w:r>
          </w:p>
        </w:tc>
        <w:tc>
          <w:tcPr>
            <w:tcW w:w="0" w:type="auto"/>
          </w:tcPr>
          <w:p w14:paraId="6015720E"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45,443</w:t>
            </w:r>
          </w:p>
        </w:tc>
        <w:tc>
          <w:tcPr>
            <w:tcW w:w="0" w:type="auto"/>
          </w:tcPr>
          <w:p w14:paraId="31C562EC"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86</w:t>
            </w:r>
          </w:p>
        </w:tc>
      </w:tr>
      <w:tr w:rsidR="00C93AF5" w:rsidRPr="00565B89" w14:paraId="1191A10F" w14:textId="77777777" w:rsidTr="00110B24">
        <w:trPr>
          <w:trHeight w:val="400"/>
        </w:trPr>
        <w:tc>
          <w:tcPr>
            <w:tcW w:w="0" w:type="auto"/>
          </w:tcPr>
          <w:p w14:paraId="0B399336"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0.15</w:t>
            </w:r>
          </w:p>
        </w:tc>
        <w:tc>
          <w:tcPr>
            <w:tcW w:w="0" w:type="auto"/>
          </w:tcPr>
          <w:p w14:paraId="3AD14487"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0.986</w:t>
            </w:r>
          </w:p>
        </w:tc>
        <w:tc>
          <w:tcPr>
            <w:tcW w:w="0" w:type="auto"/>
          </w:tcPr>
          <w:p w14:paraId="093EB495"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0.094</w:t>
            </w:r>
          </w:p>
        </w:tc>
        <w:tc>
          <w:tcPr>
            <w:tcW w:w="0" w:type="auto"/>
          </w:tcPr>
          <w:p w14:paraId="45A25AD2"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0.021</w:t>
            </w:r>
          </w:p>
        </w:tc>
        <w:tc>
          <w:tcPr>
            <w:tcW w:w="0" w:type="auto"/>
          </w:tcPr>
          <w:p w14:paraId="008307F4"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0.997</w:t>
            </w:r>
          </w:p>
        </w:tc>
        <w:tc>
          <w:tcPr>
            <w:tcW w:w="0" w:type="auto"/>
          </w:tcPr>
          <w:p w14:paraId="3DD4D111"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25,840</w:t>
            </w:r>
          </w:p>
        </w:tc>
        <w:tc>
          <w:tcPr>
            <w:tcW w:w="0" w:type="auto"/>
          </w:tcPr>
          <w:p w14:paraId="28654036"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1,185,146</w:t>
            </w:r>
          </w:p>
        </w:tc>
        <w:tc>
          <w:tcPr>
            <w:tcW w:w="0" w:type="auto"/>
          </w:tcPr>
          <w:p w14:paraId="4F5D1E0D"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123,426</w:t>
            </w:r>
          </w:p>
        </w:tc>
        <w:tc>
          <w:tcPr>
            <w:tcW w:w="0" w:type="auto"/>
          </w:tcPr>
          <w:p w14:paraId="4256A8AC"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361</w:t>
            </w:r>
          </w:p>
        </w:tc>
      </w:tr>
      <w:tr w:rsidR="00C93AF5" w:rsidRPr="00565B89" w14:paraId="3FFB6449" w14:textId="77777777" w:rsidTr="00110B24">
        <w:trPr>
          <w:trHeight w:val="415"/>
        </w:trPr>
        <w:tc>
          <w:tcPr>
            <w:tcW w:w="0" w:type="auto"/>
          </w:tcPr>
          <w:p w14:paraId="1ADC765F"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0.20</w:t>
            </w:r>
          </w:p>
        </w:tc>
        <w:tc>
          <w:tcPr>
            <w:tcW w:w="0" w:type="auto"/>
          </w:tcPr>
          <w:p w14:paraId="16B5DDA6"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0.969</w:t>
            </w:r>
          </w:p>
        </w:tc>
        <w:tc>
          <w:tcPr>
            <w:tcW w:w="0" w:type="auto"/>
          </w:tcPr>
          <w:p w14:paraId="5A04F98D"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0.176</w:t>
            </w:r>
          </w:p>
        </w:tc>
        <w:tc>
          <w:tcPr>
            <w:tcW w:w="0" w:type="auto"/>
          </w:tcPr>
          <w:p w14:paraId="0BE684AC"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0.023</w:t>
            </w:r>
          </w:p>
        </w:tc>
        <w:tc>
          <w:tcPr>
            <w:tcW w:w="0" w:type="auto"/>
          </w:tcPr>
          <w:p w14:paraId="257C63EC"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0.997</w:t>
            </w:r>
          </w:p>
        </w:tc>
        <w:tc>
          <w:tcPr>
            <w:tcW w:w="0" w:type="auto"/>
          </w:tcPr>
          <w:p w14:paraId="3012195F"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25,392</w:t>
            </w:r>
          </w:p>
        </w:tc>
        <w:tc>
          <w:tcPr>
            <w:tcW w:w="0" w:type="auto"/>
          </w:tcPr>
          <w:p w14:paraId="416413AC"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1,078,880</w:t>
            </w:r>
          </w:p>
        </w:tc>
        <w:tc>
          <w:tcPr>
            <w:tcW w:w="0" w:type="auto"/>
          </w:tcPr>
          <w:p w14:paraId="3753963C"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229,692</w:t>
            </w:r>
          </w:p>
        </w:tc>
        <w:tc>
          <w:tcPr>
            <w:tcW w:w="0" w:type="auto"/>
          </w:tcPr>
          <w:p w14:paraId="1CB75317"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809</w:t>
            </w:r>
          </w:p>
        </w:tc>
      </w:tr>
      <w:tr w:rsidR="00C93AF5" w:rsidRPr="00565B89" w14:paraId="73E3D032" w14:textId="77777777" w:rsidTr="00110B24">
        <w:trPr>
          <w:trHeight w:val="415"/>
        </w:trPr>
        <w:tc>
          <w:tcPr>
            <w:tcW w:w="0" w:type="auto"/>
          </w:tcPr>
          <w:p w14:paraId="2A431093"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0.25</w:t>
            </w:r>
          </w:p>
        </w:tc>
        <w:tc>
          <w:tcPr>
            <w:tcW w:w="0" w:type="auto"/>
          </w:tcPr>
          <w:p w14:paraId="69DF98E3"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0.942</w:t>
            </w:r>
          </w:p>
        </w:tc>
        <w:tc>
          <w:tcPr>
            <w:tcW w:w="0" w:type="auto"/>
          </w:tcPr>
          <w:p w14:paraId="41F9333A"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0.269</w:t>
            </w:r>
          </w:p>
        </w:tc>
        <w:tc>
          <w:tcPr>
            <w:tcW w:w="0" w:type="auto"/>
          </w:tcPr>
          <w:p w14:paraId="102F0E17"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0.025</w:t>
            </w:r>
          </w:p>
        </w:tc>
        <w:tc>
          <w:tcPr>
            <w:tcW w:w="0" w:type="auto"/>
          </w:tcPr>
          <w:p w14:paraId="783C4FE9"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0.996</w:t>
            </w:r>
          </w:p>
        </w:tc>
        <w:tc>
          <w:tcPr>
            <w:tcW w:w="0" w:type="auto"/>
          </w:tcPr>
          <w:p w14:paraId="3CD28964"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24,684</w:t>
            </w:r>
          </w:p>
        </w:tc>
        <w:tc>
          <w:tcPr>
            <w:tcW w:w="0" w:type="auto"/>
          </w:tcPr>
          <w:p w14:paraId="73EDA2CF"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956,501</w:t>
            </w:r>
          </w:p>
        </w:tc>
        <w:tc>
          <w:tcPr>
            <w:tcW w:w="0" w:type="auto"/>
          </w:tcPr>
          <w:p w14:paraId="7E8BC519"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352,071</w:t>
            </w:r>
          </w:p>
        </w:tc>
        <w:tc>
          <w:tcPr>
            <w:tcW w:w="0" w:type="auto"/>
          </w:tcPr>
          <w:p w14:paraId="5315517B"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1,517</w:t>
            </w:r>
          </w:p>
        </w:tc>
      </w:tr>
      <w:tr w:rsidR="00C93AF5" w:rsidRPr="00565B89" w14:paraId="67B4F9E3" w14:textId="77777777" w:rsidTr="00110B24">
        <w:trPr>
          <w:trHeight w:val="415"/>
        </w:trPr>
        <w:tc>
          <w:tcPr>
            <w:tcW w:w="0" w:type="auto"/>
          </w:tcPr>
          <w:p w14:paraId="05B6F951"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0.31*</w:t>
            </w:r>
          </w:p>
        </w:tc>
        <w:tc>
          <w:tcPr>
            <w:tcW w:w="0" w:type="auto"/>
          </w:tcPr>
          <w:p w14:paraId="57874229"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0.900</w:t>
            </w:r>
          </w:p>
        </w:tc>
        <w:tc>
          <w:tcPr>
            <w:tcW w:w="0" w:type="auto"/>
          </w:tcPr>
          <w:p w14:paraId="7B01FF66"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0.379</w:t>
            </w:r>
          </w:p>
        </w:tc>
        <w:tc>
          <w:tcPr>
            <w:tcW w:w="0" w:type="auto"/>
          </w:tcPr>
          <w:p w14:paraId="16AFEA76"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0.028</w:t>
            </w:r>
          </w:p>
        </w:tc>
        <w:tc>
          <w:tcPr>
            <w:tcW w:w="0" w:type="auto"/>
          </w:tcPr>
          <w:p w14:paraId="75C274D3"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0.995</w:t>
            </w:r>
          </w:p>
        </w:tc>
        <w:tc>
          <w:tcPr>
            <w:tcW w:w="0" w:type="auto"/>
          </w:tcPr>
          <w:p w14:paraId="4008B930"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23,581</w:t>
            </w:r>
          </w:p>
        </w:tc>
        <w:tc>
          <w:tcPr>
            <w:tcW w:w="0" w:type="auto"/>
          </w:tcPr>
          <w:p w14:paraId="29B54DEA"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813,044</w:t>
            </w:r>
          </w:p>
        </w:tc>
        <w:tc>
          <w:tcPr>
            <w:tcW w:w="0" w:type="auto"/>
          </w:tcPr>
          <w:p w14:paraId="2B7ADDEE"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495,528</w:t>
            </w:r>
          </w:p>
        </w:tc>
        <w:tc>
          <w:tcPr>
            <w:tcW w:w="0" w:type="auto"/>
          </w:tcPr>
          <w:p w14:paraId="23A0B7B9"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b/>
                <w:bCs/>
                <w:sz w:val="18"/>
                <w:szCs w:val="18"/>
              </w:rPr>
              <w:t>2,620</w:t>
            </w:r>
          </w:p>
        </w:tc>
      </w:tr>
      <w:tr w:rsidR="00C93AF5" w:rsidRPr="00565B89" w14:paraId="6AAD54FF" w14:textId="77777777" w:rsidTr="00110B24">
        <w:trPr>
          <w:trHeight w:val="400"/>
        </w:trPr>
        <w:tc>
          <w:tcPr>
            <w:tcW w:w="0" w:type="auto"/>
          </w:tcPr>
          <w:p w14:paraId="24E376D2"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0.35</w:t>
            </w:r>
          </w:p>
        </w:tc>
        <w:tc>
          <w:tcPr>
            <w:tcW w:w="0" w:type="auto"/>
          </w:tcPr>
          <w:p w14:paraId="45522BB5"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0.855</w:t>
            </w:r>
          </w:p>
        </w:tc>
        <w:tc>
          <w:tcPr>
            <w:tcW w:w="0" w:type="auto"/>
          </w:tcPr>
          <w:p w14:paraId="7C639B49"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0.465</w:t>
            </w:r>
          </w:p>
        </w:tc>
        <w:tc>
          <w:tcPr>
            <w:tcW w:w="0" w:type="auto"/>
          </w:tcPr>
          <w:p w14:paraId="14494C3D"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0.031</w:t>
            </w:r>
          </w:p>
        </w:tc>
        <w:tc>
          <w:tcPr>
            <w:tcW w:w="0" w:type="auto"/>
          </w:tcPr>
          <w:p w14:paraId="5AFE7848"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0.994</w:t>
            </w:r>
          </w:p>
        </w:tc>
        <w:tc>
          <w:tcPr>
            <w:tcW w:w="0" w:type="auto"/>
          </w:tcPr>
          <w:p w14:paraId="6F593DDE"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22,390</w:t>
            </w:r>
          </w:p>
        </w:tc>
        <w:tc>
          <w:tcPr>
            <w:tcW w:w="0" w:type="auto"/>
          </w:tcPr>
          <w:p w14:paraId="4DA75413"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700,256</w:t>
            </w:r>
          </w:p>
        </w:tc>
        <w:tc>
          <w:tcPr>
            <w:tcW w:w="0" w:type="auto"/>
          </w:tcPr>
          <w:p w14:paraId="2751426F"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608,316</w:t>
            </w:r>
          </w:p>
        </w:tc>
        <w:tc>
          <w:tcPr>
            <w:tcW w:w="0" w:type="auto"/>
          </w:tcPr>
          <w:p w14:paraId="736E5485"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3,811</w:t>
            </w:r>
          </w:p>
        </w:tc>
      </w:tr>
      <w:tr w:rsidR="00C93AF5" w:rsidRPr="00565B89" w14:paraId="1D5D129A" w14:textId="77777777" w:rsidTr="00110B24">
        <w:trPr>
          <w:trHeight w:val="415"/>
        </w:trPr>
        <w:tc>
          <w:tcPr>
            <w:tcW w:w="0" w:type="auto"/>
          </w:tcPr>
          <w:p w14:paraId="16A29D05"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0.40</w:t>
            </w:r>
          </w:p>
        </w:tc>
        <w:tc>
          <w:tcPr>
            <w:tcW w:w="0" w:type="auto"/>
          </w:tcPr>
          <w:p w14:paraId="776E8F3F"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0.791</w:t>
            </w:r>
          </w:p>
        </w:tc>
        <w:tc>
          <w:tcPr>
            <w:tcW w:w="0" w:type="auto"/>
          </w:tcPr>
          <w:p w14:paraId="677A5A32"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0.564</w:t>
            </w:r>
          </w:p>
        </w:tc>
        <w:tc>
          <w:tcPr>
            <w:tcW w:w="0" w:type="auto"/>
          </w:tcPr>
          <w:p w14:paraId="5BE3292C"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0.035</w:t>
            </w:r>
          </w:p>
        </w:tc>
        <w:tc>
          <w:tcPr>
            <w:tcW w:w="0" w:type="auto"/>
          </w:tcPr>
          <w:p w14:paraId="34AF643D"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0.993</w:t>
            </w:r>
          </w:p>
        </w:tc>
        <w:tc>
          <w:tcPr>
            <w:tcW w:w="0" w:type="auto"/>
          </w:tcPr>
          <w:p w14:paraId="47A5372D"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20,713</w:t>
            </w:r>
          </w:p>
        </w:tc>
        <w:tc>
          <w:tcPr>
            <w:tcW w:w="0" w:type="auto"/>
          </w:tcPr>
          <w:p w14:paraId="284289F9"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570,264</w:t>
            </w:r>
          </w:p>
        </w:tc>
        <w:tc>
          <w:tcPr>
            <w:tcW w:w="0" w:type="auto"/>
          </w:tcPr>
          <w:p w14:paraId="1BB3DA05"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738,308</w:t>
            </w:r>
          </w:p>
        </w:tc>
        <w:tc>
          <w:tcPr>
            <w:tcW w:w="0" w:type="auto"/>
          </w:tcPr>
          <w:p w14:paraId="5DBFAD02"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5,488</w:t>
            </w:r>
          </w:p>
        </w:tc>
      </w:tr>
      <w:tr w:rsidR="00C93AF5" w:rsidRPr="00565B89" w14:paraId="786BEFD0" w14:textId="77777777" w:rsidTr="00110B24">
        <w:trPr>
          <w:trHeight w:val="415"/>
        </w:trPr>
        <w:tc>
          <w:tcPr>
            <w:tcW w:w="0" w:type="auto"/>
          </w:tcPr>
          <w:p w14:paraId="169F4E80"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0.50</w:t>
            </w:r>
          </w:p>
        </w:tc>
        <w:tc>
          <w:tcPr>
            <w:tcW w:w="0" w:type="auto"/>
          </w:tcPr>
          <w:p w14:paraId="789352F2"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0.613</w:t>
            </w:r>
          </w:p>
        </w:tc>
        <w:tc>
          <w:tcPr>
            <w:tcW w:w="0" w:type="auto"/>
          </w:tcPr>
          <w:p w14:paraId="46E214EF"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0.755</w:t>
            </w:r>
          </w:p>
        </w:tc>
        <w:tc>
          <w:tcPr>
            <w:tcW w:w="0" w:type="auto"/>
          </w:tcPr>
          <w:p w14:paraId="6A49FACD"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0.048</w:t>
            </w:r>
          </w:p>
        </w:tc>
        <w:tc>
          <w:tcPr>
            <w:tcW w:w="0" w:type="auto"/>
          </w:tcPr>
          <w:p w14:paraId="33276C7B"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0.990</w:t>
            </w:r>
          </w:p>
        </w:tc>
        <w:tc>
          <w:tcPr>
            <w:tcW w:w="0" w:type="auto"/>
          </w:tcPr>
          <w:p w14:paraId="0A7974A4"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16,070</w:t>
            </w:r>
          </w:p>
        </w:tc>
        <w:tc>
          <w:tcPr>
            <w:tcW w:w="0" w:type="auto"/>
          </w:tcPr>
          <w:p w14:paraId="707C75C4"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320,148</w:t>
            </w:r>
          </w:p>
        </w:tc>
        <w:tc>
          <w:tcPr>
            <w:tcW w:w="0" w:type="auto"/>
          </w:tcPr>
          <w:p w14:paraId="71BED743"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988,424</w:t>
            </w:r>
          </w:p>
        </w:tc>
        <w:tc>
          <w:tcPr>
            <w:tcW w:w="0" w:type="auto"/>
          </w:tcPr>
          <w:p w14:paraId="4155174E" w14:textId="77777777" w:rsidR="00C93AF5" w:rsidRPr="00565B89" w:rsidRDefault="00000000">
            <w:pPr>
              <w:pStyle w:val="Compact"/>
              <w:jc w:val="center"/>
              <w:rPr>
                <w:rFonts w:ascii="Times New Roman" w:hAnsi="Times New Roman" w:cs="Times New Roman"/>
                <w:sz w:val="18"/>
                <w:szCs w:val="18"/>
              </w:rPr>
            </w:pPr>
            <w:r w:rsidRPr="00565B89">
              <w:rPr>
                <w:rFonts w:ascii="Times New Roman" w:hAnsi="Times New Roman" w:cs="Times New Roman"/>
                <w:sz w:val="18"/>
                <w:szCs w:val="18"/>
              </w:rPr>
              <w:t>10,131</w:t>
            </w:r>
          </w:p>
        </w:tc>
      </w:tr>
      <w:tr w:rsidR="00C93AF5" w:rsidRPr="00565B89" w14:paraId="135F72AF" w14:textId="77777777" w:rsidTr="00110B24">
        <w:trPr>
          <w:trHeight w:val="415"/>
        </w:trPr>
        <w:tc>
          <w:tcPr>
            <w:tcW w:w="0" w:type="auto"/>
            <w:gridSpan w:val="9"/>
          </w:tcPr>
          <w:p w14:paraId="5FDBEEA7" w14:textId="77777777" w:rsidR="00C93AF5" w:rsidRPr="00565B89" w:rsidRDefault="00000000">
            <w:pPr>
              <w:pStyle w:val="Compact"/>
              <w:rPr>
                <w:rFonts w:ascii="Times New Roman" w:hAnsi="Times New Roman" w:cs="Times New Roman"/>
                <w:sz w:val="18"/>
                <w:szCs w:val="18"/>
              </w:rPr>
            </w:pPr>
            <w:r w:rsidRPr="00565B89">
              <w:rPr>
                <w:rFonts w:ascii="Times New Roman" w:hAnsi="Times New Roman" w:cs="Times New Roman"/>
                <w:sz w:val="18"/>
                <w:szCs w:val="18"/>
              </w:rPr>
              <w:t>*Recommended operating threshold (90% sensitivity)</w:t>
            </w:r>
          </w:p>
        </w:tc>
      </w:tr>
    </w:tbl>
    <w:p w14:paraId="4FBF5A45" w14:textId="77777777" w:rsidR="00C93AF5" w:rsidRDefault="00000000">
      <w:pPr>
        <w:pStyle w:val="Heading1"/>
      </w:pPr>
      <w:bookmarkStart w:id="36" w:name="supplementary-figures"/>
      <w:bookmarkEnd w:id="27"/>
      <w:bookmarkEnd w:id="35"/>
      <w:r>
        <w:lastRenderedPageBreak/>
        <w:t>Supplementary Figures</w:t>
      </w:r>
    </w:p>
    <w:p w14:paraId="7AF6F9D5" w14:textId="77777777" w:rsidR="00C93AF5" w:rsidRDefault="00000000">
      <w:pPr>
        <w:pStyle w:val="CaptionedFigure"/>
      </w:pPr>
      <w:bookmarkStart w:id="37" w:name="fig:roc_supp"/>
      <w:r>
        <w:rPr>
          <w:noProof/>
        </w:rPr>
        <w:drawing>
          <wp:inline distT="0" distB="0" distL="0" distR="0" wp14:anchorId="22AB3C18" wp14:editId="1E2D35B8">
            <wp:extent cx="5334000" cy="4564623"/>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ures/roc_curve.png"/>
                    <pic:cNvPicPr>
                      <a:picLocks noChangeAspect="1" noChangeArrowheads="1"/>
                    </pic:cNvPicPr>
                  </pic:nvPicPr>
                  <pic:blipFill>
                    <a:blip r:embed="rId11"/>
                    <a:stretch>
                      <a:fillRect/>
                    </a:stretch>
                  </pic:blipFill>
                  <pic:spPr bwMode="auto">
                    <a:xfrm>
                      <a:off x="0" y="0"/>
                      <a:ext cx="5334000" cy="4564623"/>
                    </a:xfrm>
                    <a:prstGeom prst="rect">
                      <a:avLst/>
                    </a:prstGeom>
                    <a:noFill/>
                    <a:ln w="9525">
                      <a:noFill/>
                      <a:headEnd/>
                      <a:tailEnd/>
                    </a:ln>
                  </pic:spPr>
                </pic:pic>
              </a:graphicData>
            </a:graphic>
          </wp:inline>
        </w:drawing>
      </w:r>
    </w:p>
    <w:p w14:paraId="6FDB4860" w14:textId="77777777" w:rsidR="00C93AF5" w:rsidRPr="00565B89" w:rsidRDefault="00000000" w:rsidP="00565B89">
      <w:pPr>
        <w:pStyle w:val="ImageCaption"/>
        <w:jc w:val="both"/>
        <w:rPr>
          <w:rFonts w:ascii="Times New Roman" w:hAnsi="Times New Roman" w:cs="Times New Roman"/>
        </w:rPr>
      </w:pPr>
      <w:r w:rsidRPr="00565B89">
        <w:rPr>
          <w:rFonts w:ascii="Times New Roman" w:hAnsi="Times New Roman" w:cs="Times New Roman"/>
          <w:b/>
          <w:bCs/>
        </w:rPr>
        <w:t>Supplementary Fig. S1 — Receiver Operating Characteristic curves from model training.</w:t>
      </w:r>
      <w:r w:rsidRPr="00565B89">
        <w:rPr>
          <w:rFonts w:ascii="Times New Roman" w:hAnsi="Times New Roman" w:cs="Times New Roman"/>
        </w:rPr>
        <w:t xml:space="preserve"> ROC curves for XGBoost (blue) and logistic regression (orange), pooled from five-fold patient-stratified cross-validation. The diagonal dashed line represents a random classifier. AUROC values with 95% bootstrap confidence intervals are annotated. The marked operating point corresponds to 90% sensitivity at threshold = 0.31.</w:t>
      </w:r>
    </w:p>
    <w:p w14:paraId="4A748F93" w14:textId="77777777" w:rsidR="00C93AF5" w:rsidRDefault="00000000">
      <w:pPr>
        <w:pStyle w:val="CaptionedFigure"/>
      </w:pPr>
      <w:bookmarkStart w:id="38" w:name="fig:pr_supp"/>
      <w:bookmarkEnd w:id="37"/>
      <w:r>
        <w:rPr>
          <w:noProof/>
        </w:rPr>
        <w:lastRenderedPageBreak/>
        <w:drawing>
          <wp:inline distT="0" distB="0" distL="0" distR="0" wp14:anchorId="477294E2" wp14:editId="11C66F0E">
            <wp:extent cx="5334000" cy="4564623"/>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ures/pr_curve.png"/>
                    <pic:cNvPicPr>
                      <a:picLocks noChangeAspect="1" noChangeArrowheads="1"/>
                    </pic:cNvPicPr>
                  </pic:nvPicPr>
                  <pic:blipFill>
                    <a:blip r:embed="rId12"/>
                    <a:stretch>
                      <a:fillRect/>
                    </a:stretch>
                  </pic:blipFill>
                  <pic:spPr bwMode="auto">
                    <a:xfrm>
                      <a:off x="0" y="0"/>
                      <a:ext cx="5334000" cy="4564623"/>
                    </a:xfrm>
                    <a:prstGeom prst="rect">
                      <a:avLst/>
                    </a:prstGeom>
                    <a:noFill/>
                    <a:ln w="9525">
                      <a:noFill/>
                      <a:headEnd/>
                      <a:tailEnd/>
                    </a:ln>
                  </pic:spPr>
                </pic:pic>
              </a:graphicData>
            </a:graphic>
          </wp:inline>
        </w:drawing>
      </w:r>
    </w:p>
    <w:p w14:paraId="74B4C840" w14:textId="77777777" w:rsidR="00C93AF5" w:rsidRPr="00565B89" w:rsidRDefault="00000000" w:rsidP="00565B89">
      <w:pPr>
        <w:pStyle w:val="ImageCaption"/>
        <w:jc w:val="both"/>
        <w:rPr>
          <w:rFonts w:ascii="Times New Roman" w:hAnsi="Times New Roman" w:cs="Times New Roman"/>
        </w:rPr>
      </w:pPr>
      <w:r w:rsidRPr="00565B89">
        <w:rPr>
          <w:rFonts w:ascii="Times New Roman" w:hAnsi="Times New Roman" w:cs="Times New Roman"/>
          <w:b/>
          <w:bCs/>
        </w:rPr>
        <w:t>Supplementary Fig. S2 — Precision-Recall curves.</w:t>
      </w:r>
      <w:r w:rsidRPr="00565B89">
        <w:rPr>
          <w:rFonts w:ascii="Times New Roman" w:hAnsi="Times New Roman" w:cs="Times New Roman"/>
        </w:rPr>
        <w:t xml:space="preserve"> Precision-recall curves for XGBoost (blue) and logistic regression (orange). The dashed horizontal line indicates the no-skill baseline equal to event prevalence (1.96%). AUPRC values are annotated. The XGBoost model achieves AUPRC = 0.102, a 5.2-fold improvement over the prevalence baseline, indicating substantially better precision at clinically relevant recall thresholds.</w:t>
      </w:r>
    </w:p>
    <w:p w14:paraId="567334E3" w14:textId="77777777" w:rsidR="00C93AF5" w:rsidRDefault="00000000">
      <w:pPr>
        <w:pStyle w:val="CaptionedFigure"/>
      </w:pPr>
      <w:bookmarkStart w:id="39" w:name="fig:cal_supp"/>
      <w:bookmarkEnd w:id="38"/>
      <w:r>
        <w:rPr>
          <w:noProof/>
        </w:rPr>
        <w:lastRenderedPageBreak/>
        <w:drawing>
          <wp:inline distT="0" distB="0" distL="0" distR="0" wp14:anchorId="049F3478" wp14:editId="6AACA4E6">
            <wp:extent cx="5334000" cy="4564623"/>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figures/calibration.png"/>
                    <pic:cNvPicPr>
                      <a:picLocks noChangeAspect="1" noChangeArrowheads="1"/>
                    </pic:cNvPicPr>
                  </pic:nvPicPr>
                  <pic:blipFill>
                    <a:blip r:embed="rId13"/>
                    <a:stretch>
                      <a:fillRect/>
                    </a:stretch>
                  </pic:blipFill>
                  <pic:spPr bwMode="auto">
                    <a:xfrm>
                      <a:off x="0" y="0"/>
                      <a:ext cx="5334000" cy="4564623"/>
                    </a:xfrm>
                    <a:prstGeom prst="rect">
                      <a:avLst/>
                    </a:prstGeom>
                    <a:noFill/>
                    <a:ln w="9525">
                      <a:noFill/>
                      <a:headEnd/>
                      <a:tailEnd/>
                    </a:ln>
                  </pic:spPr>
                </pic:pic>
              </a:graphicData>
            </a:graphic>
          </wp:inline>
        </w:drawing>
      </w:r>
    </w:p>
    <w:p w14:paraId="1CC0C90D" w14:textId="77777777" w:rsidR="00C93AF5" w:rsidRPr="00565B89" w:rsidRDefault="00000000" w:rsidP="00565B89">
      <w:pPr>
        <w:pStyle w:val="ImageCaption"/>
        <w:jc w:val="both"/>
        <w:rPr>
          <w:rFonts w:ascii="Times New Roman" w:hAnsi="Times New Roman" w:cs="Times New Roman"/>
        </w:rPr>
      </w:pPr>
      <w:r w:rsidRPr="00565B89">
        <w:rPr>
          <w:rFonts w:ascii="Times New Roman" w:hAnsi="Times New Roman" w:cs="Times New Roman"/>
          <w:b/>
          <w:bCs/>
        </w:rPr>
        <w:t>Supplementary Fig. S3 — Calibration curves (reliability diagrams).</w:t>
      </w:r>
      <w:r w:rsidRPr="00565B89">
        <w:rPr>
          <w:rFonts w:ascii="Times New Roman" w:hAnsi="Times New Roman" w:cs="Times New Roman"/>
        </w:rPr>
        <w:t xml:space="preserve"> Reliability diagram comparing predicted probabilities (x-axis) against observed event fractions (y-axis) for XGBoost (blue) and logistic regression (orange). The diagonal dashed line represents perfect calibration. Brier scores are annotated. The XGBoost model (Brier score = 0.175) shows systematic overestimation above predicted probability 0.35, a known consequence of extreme class imbalance; predicted scores should be interpreted as relative risk rankings rather than absolute probabilities.</w:t>
      </w:r>
    </w:p>
    <w:p w14:paraId="2AEDB05F" w14:textId="77777777" w:rsidR="00C93AF5" w:rsidRDefault="00000000">
      <w:pPr>
        <w:pStyle w:val="CaptionedFigure"/>
      </w:pPr>
      <w:bookmarkStart w:id="40" w:name="fig:threshold_supp"/>
      <w:bookmarkEnd w:id="39"/>
      <w:r>
        <w:rPr>
          <w:noProof/>
        </w:rPr>
        <w:lastRenderedPageBreak/>
        <w:drawing>
          <wp:inline distT="0" distB="0" distL="0" distR="0" wp14:anchorId="7C3F0C6E" wp14:editId="19CCC1FD">
            <wp:extent cx="5334000" cy="3309514"/>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figures/threshold_analysis.png"/>
                    <pic:cNvPicPr>
                      <a:picLocks noChangeAspect="1" noChangeArrowheads="1"/>
                    </pic:cNvPicPr>
                  </pic:nvPicPr>
                  <pic:blipFill>
                    <a:blip r:embed="rId14"/>
                    <a:stretch>
                      <a:fillRect/>
                    </a:stretch>
                  </pic:blipFill>
                  <pic:spPr bwMode="auto">
                    <a:xfrm>
                      <a:off x="0" y="0"/>
                      <a:ext cx="5334000" cy="3309514"/>
                    </a:xfrm>
                    <a:prstGeom prst="rect">
                      <a:avLst/>
                    </a:prstGeom>
                    <a:noFill/>
                    <a:ln w="9525">
                      <a:noFill/>
                      <a:headEnd/>
                      <a:tailEnd/>
                    </a:ln>
                  </pic:spPr>
                </pic:pic>
              </a:graphicData>
            </a:graphic>
          </wp:inline>
        </w:drawing>
      </w:r>
    </w:p>
    <w:p w14:paraId="7B93EC46" w14:textId="77777777" w:rsidR="00C93AF5" w:rsidRDefault="00000000" w:rsidP="00565B89">
      <w:pPr>
        <w:pStyle w:val="ImageCaption"/>
        <w:jc w:val="both"/>
        <w:rPr>
          <w:rFonts w:ascii="Times New Roman" w:hAnsi="Times New Roman" w:cs="Times New Roman"/>
        </w:rPr>
      </w:pPr>
      <w:r w:rsidRPr="00565B89">
        <w:rPr>
          <w:rFonts w:ascii="Times New Roman" w:hAnsi="Times New Roman" w:cs="Times New Roman"/>
          <w:b/>
          <w:bCs/>
        </w:rPr>
        <w:t>Supplementary Fig. S4 — Threshold operating characteristics.</w:t>
      </w:r>
      <w:r w:rsidRPr="00565B89">
        <w:rPr>
          <w:rFonts w:ascii="Times New Roman" w:hAnsi="Times New Roman" w:cs="Times New Roman"/>
        </w:rPr>
        <w:t xml:space="preserve"> Sensitivity (blue), specificity (orange), PPV (green), and F1 score (red) as a function of decision threshold for the XGBoost model. The vertical dashed line marks the recommended threshold (0.31) corresponding to 90% sensitivity. Institutions may adjust the threshold rightward to reduce alert burden at the cost of sensitivity, or leftward to maximise detection at the cost of increased false-positive alerts.</w:t>
      </w:r>
    </w:p>
    <w:p w14:paraId="29F5B325" w14:textId="77777777" w:rsidR="00565B89" w:rsidRDefault="00565B89" w:rsidP="00565B89">
      <w:pPr>
        <w:pStyle w:val="ImageCaption"/>
        <w:jc w:val="both"/>
        <w:rPr>
          <w:rFonts w:ascii="Times New Roman" w:hAnsi="Times New Roman" w:cs="Times New Roman"/>
        </w:rPr>
      </w:pPr>
    </w:p>
    <w:p w14:paraId="29B63179" w14:textId="5C3321B2" w:rsidR="00565B89" w:rsidRDefault="00565B89" w:rsidP="00565B89">
      <w:pPr>
        <w:pStyle w:val="ImageCaption"/>
        <w:jc w:val="both"/>
        <w:rPr>
          <w:rFonts w:ascii="Times New Roman" w:hAnsi="Times New Roman" w:cs="Times New Roman"/>
          <w:b/>
          <w:bCs/>
          <w:i w:val="0"/>
          <w:iCs/>
          <w:sz w:val="32"/>
          <w:szCs w:val="32"/>
        </w:rPr>
      </w:pPr>
      <w:r w:rsidRPr="00565B89">
        <w:rPr>
          <w:rFonts w:ascii="Times New Roman" w:hAnsi="Times New Roman" w:cs="Times New Roman"/>
          <w:b/>
          <w:bCs/>
          <w:i w:val="0"/>
          <w:iCs/>
          <w:sz w:val="32"/>
          <w:szCs w:val="32"/>
        </w:rPr>
        <w:t>References</w:t>
      </w:r>
    </w:p>
    <w:p w14:paraId="2A4B0CBB" w14:textId="77777777" w:rsidR="00565B89" w:rsidRPr="00565B89" w:rsidRDefault="00565B89" w:rsidP="00565B89">
      <w:pPr>
        <w:pStyle w:val="ImageCaption"/>
        <w:jc w:val="both"/>
        <w:rPr>
          <w:rFonts w:ascii="Times New Roman" w:hAnsi="Times New Roman" w:cs="Times New Roman"/>
          <w:b/>
          <w:bCs/>
          <w:i w:val="0"/>
          <w:iCs/>
          <w:sz w:val="32"/>
          <w:szCs w:val="32"/>
        </w:rPr>
      </w:pPr>
    </w:p>
    <w:p w14:paraId="74DC295F" w14:textId="77777777" w:rsidR="00C93AF5" w:rsidRPr="00565B89" w:rsidRDefault="00000000" w:rsidP="00565B89">
      <w:pPr>
        <w:pStyle w:val="Bibliography"/>
        <w:jc w:val="both"/>
        <w:rPr>
          <w:rFonts w:ascii="Times New Roman" w:hAnsi="Times New Roman" w:cs="Times New Roman"/>
          <w:sz w:val="20"/>
          <w:szCs w:val="20"/>
        </w:rPr>
      </w:pPr>
      <w:bookmarkStart w:id="41" w:name="ref-breiman2001_rf"/>
      <w:bookmarkStart w:id="42" w:name="refs"/>
      <w:bookmarkEnd w:id="40"/>
      <w:r w:rsidRPr="00565B89">
        <w:rPr>
          <w:rFonts w:ascii="Times New Roman" w:hAnsi="Times New Roman" w:cs="Times New Roman"/>
          <w:sz w:val="20"/>
          <w:szCs w:val="20"/>
        </w:rPr>
        <w:t xml:space="preserve">Breiman, Leo. 2001. “Random Forests.” </w:t>
      </w:r>
      <w:r w:rsidRPr="00565B89">
        <w:rPr>
          <w:rFonts w:ascii="Times New Roman" w:hAnsi="Times New Roman" w:cs="Times New Roman"/>
          <w:i/>
          <w:iCs/>
          <w:sz w:val="20"/>
          <w:szCs w:val="20"/>
        </w:rPr>
        <w:t>Machine Learning</w:t>
      </w:r>
      <w:r w:rsidRPr="00565B89">
        <w:rPr>
          <w:rFonts w:ascii="Times New Roman" w:hAnsi="Times New Roman" w:cs="Times New Roman"/>
          <w:sz w:val="20"/>
          <w:szCs w:val="20"/>
        </w:rPr>
        <w:t xml:space="preserve"> 45 (1): 5–32. </w:t>
      </w:r>
      <w:hyperlink r:id="rId15">
        <w:r w:rsidR="00C93AF5" w:rsidRPr="00565B89">
          <w:rPr>
            <w:rStyle w:val="Hyperlink"/>
            <w:rFonts w:ascii="Times New Roman" w:hAnsi="Times New Roman" w:cs="Times New Roman"/>
            <w:sz w:val="20"/>
            <w:szCs w:val="20"/>
          </w:rPr>
          <w:t>https://doi.org/10.1023/A:1010933404324</w:t>
        </w:r>
      </w:hyperlink>
      <w:r w:rsidRPr="00565B89">
        <w:rPr>
          <w:rFonts w:ascii="Times New Roman" w:hAnsi="Times New Roman" w:cs="Times New Roman"/>
          <w:sz w:val="20"/>
          <w:szCs w:val="20"/>
        </w:rPr>
        <w:t>.</w:t>
      </w:r>
    </w:p>
    <w:p w14:paraId="3D2C0996" w14:textId="77777777" w:rsidR="00C93AF5" w:rsidRPr="00565B89" w:rsidRDefault="00000000" w:rsidP="00565B89">
      <w:pPr>
        <w:pStyle w:val="Bibliography"/>
        <w:jc w:val="both"/>
        <w:rPr>
          <w:rFonts w:ascii="Times New Roman" w:hAnsi="Times New Roman" w:cs="Times New Roman"/>
          <w:sz w:val="20"/>
          <w:szCs w:val="20"/>
        </w:rPr>
      </w:pPr>
      <w:bookmarkStart w:id="43" w:name="ref-chen2016_xgb"/>
      <w:bookmarkEnd w:id="41"/>
      <w:r w:rsidRPr="00565B89">
        <w:rPr>
          <w:rFonts w:ascii="Times New Roman" w:hAnsi="Times New Roman" w:cs="Times New Roman"/>
          <w:sz w:val="20"/>
          <w:szCs w:val="20"/>
        </w:rPr>
        <w:t xml:space="preserve">Chen, Tianqi, and Carlos Guestrin. 2016. “XGBoost: A Scalable Tree Boosting System.” </w:t>
      </w:r>
      <w:r w:rsidRPr="00565B89">
        <w:rPr>
          <w:rFonts w:ascii="Times New Roman" w:hAnsi="Times New Roman" w:cs="Times New Roman"/>
          <w:i/>
          <w:iCs/>
          <w:sz w:val="20"/>
          <w:szCs w:val="20"/>
        </w:rPr>
        <w:t>Proceedings of the 22nd ACM SIGKDD International Conference on Knowledge Discovery and Data Mining</w:t>
      </w:r>
      <w:r w:rsidRPr="00565B89">
        <w:rPr>
          <w:rFonts w:ascii="Times New Roman" w:hAnsi="Times New Roman" w:cs="Times New Roman"/>
          <w:sz w:val="20"/>
          <w:szCs w:val="20"/>
        </w:rPr>
        <w:t xml:space="preserve">, 785–94. </w:t>
      </w:r>
      <w:hyperlink r:id="rId16">
        <w:r w:rsidR="00C93AF5" w:rsidRPr="00565B89">
          <w:rPr>
            <w:rStyle w:val="Hyperlink"/>
            <w:rFonts w:ascii="Times New Roman" w:hAnsi="Times New Roman" w:cs="Times New Roman"/>
            <w:sz w:val="20"/>
            <w:szCs w:val="20"/>
          </w:rPr>
          <w:t>https://doi.org/10.1145/2939672.2939785</w:t>
        </w:r>
      </w:hyperlink>
      <w:r w:rsidRPr="00565B89">
        <w:rPr>
          <w:rFonts w:ascii="Times New Roman" w:hAnsi="Times New Roman" w:cs="Times New Roman"/>
          <w:sz w:val="20"/>
          <w:szCs w:val="20"/>
        </w:rPr>
        <w:t>.</w:t>
      </w:r>
    </w:p>
    <w:p w14:paraId="5D78A4DE" w14:textId="77777777" w:rsidR="00C93AF5" w:rsidRPr="00565B89" w:rsidRDefault="00000000" w:rsidP="00565B89">
      <w:pPr>
        <w:pStyle w:val="Bibliography"/>
        <w:jc w:val="both"/>
        <w:rPr>
          <w:rFonts w:ascii="Times New Roman" w:hAnsi="Times New Roman" w:cs="Times New Roman"/>
          <w:sz w:val="20"/>
          <w:szCs w:val="20"/>
        </w:rPr>
      </w:pPr>
      <w:bookmarkStart w:id="44" w:name="ref-davis2006"/>
      <w:bookmarkEnd w:id="43"/>
      <w:r w:rsidRPr="00565B89">
        <w:rPr>
          <w:rFonts w:ascii="Times New Roman" w:hAnsi="Times New Roman" w:cs="Times New Roman"/>
          <w:sz w:val="20"/>
          <w:szCs w:val="20"/>
        </w:rPr>
        <w:t xml:space="preserve">Davis, Jesse, and Mark Goadrich. 2006. </w:t>
      </w:r>
      <w:r w:rsidRPr="00565B89">
        <w:rPr>
          <w:rFonts w:ascii="Times New Roman" w:hAnsi="Times New Roman" w:cs="Times New Roman"/>
          <w:i/>
          <w:iCs/>
          <w:sz w:val="20"/>
          <w:szCs w:val="20"/>
        </w:rPr>
        <w:t>The Relationship Between Precision-Recall and ROC Curves</w:t>
      </w:r>
      <w:r w:rsidRPr="00565B89">
        <w:rPr>
          <w:rFonts w:ascii="Times New Roman" w:hAnsi="Times New Roman" w:cs="Times New Roman"/>
          <w:sz w:val="20"/>
          <w:szCs w:val="20"/>
        </w:rPr>
        <w:t xml:space="preserve">. 233–40. </w:t>
      </w:r>
      <w:hyperlink r:id="rId17">
        <w:r w:rsidR="00C93AF5" w:rsidRPr="00565B89">
          <w:rPr>
            <w:rStyle w:val="Hyperlink"/>
            <w:rFonts w:ascii="Times New Roman" w:hAnsi="Times New Roman" w:cs="Times New Roman"/>
            <w:sz w:val="20"/>
            <w:szCs w:val="20"/>
          </w:rPr>
          <w:t>https://doi.org/10.1145/1143844.1143874</w:t>
        </w:r>
      </w:hyperlink>
      <w:r w:rsidRPr="00565B89">
        <w:rPr>
          <w:rFonts w:ascii="Times New Roman" w:hAnsi="Times New Roman" w:cs="Times New Roman"/>
          <w:sz w:val="20"/>
          <w:szCs w:val="20"/>
        </w:rPr>
        <w:t>.</w:t>
      </w:r>
    </w:p>
    <w:p w14:paraId="7859CFA2" w14:textId="77777777" w:rsidR="00C93AF5" w:rsidRPr="00565B89" w:rsidRDefault="00000000" w:rsidP="00565B89">
      <w:pPr>
        <w:pStyle w:val="Bibliography"/>
        <w:jc w:val="both"/>
        <w:rPr>
          <w:rFonts w:ascii="Times New Roman" w:hAnsi="Times New Roman" w:cs="Times New Roman"/>
          <w:sz w:val="20"/>
          <w:szCs w:val="20"/>
        </w:rPr>
      </w:pPr>
      <w:bookmarkStart w:id="45" w:name="ref-delong1988"/>
      <w:bookmarkEnd w:id="44"/>
      <w:r w:rsidRPr="00565B89">
        <w:rPr>
          <w:rFonts w:ascii="Times New Roman" w:hAnsi="Times New Roman" w:cs="Times New Roman"/>
          <w:sz w:val="20"/>
          <w:szCs w:val="20"/>
        </w:rPr>
        <w:t xml:space="preserve">DeLong, Elizabeth R., David M. DeLong, and Daniel L. Clarke-Pearson. 1988. “Comparing the Areas Under Two or More Correlated Receiver Operating Characteristic Curves: A Nonparametric Approach.” </w:t>
      </w:r>
      <w:r w:rsidRPr="00565B89">
        <w:rPr>
          <w:rFonts w:ascii="Times New Roman" w:hAnsi="Times New Roman" w:cs="Times New Roman"/>
          <w:i/>
          <w:iCs/>
          <w:sz w:val="20"/>
          <w:szCs w:val="20"/>
        </w:rPr>
        <w:t>Biometrics</w:t>
      </w:r>
      <w:r w:rsidRPr="00565B89">
        <w:rPr>
          <w:rFonts w:ascii="Times New Roman" w:hAnsi="Times New Roman" w:cs="Times New Roman"/>
          <w:sz w:val="20"/>
          <w:szCs w:val="20"/>
        </w:rPr>
        <w:t xml:space="preserve"> 44 (3): 837–45. </w:t>
      </w:r>
      <w:hyperlink r:id="rId18">
        <w:r w:rsidR="00C93AF5" w:rsidRPr="00565B89">
          <w:rPr>
            <w:rStyle w:val="Hyperlink"/>
            <w:rFonts w:ascii="Times New Roman" w:hAnsi="Times New Roman" w:cs="Times New Roman"/>
            <w:sz w:val="20"/>
            <w:szCs w:val="20"/>
          </w:rPr>
          <w:t>https://doi.org/10.2307/2531595</w:t>
        </w:r>
      </w:hyperlink>
      <w:r w:rsidRPr="00565B89">
        <w:rPr>
          <w:rFonts w:ascii="Times New Roman" w:hAnsi="Times New Roman" w:cs="Times New Roman"/>
          <w:sz w:val="20"/>
          <w:szCs w:val="20"/>
        </w:rPr>
        <w:t>.</w:t>
      </w:r>
    </w:p>
    <w:p w14:paraId="287F64C7" w14:textId="77777777" w:rsidR="00C93AF5" w:rsidRPr="00565B89" w:rsidRDefault="00000000" w:rsidP="00565B89">
      <w:pPr>
        <w:pStyle w:val="Bibliography"/>
        <w:jc w:val="both"/>
        <w:rPr>
          <w:rFonts w:ascii="Times New Roman" w:hAnsi="Times New Roman" w:cs="Times New Roman"/>
          <w:sz w:val="20"/>
          <w:szCs w:val="20"/>
        </w:rPr>
      </w:pPr>
      <w:bookmarkStart w:id="46" w:name="ref-drew2014"/>
      <w:bookmarkEnd w:id="45"/>
      <w:r w:rsidRPr="00565B89">
        <w:rPr>
          <w:rFonts w:ascii="Times New Roman" w:hAnsi="Times New Roman" w:cs="Times New Roman"/>
          <w:sz w:val="20"/>
          <w:szCs w:val="20"/>
        </w:rPr>
        <w:t xml:space="preserve">Drew, Barbara J., Patricia Harris, Jessica K. Zègre-Hemsey, et al. 2014. “Insights into the Problem of Alarm Fatigue with Physiologic Monitor Devices: A Comprehensive Observational Study of Consecutive Intensive Care Unit Patients.” </w:t>
      </w:r>
      <w:r w:rsidRPr="00565B89">
        <w:rPr>
          <w:rFonts w:ascii="Times New Roman" w:hAnsi="Times New Roman" w:cs="Times New Roman"/>
          <w:i/>
          <w:iCs/>
          <w:sz w:val="20"/>
          <w:szCs w:val="20"/>
        </w:rPr>
        <w:t>PLOS ONE</w:t>
      </w:r>
      <w:r w:rsidRPr="00565B89">
        <w:rPr>
          <w:rFonts w:ascii="Times New Roman" w:hAnsi="Times New Roman" w:cs="Times New Roman"/>
          <w:sz w:val="20"/>
          <w:szCs w:val="20"/>
        </w:rPr>
        <w:t xml:space="preserve"> 9 (10): e110274. </w:t>
      </w:r>
      <w:hyperlink r:id="rId19">
        <w:r w:rsidR="00C93AF5" w:rsidRPr="00565B89">
          <w:rPr>
            <w:rStyle w:val="Hyperlink"/>
            <w:rFonts w:ascii="Times New Roman" w:hAnsi="Times New Roman" w:cs="Times New Roman"/>
            <w:sz w:val="20"/>
            <w:szCs w:val="20"/>
          </w:rPr>
          <w:t>https://doi.org/10.1371/journal.pone.0110274</w:t>
        </w:r>
      </w:hyperlink>
      <w:r w:rsidRPr="00565B89">
        <w:rPr>
          <w:rFonts w:ascii="Times New Roman" w:hAnsi="Times New Roman" w:cs="Times New Roman"/>
          <w:sz w:val="20"/>
          <w:szCs w:val="20"/>
        </w:rPr>
        <w:t>.</w:t>
      </w:r>
    </w:p>
    <w:p w14:paraId="3A49E190" w14:textId="77777777" w:rsidR="00C93AF5" w:rsidRPr="00565B89" w:rsidRDefault="00000000" w:rsidP="00565B89">
      <w:pPr>
        <w:pStyle w:val="Bibliography"/>
        <w:jc w:val="both"/>
        <w:rPr>
          <w:rFonts w:ascii="Times New Roman" w:hAnsi="Times New Roman" w:cs="Times New Roman"/>
          <w:sz w:val="20"/>
          <w:szCs w:val="20"/>
        </w:rPr>
      </w:pPr>
      <w:bookmarkStart w:id="47" w:name="ref-escobar2020"/>
      <w:bookmarkEnd w:id="46"/>
      <w:r w:rsidRPr="00565B89">
        <w:rPr>
          <w:rFonts w:ascii="Times New Roman" w:hAnsi="Times New Roman" w:cs="Times New Roman"/>
          <w:sz w:val="20"/>
          <w:szCs w:val="20"/>
        </w:rPr>
        <w:t xml:space="preserve">Escobar, Gabriel J., Vincent X. Liu, Alejandro Schuler, Brian Lawson, John D. Greene, and Patricia Kipnis. 2020. “Automated Identification of Adults at Risk for in-Hospital Clinical Deterioration.” </w:t>
      </w:r>
      <w:r w:rsidRPr="00565B89">
        <w:rPr>
          <w:rFonts w:ascii="Times New Roman" w:hAnsi="Times New Roman" w:cs="Times New Roman"/>
          <w:i/>
          <w:iCs/>
          <w:sz w:val="20"/>
          <w:szCs w:val="20"/>
        </w:rPr>
        <w:t>New England Journal of Medicine</w:t>
      </w:r>
      <w:r w:rsidRPr="00565B89">
        <w:rPr>
          <w:rFonts w:ascii="Times New Roman" w:hAnsi="Times New Roman" w:cs="Times New Roman"/>
          <w:sz w:val="20"/>
          <w:szCs w:val="20"/>
        </w:rPr>
        <w:t xml:space="preserve"> 383 (20): 1951–60. </w:t>
      </w:r>
      <w:hyperlink r:id="rId20">
        <w:r w:rsidR="00C93AF5" w:rsidRPr="00565B89">
          <w:rPr>
            <w:rStyle w:val="Hyperlink"/>
            <w:rFonts w:ascii="Times New Roman" w:hAnsi="Times New Roman" w:cs="Times New Roman"/>
            <w:sz w:val="20"/>
            <w:szCs w:val="20"/>
          </w:rPr>
          <w:t>https://doi.org/10.1056/NEJMsa2001090</w:t>
        </w:r>
      </w:hyperlink>
      <w:r w:rsidRPr="00565B89">
        <w:rPr>
          <w:rFonts w:ascii="Times New Roman" w:hAnsi="Times New Roman" w:cs="Times New Roman"/>
          <w:sz w:val="20"/>
          <w:szCs w:val="20"/>
        </w:rPr>
        <w:t>.</w:t>
      </w:r>
    </w:p>
    <w:p w14:paraId="3F5F1ECA" w14:textId="77777777" w:rsidR="00C93AF5" w:rsidRPr="00565B89" w:rsidRDefault="00000000" w:rsidP="00565B89">
      <w:pPr>
        <w:pStyle w:val="Bibliography"/>
        <w:jc w:val="both"/>
        <w:rPr>
          <w:rFonts w:ascii="Times New Roman" w:hAnsi="Times New Roman" w:cs="Times New Roman"/>
          <w:sz w:val="20"/>
          <w:szCs w:val="20"/>
        </w:rPr>
      </w:pPr>
      <w:bookmarkStart w:id="48" w:name="ref-henry2015"/>
      <w:bookmarkEnd w:id="47"/>
      <w:r w:rsidRPr="00565B89">
        <w:rPr>
          <w:rFonts w:ascii="Times New Roman" w:hAnsi="Times New Roman" w:cs="Times New Roman"/>
          <w:sz w:val="20"/>
          <w:szCs w:val="20"/>
        </w:rPr>
        <w:lastRenderedPageBreak/>
        <w:t xml:space="preserve">Henry, Kenneth E., David N. Hager, Peter J. Pronovost, and Suchi Saria. 2015. “A Targeted Real-Time Early Warning Score (TREWScore) for Septic Shock.” </w:t>
      </w:r>
      <w:r w:rsidRPr="00565B89">
        <w:rPr>
          <w:rFonts w:ascii="Times New Roman" w:hAnsi="Times New Roman" w:cs="Times New Roman"/>
          <w:i/>
          <w:iCs/>
          <w:sz w:val="20"/>
          <w:szCs w:val="20"/>
        </w:rPr>
        <w:t>Science Translational Medicine</w:t>
      </w:r>
      <w:r w:rsidRPr="00565B89">
        <w:rPr>
          <w:rFonts w:ascii="Times New Roman" w:hAnsi="Times New Roman" w:cs="Times New Roman"/>
          <w:sz w:val="20"/>
          <w:szCs w:val="20"/>
        </w:rPr>
        <w:t xml:space="preserve"> 7 (299): 299ra122. </w:t>
      </w:r>
      <w:hyperlink r:id="rId21">
        <w:r w:rsidR="00C93AF5" w:rsidRPr="00565B89">
          <w:rPr>
            <w:rStyle w:val="Hyperlink"/>
            <w:rFonts w:ascii="Times New Roman" w:hAnsi="Times New Roman" w:cs="Times New Roman"/>
            <w:sz w:val="20"/>
            <w:szCs w:val="20"/>
          </w:rPr>
          <w:t>https://doi.org/10.1126/scitranslmed.aab3719</w:t>
        </w:r>
      </w:hyperlink>
      <w:r w:rsidRPr="00565B89">
        <w:rPr>
          <w:rFonts w:ascii="Times New Roman" w:hAnsi="Times New Roman" w:cs="Times New Roman"/>
          <w:sz w:val="20"/>
          <w:szCs w:val="20"/>
        </w:rPr>
        <w:t>.</w:t>
      </w:r>
    </w:p>
    <w:p w14:paraId="3F2CFE2E" w14:textId="77777777" w:rsidR="00C93AF5" w:rsidRPr="00565B89" w:rsidRDefault="00000000" w:rsidP="00565B89">
      <w:pPr>
        <w:pStyle w:val="Bibliography"/>
        <w:jc w:val="both"/>
        <w:rPr>
          <w:rFonts w:ascii="Times New Roman" w:hAnsi="Times New Roman" w:cs="Times New Roman"/>
          <w:sz w:val="20"/>
          <w:szCs w:val="20"/>
        </w:rPr>
      </w:pPr>
      <w:bookmarkStart w:id="49" w:name="ref-holzinger2017"/>
      <w:bookmarkEnd w:id="48"/>
      <w:r w:rsidRPr="00565B89">
        <w:rPr>
          <w:rFonts w:ascii="Times New Roman" w:hAnsi="Times New Roman" w:cs="Times New Roman"/>
          <w:sz w:val="20"/>
          <w:szCs w:val="20"/>
        </w:rPr>
        <w:t xml:space="preserve">Holzinger, Andreas, Chris Biemann, Constantinos S. Pattichis, and Douglas B. Kell. 2017. “What Do We Need to Build Explainable AI Systems for the Medical Domain?” </w:t>
      </w:r>
      <w:r w:rsidRPr="00565B89">
        <w:rPr>
          <w:rFonts w:ascii="Times New Roman" w:hAnsi="Times New Roman" w:cs="Times New Roman"/>
          <w:i/>
          <w:iCs/>
          <w:sz w:val="20"/>
          <w:szCs w:val="20"/>
        </w:rPr>
        <w:t>arXiv Preprint</w:t>
      </w:r>
      <w:r w:rsidRPr="00565B89">
        <w:rPr>
          <w:rFonts w:ascii="Times New Roman" w:hAnsi="Times New Roman" w:cs="Times New Roman"/>
          <w:sz w:val="20"/>
          <w:szCs w:val="20"/>
        </w:rPr>
        <w:t xml:space="preserve">. </w:t>
      </w:r>
      <w:hyperlink r:id="rId22">
        <w:r w:rsidR="00C93AF5" w:rsidRPr="00565B89">
          <w:rPr>
            <w:rStyle w:val="Hyperlink"/>
            <w:rFonts w:ascii="Times New Roman" w:hAnsi="Times New Roman" w:cs="Times New Roman"/>
            <w:sz w:val="20"/>
            <w:szCs w:val="20"/>
          </w:rPr>
          <w:t>https://arxiv.org/abs/1712.09923</w:t>
        </w:r>
      </w:hyperlink>
      <w:r w:rsidRPr="00565B89">
        <w:rPr>
          <w:rFonts w:ascii="Times New Roman" w:hAnsi="Times New Roman" w:cs="Times New Roman"/>
          <w:sz w:val="20"/>
          <w:szCs w:val="20"/>
        </w:rPr>
        <w:t>.</w:t>
      </w:r>
    </w:p>
    <w:p w14:paraId="3C1FF989" w14:textId="77777777" w:rsidR="00C93AF5" w:rsidRPr="00565B89" w:rsidRDefault="00000000" w:rsidP="00565B89">
      <w:pPr>
        <w:pStyle w:val="Bibliography"/>
        <w:jc w:val="both"/>
        <w:rPr>
          <w:rFonts w:ascii="Times New Roman" w:hAnsi="Times New Roman" w:cs="Times New Roman"/>
          <w:sz w:val="20"/>
          <w:szCs w:val="20"/>
        </w:rPr>
      </w:pPr>
      <w:bookmarkStart w:id="50" w:name="ref-johnson2023_mimic"/>
      <w:bookmarkEnd w:id="49"/>
      <w:r w:rsidRPr="00565B89">
        <w:rPr>
          <w:rFonts w:ascii="Times New Roman" w:hAnsi="Times New Roman" w:cs="Times New Roman"/>
          <w:sz w:val="20"/>
          <w:szCs w:val="20"/>
        </w:rPr>
        <w:t xml:space="preserve">Johnson, Alistair E. W., Lucas Bulgarelli, Lu Shen, et al. 2023. “MIMIC-IV, a Freely Accessible Electronic Health Record Dataset.” </w:t>
      </w:r>
      <w:r w:rsidRPr="00565B89">
        <w:rPr>
          <w:rFonts w:ascii="Times New Roman" w:hAnsi="Times New Roman" w:cs="Times New Roman"/>
          <w:i/>
          <w:iCs/>
          <w:sz w:val="20"/>
          <w:szCs w:val="20"/>
        </w:rPr>
        <w:t>Scientific Data</w:t>
      </w:r>
      <w:r w:rsidRPr="00565B89">
        <w:rPr>
          <w:rFonts w:ascii="Times New Roman" w:hAnsi="Times New Roman" w:cs="Times New Roman"/>
          <w:sz w:val="20"/>
          <w:szCs w:val="20"/>
        </w:rPr>
        <w:t xml:space="preserve"> 10: 1. </w:t>
      </w:r>
      <w:hyperlink r:id="rId23">
        <w:r w:rsidR="00C93AF5" w:rsidRPr="00565B89">
          <w:rPr>
            <w:rStyle w:val="Hyperlink"/>
            <w:rFonts w:ascii="Times New Roman" w:hAnsi="Times New Roman" w:cs="Times New Roman"/>
            <w:sz w:val="20"/>
            <w:szCs w:val="20"/>
          </w:rPr>
          <w:t>https://doi.org/10.1038/s41597-022-01899-x</w:t>
        </w:r>
      </w:hyperlink>
      <w:r w:rsidRPr="00565B89">
        <w:rPr>
          <w:rFonts w:ascii="Times New Roman" w:hAnsi="Times New Roman" w:cs="Times New Roman"/>
          <w:sz w:val="20"/>
          <w:szCs w:val="20"/>
        </w:rPr>
        <w:t>.</w:t>
      </w:r>
    </w:p>
    <w:p w14:paraId="31B4D9E8" w14:textId="77777777" w:rsidR="00C93AF5" w:rsidRPr="00565B89" w:rsidRDefault="00000000" w:rsidP="00565B89">
      <w:pPr>
        <w:pStyle w:val="Bibliography"/>
        <w:jc w:val="both"/>
        <w:rPr>
          <w:rFonts w:ascii="Times New Roman" w:hAnsi="Times New Roman" w:cs="Times New Roman"/>
          <w:sz w:val="20"/>
          <w:szCs w:val="20"/>
        </w:rPr>
      </w:pPr>
      <w:bookmarkStart w:id="51" w:name="ref-kause2004"/>
      <w:bookmarkEnd w:id="50"/>
      <w:r w:rsidRPr="00565B89">
        <w:rPr>
          <w:rFonts w:ascii="Times New Roman" w:hAnsi="Times New Roman" w:cs="Times New Roman"/>
          <w:sz w:val="20"/>
          <w:szCs w:val="20"/>
        </w:rPr>
        <w:t xml:space="preserve">Kause, Jan, Gary Smith, David Prytherch, Michael Parr, Arthas Flabouris, and Ken Hillman. 2004. “A Comparison of Antecedents to Cardiac Arrests, Deaths and Emergency Intensive Care Admissions in Australia and New Zealand, and the United Kingdom—the ACADEMIA Study.” </w:t>
      </w:r>
      <w:r w:rsidRPr="00565B89">
        <w:rPr>
          <w:rFonts w:ascii="Times New Roman" w:hAnsi="Times New Roman" w:cs="Times New Roman"/>
          <w:i/>
          <w:iCs/>
          <w:sz w:val="20"/>
          <w:szCs w:val="20"/>
        </w:rPr>
        <w:t>Resuscitation</w:t>
      </w:r>
      <w:r w:rsidRPr="00565B89">
        <w:rPr>
          <w:rFonts w:ascii="Times New Roman" w:hAnsi="Times New Roman" w:cs="Times New Roman"/>
          <w:sz w:val="20"/>
          <w:szCs w:val="20"/>
        </w:rPr>
        <w:t xml:space="preserve"> 62 (3): 275–82. </w:t>
      </w:r>
      <w:hyperlink r:id="rId24">
        <w:r w:rsidR="00C93AF5" w:rsidRPr="00565B89">
          <w:rPr>
            <w:rStyle w:val="Hyperlink"/>
            <w:rFonts w:ascii="Times New Roman" w:hAnsi="Times New Roman" w:cs="Times New Roman"/>
            <w:sz w:val="20"/>
            <w:szCs w:val="20"/>
          </w:rPr>
          <w:t>https://doi.org/10.1016/j.resuscitation.2004.05.016</w:t>
        </w:r>
      </w:hyperlink>
      <w:r w:rsidRPr="00565B89">
        <w:rPr>
          <w:rFonts w:ascii="Times New Roman" w:hAnsi="Times New Roman" w:cs="Times New Roman"/>
          <w:sz w:val="20"/>
          <w:szCs w:val="20"/>
        </w:rPr>
        <w:t>.</w:t>
      </w:r>
    </w:p>
    <w:p w14:paraId="02186AA8" w14:textId="77777777" w:rsidR="00C93AF5" w:rsidRPr="00565B89" w:rsidRDefault="00000000" w:rsidP="00565B89">
      <w:pPr>
        <w:pStyle w:val="Bibliography"/>
        <w:jc w:val="both"/>
        <w:rPr>
          <w:rFonts w:ascii="Times New Roman" w:hAnsi="Times New Roman" w:cs="Times New Roman"/>
          <w:sz w:val="20"/>
          <w:szCs w:val="20"/>
        </w:rPr>
      </w:pPr>
      <w:bookmarkStart w:id="52" w:name="ref-lundberg2017"/>
      <w:bookmarkEnd w:id="51"/>
      <w:r w:rsidRPr="00565B89">
        <w:rPr>
          <w:rFonts w:ascii="Times New Roman" w:hAnsi="Times New Roman" w:cs="Times New Roman"/>
          <w:sz w:val="20"/>
          <w:szCs w:val="20"/>
        </w:rPr>
        <w:t xml:space="preserve">Lundberg, Scott M., and Su-In Lee. 2017. “A Unified Approach to Interpreting Model Predictions.” In </w:t>
      </w:r>
      <w:r w:rsidRPr="00565B89">
        <w:rPr>
          <w:rFonts w:ascii="Times New Roman" w:hAnsi="Times New Roman" w:cs="Times New Roman"/>
          <w:i/>
          <w:iCs/>
          <w:sz w:val="20"/>
          <w:szCs w:val="20"/>
        </w:rPr>
        <w:t>Advances in Neural Information Processing Systems</w:t>
      </w:r>
      <w:r w:rsidRPr="00565B89">
        <w:rPr>
          <w:rFonts w:ascii="Times New Roman" w:hAnsi="Times New Roman" w:cs="Times New Roman"/>
          <w:sz w:val="20"/>
          <w:szCs w:val="20"/>
        </w:rPr>
        <w:t>, edited by Isabelle Guyon et al., vol. 30. Curran Associates.</w:t>
      </w:r>
    </w:p>
    <w:p w14:paraId="7DC06C8B" w14:textId="77777777" w:rsidR="00C93AF5" w:rsidRPr="00565B89" w:rsidRDefault="00000000" w:rsidP="00565B89">
      <w:pPr>
        <w:pStyle w:val="Bibliography"/>
        <w:jc w:val="both"/>
        <w:rPr>
          <w:rFonts w:ascii="Times New Roman" w:hAnsi="Times New Roman" w:cs="Times New Roman"/>
          <w:sz w:val="20"/>
          <w:szCs w:val="20"/>
        </w:rPr>
      </w:pPr>
      <w:bookmarkStart w:id="53" w:name="ref-react"/>
      <w:bookmarkEnd w:id="52"/>
      <w:r w:rsidRPr="00565B89">
        <w:rPr>
          <w:rFonts w:ascii="Times New Roman" w:hAnsi="Times New Roman" w:cs="Times New Roman"/>
          <w:sz w:val="20"/>
          <w:szCs w:val="20"/>
        </w:rPr>
        <w:t xml:space="preserve">Meta Platforms, Inc. 2013. </w:t>
      </w:r>
      <w:r w:rsidRPr="00565B89">
        <w:rPr>
          <w:rFonts w:ascii="Times New Roman" w:hAnsi="Times New Roman" w:cs="Times New Roman"/>
          <w:i/>
          <w:iCs/>
          <w:sz w:val="20"/>
          <w:szCs w:val="20"/>
        </w:rPr>
        <w:t>React: A JavaScript Library for Building User Interfaces</w:t>
      </w:r>
      <w:r w:rsidRPr="00565B89">
        <w:rPr>
          <w:rFonts w:ascii="Times New Roman" w:hAnsi="Times New Roman" w:cs="Times New Roman"/>
          <w:sz w:val="20"/>
          <w:szCs w:val="20"/>
        </w:rPr>
        <w:t xml:space="preserve">. </w:t>
      </w:r>
      <w:hyperlink r:id="rId25">
        <w:r w:rsidR="00C93AF5" w:rsidRPr="00565B89">
          <w:rPr>
            <w:rStyle w:val="Hyperlink"/>
            <w:rFonts w:ascii="Times New Roman" w:hAnsi="Times New Roman" w:cs="Times New Roman"/>
            <w:sz w:val="20"/>
            <w:szCs w:val="20"/>
          </w:rPr>
          <w:t>https://react.dev</w:t>
        </w:r>
      </w:hyperlink>
      <w:r w:rsidRPr="00565B89">
        <w:rPr>
          <w:rFonts w:ascii="Times New Roman" w:hAnsi="Times New Roman" w:cs="Times New Roman"/>
          <w:sz w:val="20"/>
          <w:szCs w:val="20"/>
        </w:rPr>
        <w:t>.</w:t>
      </w:r>
    </w:p>
    <w:p w14:paraId="5A111592" w14:textId="77777777" w:rsidR="00C93AF5" w:rsidRPr="00565B89" w:rsidRDefault="00000000" w:rsidP="00565B89">
      <w:pPr>
        <w:pStyle w:val="Bibliography"/>
        <w:jc w:val="both"/>
        <w:rPr>
          <w:rFonts w:ascii="Times New Roman" w:hAnsi="Times New Roman" w:cs="Times New Roman"/>
          <w:sz w:val="20"/>
          <w:szCs w:val="20"/>
        </w:rPr>
      </w:pPr>
      <w:bookmarkStart w:id="54" w:name="ref-moons2012"/>
      <w:bookmarkEnd w:id="53"/>
      <w:r w:rsidRPr="00565B89">
        <w:rPr>
          <w:rFonts w:ascii="Times New Roman" w:hAnsi="Times New Roman" w:cs="Times New Roman"/>
          <w:sz w:val="20"/>
          <w:szCs w:val="20"/>
        </w:rPr>
        <w:t xml:space="preserve">Moons, Karel G. M., Douglas G. Altman, Yvonne Vergouwe, and Patrick Royston. 2009. “Prognosis and Prognostic Research: Application and Impact of Prognostic Models in Clinical Practice.” </w:t>
      </w:r>
      <w:r w:rsidRPr="00565B89">
        <w:rPr>
          <w:rFonts w:ascii="Times New Roman" w:hAnsi="Times New Roman" w:cs="Times New Roman"/>
          <w:i/>
          <w:iCs/>
          <w:sz w:val="20"/>
          <w:szCs w:val="20"/>
        </w:rPr>
        <w:t>BMJ</w:t>
      </w:r>
      <w:r w:rsidRPr="00565B89">
        <w:rPr>
          <w:rFonts w:ascii="Times New Roman" w:hAnsi="Times New Roman" w:cs="Times New Roman"/>
          <w:sz w:val="20"/>
          <w:szCs w:val="20"/>
        </w:rPr>
        <w:t xml:space="preserve"> 338: b606. </w:t>
      </w:r>
      <w:hyperlink r:id="rId26">
        <w:r w:rsidR="00C93AF5" w:rsidRPr="00565B89">
          <w:rPr>
            <w:rStyle w:val="Hyperlink"/>
            <w:rFonts w:ascii="Times New Roman" w:hAnsi="Times New Roman" w:cs="Times New Roman"/>
            <w:sz w:val="20"/>
            <w:szCs w:val="20"/>
          </w:rPr>
          <w:t>https://doi.org/10.1136/bmj.b606</w:t>
        </w:r>
      </w:hyperlink>
      <w:r w:rsidRPr="00565B89">
        <w:rPr>
          <w:rFonts w:ascii="Times New Roman" w:hAnsi="Times New Roman" w:cs="Times New Roman"/>
          <w:sz w:val="20"/>
          <w:szCs w:val="20"/>
        </w:rPr>
        <w:t>.</w:t>
      </w:r>
    </w:p>
    <w:p w14:paraId="5C756338" w14:textId="77777777" w:rsidR="00C93AF5" w:rsidRPr="00565B89" w:rsidRDefault="00000000" w:rsidP="00565B89">
      <w:pPr>
        <w:pStyle w:val="Bibliography"/>
        <w:jc w:val="both"/>
        <w:rPr>
          <w:rFonts w:ascii="Times New Roman" w:hAnsi="Times New Roman" w:cs="Times New Roman"/>
          <w:sz w:val="20"/>
          <w:szCs w:val="20"/>
        </w:rPr>
      </w:pPr>
      <w:bookmarkStart w:id="55" w:name="ref-prytherch2010"/>
      <w:bookmarkEnd w:id="54"/>
      <w:r w:rsidRPr="00565B89">
        <w:rPr>
          <w:rFonts w:ascii="Times New Roman" w:hAnsi="Times New Roman" w:cs="Times New Roman"/>
          <w:sz w:val="20"/>
          <w:szCs w:val="20"/>
        </w:rPr>
        <w:t xml:space="preserve">Prytherch, David R., Gary B. Smith, Paul E. Schmidt, and Peter I. Featherstone. 2010. “VIEWS—Towards a National Early Warning Score for Detecting Adult Inpatient Deterioration.” </w:t>
      </w:r>
      <w:r w:rsidRPr="00565B89">
        <w:rPr>
          <w:rFonts w:ascii="Times New Roman" w:hAnsi="Times New Roman" w:cs="Times New Roman"/>
          <w:i/>
          <w:iCs/>
          <w:sz w:val="20"/>
          <w:szCs w:val="20"/>
        </w:rPr>
        <w:t>Resuscitation</w:t>
      </w:r>
      <w:r w:rsidRPr="00565B89">
        <w:rPr>
          <w:rFonts w:ascii="Times New Roman" w:hAnsi="Times New Roman" w:cs="Times New Roman"/>
          <w:sz w:val="20"/>
          <w:szCs w:val="20"/>
        </w:rPr>
        <w:t xml:space="preserve"> 81 (8): 932–37. </w:t>
      </w:r>
      <w:hyperlink r:id="rId27">
        <w:r w:rsidR="00C93AF5" w:rsidRPr="00565B89">
          <w:rPr>
            <w:rStyle w:val="Hyperlink"/>
            <w:rFonts w:ascii="Times New Roman" w:hAnsi="Times New Roman" w:cs="Times New Roman"/>
            <w:sz w:val="20"/>
            <w:szCs w:val="20"/>
          </w:rPr>
          <w:t>https://doi.org/10.1016/j.resuscitation.2010.04.014</w:t>
        </w:r>
      </w:hyperlink>
      <w:r w:rsidRPr="00565B89">
        <w:rPr>
          <w:rFonts w:ascii="Times New Roman" w:hAnsi="Times New Roman" w:cs="Times New Roman"/>
          <w:sz w:val="20"/>
          <w:szCs w:val="20"/>
        </w:rPr>
        <w:t>.</w:t>
      </w:r>
    </w:p>
    <w:p w14:paraId="1E6C4BBD" w14:textId="77777777" w:rsidR="00C93AF5" w:rsidRPr="00565B89" w:rsidRDefault="00000000" w:rsidP="00565B89">
      <w:pPr>
        <w:pStyle w:val="Bibliography"/>
        <w:jc w:val="both"/>
        <w:rPr>
          <w:rFonts w:ascii="Times New Roman" w:hAnsi="Times New Roman" w:cs="Times New Roman"/>
          <w:sz w:val="20"/>
          <w:szCs w:val="20"/>
        </w:rPr>
      </w:pPr>
      <w:bookmarkStart w:id="56" w:name="ref-rajkomar2018"/>
      <w:bookmarkEnd w:id="55"/>
      <w:r w:rsidRPr="00565B89">
        <w:rPr>
          <w:rFonts w:ascii="Times New Roman" w:hAnsi="Times New Roman" w:cs="Times New Roman"/>
          <w:sz w:val="20"/>
          <w:szCs w:val="20"/>
        </w:rPr>
        <w:t xml:space="preserve">Rajkomar, Alvin, Eyal Oren, Kai Chen, et al. 2018. “Scalable and Accurate Deep Learning with Electronic Health Records.” </w:t>
      </w:r>
      <w:r w:rsidRPr="00565B89">
        <w:rPr>
          <w:rFonts w:ascii="Times New Roman" w:hAnsi="Times New Roman" w:cs="Times New Roman"/>
          <w:i/>
          <w:iCs/>
          <w:sz w:val="20"/>
          <w:szCs w:val="20"/>
        </w:rPr>
        <w:t>Npj Digital Medicine</w:t>
      </w:r>
      <w:r w:rsidRPr="00565B89">
        <w:rPr>
          <w:rFonts w:ascii="Times New Roman" w:hAnsi="Times New Roman" w:cs="Times New Roman"/>
          <w:sz w:val="20"/>
          <w:szCs w:val="20"/>
        </w:rPr>
        <w:t xml:space="preserve"> 1: 18. </w:t>
      </w:r>
      <w:hyperlink r:id="rId28">
        <w:r w:rsidR="00C93AF5" w:rsidRPr="00565B89">
          <w:rPr>
            <w:rStyle w:val="Hyperlink"/>
            <w:rFonts w:ascii="Times New Roman" w:hAnsi="Times New Roman" w:cs="Times New Roman"/>
            <w:sz w:val="20"/>
            <w:szCs w:val="20"/>
          </w:rPr>
          <w:t>https://doi.org/10.1038/s41746-018-0029-1</w:t>
        </w:r>
      </w:hyperlink>
      <w:r w:rsidRPr="00565B89">
        <w:rPr>
          <w:rFonts w:ascii="Times New Roman" w:hAnsi="Times New Roman" w:cs="Times New Roman"/>
          <w:sz w:val="20"/>
          <w:szCs w:val="20"/>
        </w:rPr>
        <w:t>.</w:t>
      </w:r>
    </w:p>
    <w:p w14:paraId="3BA256D2" w14:textId="77777777" w:rsidR="00C93AF5" w:rsidRPr="00565B89" w:rsidRDefault="00000000" w:rsidP="00565B89">
      <w:pPr>
        <w:pStyle w:val="Bibliography"/>
        <w:jc w:val="both"/>
        <w:rPr>
          <w:rFonts w:ascii="Times New Roman" w:hAnsi="Times New Roman" w:cs="Times New Roman"/>
          <w:sz w:val="20"/>
          <w:szCs w:val="20"/>
        </w:rPr>
      </w:pPr>
      <w:bookmarkStart w:id="57" w:name="ref-fastapi"/>
      <w:bookmarkEnd w:id="56"/>
      <w:r w:rsidRPr="00565B89">
        <w:rPr>
          <w:rFonts w:ascii="Times New Roman" w:hAnsi="Times New Roman" w:cs="Times New Roman"/>
          <w:sz w:val="20"/>
          <w:szCs w:val="20"/>
        </w:rPr>
        <w:t xml:space="preserve">Ramírez, Sebastián. 2018. </w:t>
      </w:r>
      <w:r w:rsidRPr="00565B89">
        <w:rPr>
          <w:rFonts w:ascii="Times New Roman" w:hAnsi="Times New Roman" w:cs="Times New Roman"/>
          <w:i/>
          <w:iCs/>
          <w:sz w:val="20"/>
          <w:szCs w:val="20"/>
        </w:rPr>
        <w:t>FastAPI</w:t>
      </w:r>
      <w:r w:rsidRPr="00565B89">
        <w:rPr>
          <w:rFonts w:ascii="Times New Roman" w:hAnsi="Times New Roman" w:cs="Times New Roman"/>
          <w:sz w:val="20"/>
          <w:szCs w:val="20"/>
        </w:rPr>
        <w:t xml:space="preserve">. </w:t>
      </w:r>
      <w:hyperlink r:id="rId29">
        <w:r w:rsidR="00C93AF5" w:rsidRPr="00565B89">
          <w:rPr>
            <w:rStyle w:val="Hyperlink"/>
            <w:rFonts w:ascii="Times New Roman" w:hAnsi="Times New Roman" w:cs="Times New Roman"/>
            <w:sz w:val="20"/>
            <w:szCs w:val="20"/>
          </w:rPr>
          <w:t>https://fastapi.tiangolo.com</w:t>
        </w:r>
      </w:hyperlink>
      <w:r w:rsidRPr="00565B89">
        <w:rPr>
          <w:rFonts w:ascii="Times New Roman" w:hAnsi="Times New Roman" w:cs="Times New Roman"/>
          <w:sz w:val="20"/>
          <w:szCs w:val="20"/>
        </w:rPr>
        <w:t>.</w:t>
      </w:r>
    </w:p>
    <w:p w14:paraId="5DE982DD" w14:textId="77777777" w:rsidR="00C93AF5" w:rsidRPr="00565B89" w:rsidRDefault="00000000" w:rsidP="00565B89">
      <w:pPr>
        <w:pStyle w:val="Bibliography"/>
        <w:jc w:val="both"/>
        <w:rPr>
          <w:rFonts w:ascii="Times New Roman" w:hAnsi="Times New Roman" w:cs="Times New Roman"/>
          <w:sz w:val="20"/>
          <w:szCs w:val="20"/>
        </w:rPr>
      </w:pPr>
      <w:bookmarkStart w:id="58" w:name="ref-news2"/>
      <w:bookmarkEnd w:id="57"/>
      <w:r w:rsidRPr="00565B89">
        <w:rPr>
          <w:rFonts w:ascii="Times New Roman" w:hAnsi="Times New Roman" w:cs="Times New Roman"/>
          <w:sz w:val="20"/>
          <w:szCs w:val="20"/>
        </w:rPr>
        <w:t xml:space="preserve">Royal College of Physicians. 2017. </w:t>
      </w:r>
      <w:r w:rsidRPr="00565B89">
        <w:rPr>
          <w:rFonts w:ascii="Times New Roman" w:hAnsi="Times New Roman" w:cs="Times New Roman"/>
          <w:i/>
          <w:iCs/>
          <w:sz w:val="20"/>
          <w:szCs w:val="20"/>
        </w:rPr>
        <w:t>National Early Warning Score (NEWS2): Standardising the Assessment of Acute-Illness Severity in the NHS</w:t>
      </w:r>
      <w:r w:rsidRPr="00565B89">
        <w:rPr>
          <w:rFonts w:ascii="Times New Roman" w:hAnsi="Times New Roman" w:cs="Times New Roman"/>
          <w:sz w:val="20"/>
          <w:szCs w:val="20"/>
        </w:rPr>
        <w:t xml:space="preserve">. Royal College of Physicians. </w:t>
      </w:r>
      <w:hyperlink r:id="rId30">
        <w:r w:rsidR="00C93AF5" w:rsidRPr="00565B89">
          <w:rPr>
            <w:rStyle w:val="Hyperlink"/>
            <w:rFonts w:ascii="Times New Roman" w:hAnsi="Times New Roman" w:cs="Times New Roman"/>
            <w:sz w:val="20"/>
            <w:szCs w:val="20"/>
          </w:rPr>
          <w:t>https://www.rcplondon.ac.uk/projects/outputs/national-early-warning-score-news-2</w:t>
        </w:r>
      </w:hyperlink>
      <w:r w:rsidRPr="00565B89">
        <w:rPr>
          <w:rFonts w:ascii="Times New Roman" w:hAnsi="Times New Roman" w:cs="Times New Roman"/>
          <w:sz w:val="20"/>
          <w:szCs w:val="20"/>
        </w:rPr>
        <w:t>.</w:t>
      </w:r>
    </w:p>
    <w:p w14:paraId="624E4A8D" w14:textId="77777777" w:rsidR="00C93AF5" w:rsidRPr="00565B89" w:rsidRDefault="00000000" w:rsidP="00565B89">
      <w:pPr>
        <w:pStyle w:val="Bibliography"/>
        <w:jc w:val="both"/>
        <w:rPr>
          <w:rFonts w:ascii="Times New Roman" w:hAnsi="Times New Roman" w:cs="Times New Roman"/>
          <w:sz w:val="20"/>
          <w:szCs w:val="20"/>
        </w:rPr>
      </w:pPr>
      <w:bookmarkStart w:id="59" w:name="ref-shah2019"/>
      <w:bookmarkEnd w:id="58"/>
      <w:r w:rsidRPr="00565B89">
        <w:rPr>
          <w:rFonts w:ascii="Times New Roman" w:hAnsi="Times New Roman" w:cs="Times New Roman"/>
          <w:sz w:val="20"/>
          <w:szCs w:val="20"/>
        </w:rPr>
        <w:t xml:space="preserve">Shah, Nigam H., Arnold Milstein, and Steven C. Bagley. 2019. “Making Machine Learning Models Clinically Useful.” </w:t>
      </w:r>
      <w:r w:rsidRPr="00565B89">
        <w:rPr>
          <w:rFonts w:ascii="Times New Roman" w:hAnsi="Times New Roman" w:cs="Times New Roman"/>
          <w:i/>
          <w:iCs/>
          <w:sz w:val="20"/>
          <w:szCs w:val="20"/>
        </w:rPr>
        <w:t>JAMA</w:t>
      </w:r>
      <w:r w:rsidRPr="00565B89">
        <w:rPr>
          <w:rFonts w:ascii="Times New Roman" w:hAnsi="Times New Roman" w:cs="Times New Roman"/>
          <w:sz w:val="20"/>
          <w:szCs w:val="20"/>
        </w:rPr>
        <w:t xml:space="preserve"> 322 (14): 1351–52. </w:t>
      </w:r>
      <w:hyperlink r:id="rId31">
        <w:r w:rsidR="00C93AF5" w:rsidRPr="00565B89">
          <w:rPr>
            <w:rStyle w:val="Hyperlink"/>
            <w:rFonts w:ascii="Times New Roman" w:hAnsi="Times New Roman" w:cs="Times New Roman"/>
            <w:sz w:val="20"/>
            <w:szCs w:val="20"/>
          </w:rPr>
          <w:t>https://doi.org/10.1001/jama.2019.10306</w:t>
        </w:r>
      </w:hyperlink>
      <w:r w:rsidRPr="00565B89">
        <w:rPr>
          <w:rFonts w:ascii="Times New Roman" w:hAnsi="Times New Roman" w:cs="Times New Roman"/>
          <w:sz w:val="20"/>
          <w:szCs w:val="20"/>
        </w:rPr>
        <w:t>.</w:t>
      </w:r>
    </w:p>
    <w:p w14:paraId="708EDD22" w14:textId="77777777" w:rsidR="00C93AF5" w:rsidRPr="00565B89" w:rsidRDefault="00000000" w:rsidP="00565B89">
      <w:pPr>
        <w:pStyle w:val="Bibliography"/>
        <w:jc w:val="both"/>
        <w:rPr>
          <w:rFonts w:ascii="Times New Roman" w:hAnsi="Times New Roman" w:cs="Times New Roman"/>
          <w:sz w:val="20"/>
          <w:szCs w:val="20"/>
        </w:rPr>
      </w:pPr>
      <w:bookmarkStart w:id="60" w:name="ref-smith2013"/>
      <w:bookmarkEnd w:id="59"/>
      <w:r w:rsidRPr="00565B89">
        <w:rPr>
          <w:rFonts w:ascii="Times New Roman" w:hAnsi="Times New Roman" w:cs="Times New Roman"/>
          <w:sz w:val="20"/>
          <w:szCs w:val="20"/>
        </w:rPr>
        <w:t xml:space="preserve">Smith, Gary B., David R. Prytherch, Paul Meredith, Paul E. Schmidt, and Peter I. Featherstone. 2013. “The Ability of the National Early Warning Score (NEWS) to Discriminate Patients at Risk of Early Cardiac Arrest, Unanticipated Intensive Care Unit Admission, and Death.” </w:t>
      </w:r>
      <w:r w:rsidRPr="00565B89">
        <w:rPr>
          <w:rFonts w:ascii="Times New Roman" w:hAnsi="Times New Roman" w:cs="Times New Roman"/>
          <w:i/>
          <w:iCs/>
          <w:sz w:val="20"/>
          <w:szCs w:val="20"/>
        </w:rPr>
        <w:t>Resuscitation</w:t>
      </w:r>
      <w:r w:rsidRPr="00565B89">
        <w:rPr>
          <w:rFonts w:ascii="Times New Roman" w:hAnsi="Times New Roman" w:cs="Times New Roman"/>
          <w:sz w:val="20"/>
          <w:szCs w:val="20"/>
        </w:rPr>
        <w:t xml:space="preserve"> 84 (4): 465–70. </w:t>
      </w:r>
      <w:hyperlink r:id="rId32">
        <w:r w:rsidR="00C93AF5" w:rsidRPr="00565B89">
          <w:rPr>
            <w:rStyle w:val="Hyperlink"/>
            <w:rFonts w:ascii="Times New Roman" w:hAnsi="Times New Roman" w:cs="Times New Roman"/>
            <w:sz w:val="20"/>
            <w:szCs w:val="20"/>
          </w:rPr>
          <w:t>https://doi.org/10.1016/j.resuscitation.2012.12.016</w:t>
        </w:r>
      </w:hyperlink>
      <w:r w:rsidRPr="00565B89">
        <w:rPr>
          <w:rFonts w:ascii="Times New Roman" w:hAnsi="Times New Roman" w:cs="Times New Roman"/>
          <w:sz w:val="20"/>
          <w:szCs w:val="20"/>
        </w:rPr>
        <w:t>.</w:t>
      </w:r>
    </w:p>
    <w:p w14:paraId="33C6605B" w14:textId="77777777" w:rsidR="00C93AF5" w:rsidRPr="00565B89" w:rsidRDefault="00000000" w:rsidP="00565B89">
      <w:pPr>
        <w:pStyle w:val="Bibliography"/>
        <w:jc w:val="both"/>
        <w:rPr>
          <w:rFonts w:ascii="Times New Roman" w:hAnsi="Times New Roman" w:cs="Times New Roman"/>
          <w:sz w:val="20"/>
          <w:szCs w:val="20"/>
        </w:rPr>
      </w:pPr>
      <w:bookmarkStart w:id="61" w:name="ref-sperrin2017"/>
      <w:bookmarkEnd w:id="60"/>
      <w:r w:rsidRPr="00565B89">
        <w:rPr>
          <w:rFonts w:ascii="Times New Roman" w:hAnsi="Times New Roman" w:cs="Times New Roman"/>
          <w:sz w:val="20"/>
          <w:szCs w:val="20"/>
        </w:rPr>
        <w:t xml:space="preserve">Sperrin, Matthew, and Alexander Pate. 2021. “Understanding Missing Data in Electronic Health Records.” </w:t>
      </w:r>
      <w:r w:rsidRPr="00565B89">
        <w:rPr>
          <w:rFonts w:ascii="Times New Roman" w:hAnsi="Times New Roman" w:cs="Times New Roman"/>
          <w:i/>
          <w:iCs/>
          <w:sz w:val="20"/>
          <w:szCs w:val="20"/>
        </w:rPr>
        <w:t>BMC Medical Informatics and Decision Making</w:t>
      </w:r>
      <w:r w:rsidRPr="00565B89">
        <w:rPr>
          <w:rFonts w:ascii="Times New Roman" w:hAnsi="Times New Roman" w:cs="Times New Roman"/>
          <w:sz w:val="20"/>
          <w:szCs w:val="20"/>
        </w:rPr>
        <w:t xml:space="preserve"> 21: 1–8. </w:t>
      </w:r>
      <w:hyperlink r:id="rId33">
        <w:r w:rsidR="00C93AF5" w:rsidRPr="00565B89">
          <w:rPr>
            <w:rStyle w:val="Hyperlink"/>
            <w:rFonts w:ascii="Times New Roman" w:hAnsi="Times New Roman" w:cs="Times New Roman"/>
            <w:sz w:val="20"/>
            <w:szCs w:val="20"/>
          </w:rPr>
          <w:t>https://doi.org/10.1186/s12911-021-01422-1</w:t>
        </w:r>
      </w:hyperlink>
      <w:r w:rsidRPr="00565B89">
        <w:rPr>
          <w:rFonts w:ascii="Times New Roman" w:hAnsi="Times New Roman" w:cs="Times New Roman"/>
          <w:sz w:val="20"/>
          <w:szCs w:val="20"/>
        </w:rPr>
        <w:t>.</w:t>
      </w:r>
    </w:p>
    <w:p w14:paraId="5C6B5867" w14:textId="77777777" w:rsidR="00C93AF5" w:rsidRPr="00565B89" w:rsidRDefault="00000000" w:rsidP="00565B89">
      <w:pPr>
        <w:pStyle w:val="Bibliography"/>
        <w:jc w:val="both"/>
        <w:rPr>
          <w:rFonts w:ascii="Times New Roman" w:hAnsi="Times New Roman" w:cs="Times New Roman"/>
          <w:sz w:val="20"/>
          <w:szCs w:val="20"/>
        </w:rPr>
      </w:pPr>
      <w:bookmarkStart w:id="62" w:name="ref-vickers2006dca"/>
      <w:bookmarkEnd w:id="61"/>
      <w:r w:rsidRPr="00565B89">
        <w:rPr>
          <w:rFonts w:ascii="Times New Roman" w:hAnsi="Times New Roman" w:cs="Times New Roman"/>
          <w:sz w:val="20"/>
          <w:szCs w:val="20"/>
        </w:rPr>
        <w:t xml:space="preserve">Vickers, Andrew J, and Elena B Elkin. 2006. “Decision Curve Analysis: A Novel Method for Evaluating Prediction Models.” </w:t>
      </w:r>
      <w:r w:rsidRPr="00565B89">
        <w:rPr>
          <w:rFonts w:ascii="Times New Roman" w:hAnsi="Times New Roman" w:cs="Times New Roman"/>
          <w:i/>
          <w:iCs/>
          <w:sz w:val="20"/>
          <w:szCs w:val="20"/>
        </w:rPr>
        <w:t>Medical Decision Making</w:t>
      </w:r>
      <w:r w:rsidRPr="00565B89">
        <w:rPr>
          <w:rFonts w:ascii="Times New Roman" w:hAnsi="Times New Roman" w:cs="Times New Roman"/>
          <w:sz w:val="20"/>
          <w:szCs w:val="20"/>
        </w:rPr>
        <w:t xml:space="preserve"> 26 (6): 565–74. </w:t>
      </w:r>
      <w:hyperlink r:id="rId34">
        <w:r w:rsidR="00C93AF5" w:rsidRPr="00565B89">
          <w:rPr>
            <w:rStyle w:val="Hyperlink"/>
            <w:rFonts w:ascii="Times New Roman" w:hAnsi="Times New Roman" w:cs="Times New Roman"/>
            <w:sz w:val="20"/>
            <w:szCs w:val="20"/>
          </w:rPr>
          <w:t>https://doi.org/10.1177/0272989X06295361</w:t>
        </w:r>
      </w:hyperlink>
      <w:r w:rsidRPr="00565B89">
        <w:rPr>
          <w:rFonts w:ascii="Times New Roman" w:hAnsi="Times New Roman" w:cs="Times New Roman"/>
          <w:sz w:val="20"/>
          <w:szCs w:val="20"/>
        </w:rPr>
        <w:t>.</w:t>
      </w:r>
    </w:p>
    <w:p w14:paraId="1D2B3CFD" w14:textId="77777777" w:rsidR="00C93AF5" w:rsidRPr="00565B89" w:rsidRDefault="00000000" w:rsidP="00565B89">
      <w:pPr>
        <w:pStyle w:val="Bibliography"/>
        <w:jc w:val="both"/>
        <w:rPr>
          <w:rFonts w:ascii="Times New Roman" w:hAnsi="Times New Roman" w:cs="Times New Roman"/>
          <w:sz w:val="20"/>
          <w:szCs w:val="20"/>
        </w:rPr>
      </w:pPr>
      <w:bookmarkStart w:id="63" w:name="ref-wells2013"/>
      <w:bookmarkEnd w:id="62"/>
      <w:r w:rsidRPr="00565B89">
        <w:rPr>
          <w:rFonts w:ascii="Times New Roman" w:hAnsi="Times New Roman" w:cs="Times New Roman"/>
          <w:sz w:val="20"/>
          <w:szCs w:val="20"/>
        </w:rPr>
        <w:t xml:space="preserve">Wells, Brian J., Kevin M. Chagin, Amy S. Nowacki, and Michael W. Kattan. 2013. “Strategies for Handling Missing Data in Electronic Health Record Derived Data.” </w:t>
      </w:r>
      <w:r w:rsidRPr="00565B89">
        <w:rPr>
          <w:rFonts w:ascii="Times New Roman" w:hAnsi="Times New Roman" w:cs="Times New Roman"/>
          <w:i/>
          <w:iCs/>
          <w:sz w:val="20"/>
          <w:szCs w:val="20"/>
        </w:rPr>
        <w:t>EGEMS</w:t>
      </w:r>
      <w:r w:rsidRPr="00565B89">
        <w:rPr>
          <w:rFonts w:ascii="Times New Roman" w:hAnsi="Times New Roman" w:cs="Times New Roman"/>
          <w:sz w:val="20"/>
          <w:szCs w:val="20"/>
        </w:rPr>
        <w:t xml:space="preserve"> 1 (3): 1035. </w:t>
      </w:r>
      <w:hyperlink r:id="rId35">
        <w:r w:rsidR="00C93AF5" w:rsidRPr="00565B89">
          <w:rPr>
            <w:rStyle w:val="Hyperlink"/>
            <w:rFonts w:ascii="Times New Roman" w:hAnsi="Times New Roman" w:cs="Times New Roman"/>
            <w:sz w:val="20"/>
            <w:szCs w:val="20"/>
          </w:rPr>
          <w:t>https://doi.org/10.13063/2327-9214.1035</w:t>
        </w:r>
      </w:hyperlink>
      <w:r w:rsidRPr="00565B89">
        <w:rPr>
          <w:rFonts w:ascii="Times New Roman" w:hAnsi="Times New Roman" w:cs="Times New Roman"/>
          <w:sz w:val="20"/>
          <w:szCs w:val="20"/>
        </w:rPr>
        <w:t>.</w:t>
      </w:r>
    </w:p>
    <w:p w14:paraId="1ECF7A06" w14:textId="77777777" w:rsidR="00C93AF5" w:rsidRPr="00565B89" w:rsidRDefault="00000000" w:rsidP="00565B89">
      <w:pPr>
        <w:pStyle w:val="Bibliography"/>
        <w:jc w:val="both"/>
        <w:rPr>
          <w:rFonts w:ascii="Times New Roman" w:hAnsi="Times New Roman" w:cs="Times New Roman"/>
          <w:sz w:val="20"/>
          <w:szCs w:val="20"/>
        </w:rPr>
      </w:pPr>
      <w:bookmarkStart w:id="64" w:name="ref-yang2023_shap"/>
      <w:bookmarkEnd w:id="63"/>
      <w:r w:rsidRPr="00565B89">
        <w:rPr>
          <w:rFonts w:ascii="Times New Roman" w:hAnsi="Times New Roman" w:cs="Times New Roman"/>
          <w:sz w:val="20"/>
          <w:szCs w:val="20"/>
        </w:rPr>
        <w:t xml:space="preserve">Yang, Guo, Guihua Ji, and Peng Niu. 2022. “Explainability of Artificial Intelligence Methods, Applications and Challenges: A Comprehensive Survey.” </w:t>
      </w:r>
      <w:r w:rsidRPr="00565B89">
        <w:rPr>
          <w:rFonts w:ascii="Times New Roman" w:hAnsi="Times New Roman" w:cs="Times New Roman"/>
          <w:i/>
          <w:iCs/>
          <w:sz w:val="20"/>
          <w:szCs w:val="20"/>
        </w:rPr>
        <w:t>Information Sciences</w:t>
      </w:r>
      <w:r w:rsidRPr="00565B89">
        <w:rPr>
          <w:rFonts w:ascii="Times New Roman" w:hAnsi="Times New Roman" w:cs="Times New Roman"/>
          <w:sz w:val="20"/>
          <w:szCs w:val="20"/>
        </w:rPr>
        <w:t xml:space="preserve"> 615: 238–92. </w:t>
      </w:r>
      <w:hyperlink r:id="rId36">
        <w:r w:rsidR="00C93AF5" w:rsidRPr="00565B89">
          <w:rPr>
            <w:rStyle w:val="Hyperlink"/>
            <w:rFonts w:ascii="Times New Roman" w:hAnsi="Times New Roman" w:cs="Times New Roman"/>
            <w:sz w:val="20"/>
            <w:szCs w:val="20"/>
          </w:rPr>
          <w:t>https://doi.org/10.1016/j.ins.2022.10.013</w:t>
        </w:r>
      </w:hyperlink>
      <w:r w:rsidRPr="00565B89">
        <w:rPr>
          <w:rFonts w:ascii="Times New Roman" w:hAnsi="Times New Roman" w:cs="Times New Roman"/>
          <w:sz w:val="20"/>
          <w:szCs w:val="20"/>
        </w:rPr>
        <w:t>.</w:t>
      </w:r>
      <w:bookmarkEnd w:id="36"/>
      <w:bookmarkEnd w:id="42"/>
      <w:bookmarkEnd w:id="64"/>
    </w:p>
    <w:sectPr w:rsidR="00C93AF5" w:rsidRPr="00565B8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076F4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4DA55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814A9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704406693">
    <w:abstractNumId w:val="0"/>
  </w:num>
  <w:num w:numId="2" w16cid:durableId="1634213885">
    <w:abstractNumId w:val="1"/>
  </w:num>
  <w:num w:numId="3" w16cid:durableId="1311058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AF5"/>
    <w:rsid w:val="00095C19"/>
    <w:rsid w:val="00110B24"/>
    <w:rsid w:val="001A62ED"/>
    <w:rsid w:val="00565B89"/>
    <w:rsid w:val="00643D61"/>
    <w:rsid w:val="00887C32"/>
    <w:rsid w:val="00B438DB"/>
    <w:rsid w:val="00C93AF5"/>
    <w:rsid w:val="00F80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CFA0A"/>
  <w15:docId w15:val="{8CDD2016-CBA1-A247-B172-B84F55DC1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2">
    <w:name w:val="p2"/>
    <w:basedOn w:val="Normal"/>
    <w:rsid w:val="00095C19"/>
    <w:pPr>
      <w:spacing w:after="0"/>
    </w:pPr>
    <w:rPr>
      <w:rFonts w:ascii="Helvetica" w:eastAsia="Times New Roman" w:hAnsi="Helvetica" w:cs="Times New Roman"/>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doi.org/10.2307/2531595" TargetMode="External"/><Relationship Id="rId26" Type="http://schemas.openxmlformats.org/officeDocument/2006/relationships/hyperlink" Target="https://doi.org/10.1136/bmj.b606" TargetMode="External"/><Relationship Id="rId21" Type="http://schemas.openxmlformats.org/officeDocument/2006/relationships/hyperlink" Target="https://doi.org/10.1126/scitranslmed.aab3719" TargetMode="External"/><Relationship Id="rId34" Type="http://schemas.openxmlformats.org/officeDocument/2006/relationships/hyperlink" Target="https://doi.org/10.1177/0272989X06295361"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1145/1143844.1143874" TargetMode="External"/><Relationship Id="rId25" Type="http://schemas.openxmlformats.org/officeDocument/2006/relationships/hyperlink" Target="https://react.dev" TargetMode="External"/><Relationship Id="rId33" Type="http://schemas.openxmlformats.org/officeDocument/2006/relationships/hyperlink" Target="https://doi.org/10.1186/s12911-021-01422-1"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45/2939672.2939785" TargetMode="External"/><Relationship Id="rId20" Type="http://schemas.openxmlformats.org/officeDocument/2006/relationships/hyperlink" Target="https://doi.org/10.1056/NEJMsa2001090" TargetMode="External"/><Relationship Id="rId29" Type="http://schemas.openxmlformats.org/officeDocument/2006/relationships/hyperlink" Target="https://fastapi.tiangolo.co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016/j.resuscitation.2004.05.016" TargetMode="External"/><Relationship Id="rId32" Type="http://schemas.openxmlformats.org/officeDocument/2006/relationships/hyperlink" Target="https://doi.org/10.1016/j.resuscitation.2012.12.016" TargetMode="External"/><Relationship Id="rId37" Type="http://schemas.openxmlformats.org/officeDocument/2006/relationships/fontTable" Target="fontTable.xml"/><Relationship Id="rId5" Type="http://schemas.openxmlformats.org/officeDocument/2006/relationships/hyperlink" Target="https://physionet.org/content/mimiciv/" TargetMode="External"/><Relationship Id="rId15" Type="http://schemas.openxmlformats.org/officeDocument/2006/relationships/hyperlink" Target="https://doi.org/10.1023/A:1010933404324" TargetMode="External"/><Relationship Id="rId23" Type="http://schemas.openxmlformats.org/officeDocument/2006/relationships/hyperlink" Target="https://doi.org/10.1038/s41597-022-01899-x" TargetMode="External"/><Relationship Id="rId28" Type="http://schemas.openxmlformats.org/officeDocument/2006/relationships/hyperlink" Target="https://doi.org/10.1038/s41746-018-0029-1" TargetMode="External"/><Relationship Id="rId36" Type="http://schemas.openxmlformats.org/officeDocument/2006/relationships/hyperlink" Target="https://doi.org/10.1016/j.ins.2022.10.013" TargetMode="External"/><Relationship Id="rId10" Type="http://schemas.openxmlformats.org/officeDocument/2006/relationships/image" Target="media/image5.png"/><Relationship Id="rId19" Type="http://schemas.openxmlformats.org/officeDocument/2006/relationships/hyperlink" Target="https://doi.org/10.1371/journal.pone.0110274" TargetMode="External"/><Relationship Id="rId31" Type="http://schemas.openxmlformats.org/officeDocument/2006/relationships/hyperlink" Target="https://doi.org/10.1001/jama.2019.10306"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arxiv.org/abs/1712.09923" TargetMode="External"/><Relationship Id="rId27" Type="http://schemas.openxmlformats.org/officeDocument/2006/relationships/hyperlink" Target="https://doi.org/10.1016/j.resuscitation.2010.04.014" TargetMode="External"/><Relationship Id="rId30" Type="http://schemas.openxmlformats.org/officeDocument/2006/relationships/hyperlink" Target="https://www.rcplondon.ac.uk/projects/outputs/national-early-warning-score-news-2" TargetMode="External"/><Relationship Id="rId35" Type="http://schemas.openxmlformats.org/officeDocument/2006/relationships/hyperlink" Target="https://doi.org/10.13063/2327-9214.1035" TargetMode="External"/><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6542</Words>
  <Characters>37292</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bssentinel: A Machine Learning-Augmented Early Warning System for In-Hospital Deterioration with Real-Time Explainability</vt:lpstr>
    </vt:vector>
  </TitlesOfParts>
  <Company/>
  <LinksUpToDate>false</LinksUpToDate>
  <CharactersWithSpaces>43747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bssentinel: A Machine Learning-Augmented Early Warning System for In-Hospital Deterioration with Real-Time Explainability</dc:title>
  <dc:creator>Sasi Jagadeesan; Suman Mishra; Pritam Kumar Panda</dc:creator>
  <cp:keywords/>
  <cp:lastModifiedBy>Dr. Pritam Kumar Panda</cp:lastModifiedBy>
  <cp:revision>5</cp:revision>
  <dcterms:created xsi:type="dcterms:W3CDTF">2026-03-26T04:45:00Z</dcterms:created>
  <dcterms:modified xsi:type="dcterms:W3CDTF">2026-03-27T18:06:00Z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Early identification of in-hospital patient deterioration remains a critical unmet need. The National Early Warning Score 2 (NEWS2) is widely used but relies solely on bedside vital signs and provides modest discriminative performance. Here we introduce bssentinel, a machine learning-augmented early warning system that integrates structured vital signs, laboratory values, medication context, and temporal admission features to predict clinical deterioration up to 24 hours in advance. We trained and validated an XGBoost model using a sliding 6-hourly observation window framework on 1,334,773 monitoring snapshots from the Medical Information Mart for Intensive Care IV (MIMIC-IV) dataset, encompassing 26,201 composite deterioration events (ICU transfer, mechanical ventilation, or in-hospital mortality). Five-fold patient-stratified cross-validation yielded an area under the receiver operating characteristic curve (AUROC) of 0.758 (95% CI 0.755–0.761), representing a statistically significant gain of +0.190 AUROC over NEWS2 alone (DeLong test: z = 80.3, p &lt; 0.001). The area under the precision-recall curve (AUPRC) was 0.102, a 5.2-fold improvement over the prevalence baseline. We demonstrate that informative missingness—the absence of ordered laboratory tests—is the strongest single predictor, reflecting real-world clinical decision-making patterns. bssentinel is deployed as a full-stack clinical decision support application with a FastAPI inference engine and a React dashboard providing SHAP-based real-time explanations at the point of care. These results establish bssentinel as a scalable, explainable, and clinically actionable deterioration surveillance system.</vt:lpwstr>
  </property>
  <property fmtid="{D5CDD505-2E9C-101B-9397-08002B2CF9AE}" pid="3" name="bibliography">
    <vt:lpwstr>references.bib</vt:lpwstr>
  </property>
  <property fmtid="{D5CDD505-2E9C-101B-9397-08002B2CF9AE}" pid="4" name="date">
    <vt:lpwstr/>
  </property>
</Properties>
</file>