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61a7f5bc2c5ec038731ca72dc837c2ca704758a"/>
    <w:p>
      <w:pPr>
        <w:pStyle w:val="Heading1"/>
      </w:pPr>
      <w:r>
        <w:t xml:space="preserve">Redes sociales y migración: resignificación comunicativa en contextos transnacionales</w:t>
      </w:r>
    </w:p>
    <w:bookmarkStart w:id="9" w:name="autores"/>
    <w:p>
      <w:pPr>
        <w:pStyle w:val="Heading2"/>
      </w:pPr>
      <w:r>
        <w:t xml:space="preserve">Autores</w:t>
      </w:r>
    </w:p>
    <w:p>
      <w:pPr>
        <w:pStyle w:val="FirstParagraph"/>
      </w:pPr>
      <w:r>
        <w:t xml:space="preserve">Manuel [Apellido], Erwin [Apellido]</w:t>
      </w:r>
    </w:p>
    <w:p>
      <w:pPr>
        <w:pStyle w:val="BodyText"/>
      </w:pPr>
      <w:r>
        <w:t xml:space="preserve">Este artículo explora cómo la experiencia migratoria resignifica el uso de redes sociales, sintetizando evidencia internacional con foco en las implicaciones para migrantes venezolanos y colombianos en Chile. Mediante una revisión sistemática de 163 artículos publicados entre 2021 y 2026, el trabajo propone una tipología de usos resignificados articulada en cuatro dimensiones: infraestructura afectiva (co-presencia familiar vía WhatsApp), infraestructura informativa (inteligencia migratoria en Facebook y YouTube), infraestructura de vínculos latentes (comunidades emergentes en TikTok) e infraestructura identitaria (narrativas de pertenencia en Instagram y TikTok). Los resultados sugieren que los migrantes transforman plataformas concebidas para el entretenimiento y la socialización genérica en canales de capital social, cultural y afectivo, aunque con variaciones según la plataforma, el momento migratorio y la comunidad de origen.</w:t>
      </w:r>
    </w:p>
    <w:p>
      <w:pPr>
        <w:pStyle w:val="BodyText"/>
      </w:pPr>
      <w:r>
        <w:rPr>
          <w:b/>
          <w:bCs/>
        </w:rPr>
        <w:t xml:space="preserve">Palabras clave:</w:t>
      </w:r>
      <w:r>
        <w:t xml:space="preserve"> </w:t>
      </w:r>
      <w:r>
        <w:t xml:space="preserve">resignificación, migración transnacional, redes sociales, capital social, familia transnacional, co-presencia, plataformas digitales, Chile</w:t>
      </w:r>
    </w:p>
    <w:bookmarkEnd w:id="9"/>
    <w:bookmarkEnd w:id="10"/>
    <w:bookmarkStart w:id="27" w:name="abstract"/>
    <w:p>
      <w:pPr>
        <w:pStyle w:val="Heading1"/>
      </w:pPr>
      <w:r>
        <w:t xml:space="preserve">Abstract</w:t>
      </w:r>
    </w:p>
    <w:p>
      <w:pPr>
        <w:pStyle w:val="FirstParagraph"/>
      </w:pPr>
      <w:r>
        <w:t xml:space="preserve">This article explores how the migratory experience resignifies social media use, synthesizing international evidence with a focus on implications for Venezuelan and Colombian migrants in Chile. Through a systematic review of 163 articles published between 2021 and 2026, the study proposes a typology of resignified uses articulated along four dimensions: affective infrastructure (family co-presence via WhatsApp), informational infrastructure (migratory intelligence on Facebook and YouTube), latent-tie infrastructure (emerging communities on TikTok), and identity infrastructure (narratives of belonging on Instagram and TikTok). Findings suggest that migrants transform platforms designed for entertainment and generic socialization into channels of social, cultural, and affective capital, though with variations depending on the platform, the migratory stage, and the community of origin.</w:t>
      </w:r>
    </w:p>
    <w:p>
      <w:pPr>
        <w:pStyle w:val="BodyText"/>
      </w:pPr>
      <w:r>
        <w:rPr>
          <w:b/>
          <w:bCs/>
        </w:rPr>
        <w:t xml:space="preserve">Keywords:</w:t>
      </w:r>
      <w:r>
        <w:t xml:space="preserve"> </w:t>
      </w:r>
      <w:r>
        <w:t xml:space="preserve">resignification, transnational migration, social media, social capital, transnational family, co-presence, digital platforms, Chile</w:t>
      </w:r>
    </w:p>
    <w:p>
      <w:r>
        <w:pict>
          <v:rect style="width:0;height:1.5pt" o:hralign="center" o:hrstd="t" o:hr="t"/>
        </w:pict>
      </w:r>
    </w:p>
    <w:p>
      <w:pPr>
        <w:pStyle w:val="FirstParagraph"/>
      </w:pPr>
      <w:r>
        <w:t xml:space="preserve">La migración internacional constituye uno de los fenómenos sociales más relevantes del siglo XXI. Según el World Migration Report 2024 de la Organización Internacional para las Migraciones, aproximadamente 281 millones de personas residían fuera de su país de nacimiento a mediados de 2020, y más de 11 millones de migrantes intrarregionales se desplazaban dentro de América Latina y el Caribe (OIM, 2024: 2). En este contexto, Chile se ha consolidado como uno de los principales destinos migratorios de la región. Los datos del Censo 2024 indican que la población extranjera residente alcanzó 1.608.650 personas, lo que equivale al 8,7% de la población total del país, duplicando la proporción de 4,5% registrada en 2017 (INE, 2024). Venezuela es el principal país de origen de estos flujos, con un 41,6% del total de la población migrante, seguido de Perú (14,5%) y Colombia (12,3%) (INE, 2024). La magnitud de este fenómeno sitúa a Chile como un caso de estudio privilegiado para analizar las transformaciones comunicativas que acompañan la experiencia migratoria.</w:t>
      </w:r>
    </w:p>
    <w:p>
      <w:pPr>
        <w:pStyle w:val="BodyText"/>
      </w:pPr>
      <w:r>
        <w:t xml:space="preserve">La experiencia de migrar no se limita al desplazamiento geográfico; implica una reconfiguración profunda de las prácticas cotidianas, los vínculos afectivos y los modos de estar presente en la vida de quienes quedaron en el país de origen. En este proceso, las redes sociales digitales han adquirido un papel central. Plataformas como WhatsApp, Facebook, Instagram, TikTok y YouTube no solo facilitan la comunicación a distancia, sino que se convierten en espacios donde los migrantes negocian nuevos significados para sus relaciones, construyen formas de co-presencia virtual y movilizan distintas formas de capital social, cultural, económico y afectivo (Dekker, Engbersen, Klaver y Vonk, 2018; Katz y González, 2016). Sin embargo, la literatura existente sobre comunicación transnacional mediada por plataformas digitales en poblaciones migrantes latinoamericanas presenta una fragmentación notable: los estudios tienden a centrarse en una sola plataforma, en una única comunidad nacional o en contextos geográficos del norte global, dejando lagunas significativas en la comprensión del fenómeno en destinos como Chile.</w:t>
      </w:r>
    </w:p>
    <w:p>
      <w:pPr>
        <w:pStyle w:val="BodyText"/>
      </w:pPr>
      <w:r>
        <w:t xml:space="preserve">La brecha que este trabajo busca abordar es doble. Por un lado, la investigación sobre el uso de redes sociales por migrantes en América del Sur, y en particular en Chile, es escasa en comparación con la producida en Europa y Norteamérica (Boccagni y Baldassar, 2015). Por otro lado, los estudios disponibles rara vez articulan un marco teórico que trascienda la descripción del uso instrumental de las plataformas para preguntarse por los significados que los migrantes construyen a partir de ellas. La noción de</w:t>
      </w:r>
      <w:r>
        <w:t xml:space="preserve"> </w:t>
      </w:r>
      <w:r>
        <w:t xml:space="preserve">“resignificación”</w:t>
      </w:r>
      <w:r>
        <w:t xml:space="preserve">, entendida como el proceso mediante el cual un objeto, práctica o tecnología adquiere un sentido nuevo y distinto al originalmente previsto por sus diseñadores o por el contexto de uso dominante, ofrece una perspectiva analítica que permite ir más allá de la dicotomía entre adopción y rechazo tecnológico.</w:t>
      </w:r>
    </w:p>
    <w:p>
      <w:pPr>
        <w:pStyle w:val="BodyText"/>
      </w:pPr>
      <w:r>
        <w:t xml:space="preserve">Este trabajo explora la proposición de que la experiencia migratoria resignifica el uso y la percepción de las redes sociales, transformándolas de herramientas de entretenimiento y socialización genérica en canales de comunicación para el intercambio de capital social, cultural, económico y afectivo con las comunidades de origen. Se plantea que esta transformación no es homogénea, sino que varía según la arquitectura de la plataforma, la etapa del trayecto migratorio y las condiciones de llegada.</w:t>
      </w:r>
    </w:p>
    <w:p>
      <w:pPr>
        <w:pStyle w:val="BodyText"/>
      </w:pPr>
      <w:r>
        <w:t xml:space="preserve">A partir de esta proposición, el presente artículo persigue tres objetivos específicos. En primer lugar, sintetizar la evidencia internacional sobre cómo las poblaciones migrantes resignifican el uso de las principales plataformas digitales. En segundo lugar, identificar las divergencias entre las misiones institucionales de dichas plataformas y los significados documentados en la literatura especializada. En tercer lugar, proponer una tipología de usos resignificados que sirva como marco interpretativo para el caso de los flujos migratorios venezolanos y colombianos en Chile.</w:t>
      </w:r>
    </w:p>
    <w:p>
      <w:pPr>
        <w:pStyle w:val="BodyText"/>
      </w:pPr>
      <w:r>
        <w:t xml:space="preserve">Es necesario precisar que la revisión sintetiza evidencia de múltiples contextos geográficos para derivar implicaciones teóricas relevantes para el corredor migratorio Sur-Sur analizado. Dado que la producción académica específica sobre Chile es aún incipiente, este trabajo se propone como un ejercicio de síntesis y extrapolación fundamentada que permita orientar futuras investigaciones empíricas en el país.</w:t>
      </w:r>
    </w:p>
    <w:p>
      <w:pPr>
        <w:pStyle w:val="BodyText"/>
      </w:pPr>
      <w:r>
        <w:t xml:space="preserve">Para responder a estos objetivos, el artículo desarrolla una revisión sistemática de literatura que sintetiza 163 artículos publicados entre 2021 y 2026, principalmente en la base de datos Scopus. El trabajo se estructura en cinco secciones adicionales a esta introducción: un marco teórico y conceptual que define la noción de resignificación y articula las corrientes teóricas pertinentes; una sección metodológica que detalla el protocolo de búsqueda y selección de fuentes siguiendo estándares PRISMA; una sección de resultados y discusión organizada en tres categorías de análisis; y unas conclusiones que sintetizan los hallazgos, proponen una tipología teórica y señalan las lagunas que justifican investigación futura.</w:t>
      </w:r>
    </w:p>
    <w:p>
      <w:r>
        <w:pict>
          <v:rect style="width:0;height:1.5pt" o:hralign="center" o:hrstd="t" o:hr="t"/>
        </w:pict>
      </w:r>
    </w:p>
    <w:bookmarkStart w:id="11" w:name="el-concepto-de-resignificación"/>
    <w:p>
      <w:pPr>
        <w:pStyle w:val="Heading2"/>
      </w:pPr>
      <w:r>
        <w:t xml:space="preserve">El concepto de resignificación</w:t>
      </w:r>
    </w:p>
    <w:p>
      <w:pPr>
        <w:pStyle w:val="FirstParagraph"/>
      </w:pPr>
      <w:r>
        <w:t xml:space="preserve">El término</w:t>
      </w:r>
      <w:r>
        <w:t xml:space="preserve"> </w:t>
      </w:r>
      <w:r>
        <w:t xml:space="preserve">“resignificación”</w:t>
      </w:r>
      <w:r>
        <w:t xml:space="preserve"> </w:t>
      </w:r>
      <w:r>
        <w:t xml:space="preserve">designa el proceso mediante el cual un objeto, una práctica o una tecnología adquiere un sentido distinto al originalmente previsto por quienes lo diseñaron o por el contexto de uso dominante. A diferencia de los conceptos de</w:t>
      </w:r>
      <w:r>
        <w:t xml:space="preserve"> </w:t>
      </w:r>
      <w:r>
        <w:t xml:space="preserve">“uso”</w:t>
      </w:r>
      <w:r>
        <w:t xml:space="preserve"> </w:t>
      </w:r>
      <w:r>
        <w:t xml:space="preserve">y</w:t>
      </w:r>
      <w:r>
        <w:t xml:space="preserve"> </w:t>
      </w:r>
      <w:r>
        <w:t xml:space="preserve">“adopción”</w:t>
      </w:r>
      <w:r>
        <w:t xml:space="preserve">, que presuponen una relación funcional y relativamente estable entre el usuario y la herramienta tecnológica, la resignificación implica una transformación del significado mismo que el usuario atribuye al artefacto (Silverstone y Haddon, 1996). En el campo de la comunicación, esta distinción resulta crucial: mientras que la adopción se pregunta si un individuo incorpora una tecnología a su repertorio de prácticas, y el uso describe cómo la emplea, la resignificación indaga en los nuevos sentidos que emergen cuando las condiciones contextuales del usuario difieren radicalmente de aquellas para las cuales la tecnología fue concebida.</w:t>
      </w:r>
    </w:p>
    <w:p>
      <w:pPr>
        <w:pStyle w:val="BodyText"/>
      </w:pPr>
      <w:r>
        <w:t xml:space="preserve">Desde la sociología de la tecnología, la noción de resignificación se vincula con la tradición de los estudios de apropiación, que reconocen la capacidad de los usuarios de desbordar las funciones previstas por los diseñadores y de incorporar los artefactos tecnológicos en tramas de sentido propias (de Certeau, 1990). En el caso de los migrantes, esta capacidad se potencia por la distancia geográfica, la reconfiguración de los vínculos afectivos y la necesidad de mantener una presencia en espacios sociales que se han vuelto físicamente inaccesibles. La resignificación, así entendida, no es un acto deliberado de subversión tecnológica, sino un efecto emergente de la experiencia migratoria sobre las prácticas comunicativas cotidianas.</w:t>
      </w:r>
    </w:p>
    <w:bookmarkEnd w:id="11"/>
    <w:bookmarkStart w:id="12" w:name="corrientes-teóricas-integradas"/>
    <w:p>
      <w:pPr>
        <w:pStyle w:val="Heading2"/>
      </w:pPr>
      <w:r>
        <w:t xml:space="preserve">Corrientes teóricas integradas</w:t>
      </w:r>
    </w:p>
    <w:p>
      <w:pPr>
        <w:pStyle w:val="FirstParagraph"/>
      </w:pPr>
      <w:r>
        <w:t xml:space="preserve">El marco interpretativo de este trabajo se articula en torno a cuatro corrientes teóricas que, tomadas en conjunto, ofrecen una comprensión integral del fenómeno de resignificación comunicativa en contextos migratorios.</w:t>
      </w:r>
    </w:p>
    <w:p>
      <w:pPr>
        <w:pStyle w:val="BodyText"/>
      </w:pPr>
      <w:r>
        <w:t xml:space="preserve">La primera corriente proviene de la teoría del capital social. En la formulación de Bourdieu (1986), el capital social designa el conjunto de recursos reales o potenciales ligados a la posesión de una red duradera de relaciones de conocimiento y reconocimiento mutuo. Putnam (2000) complementa esta perspectiva distinguiendo entre capital social de vínculo (bonding), que fortalece las relaciones dentro de grupos homogéneos, y capital social de puente (bridging), que conecta a individuos de grupos distintos. En el contexto migratorio, las redes sociales digitales operan como infraestructura tanto para el mantenimiento de vínculos de tipo bonding con la familia y amigos en el país de origen como para la construcción de vínculos de tipo bridging con comunidades en el país de destino (Dekker et al., 2018).</w:t>
      </w:r>
    </w:p>
    <w:p>
      <w:pPr>
        <w:pStyle w:val="BodyText"/>
      </w:pPr>
      <w:r>
        <w:t xml:space="preserve">La segunda corriente se sitúa en los estudios sobre familia transnacional y, en particular, en el concepto de</w:t>
      </w:r>
      <w:r>
        <w:t xml:space="preserve"> </w:t>
      </w:r>
      <w:r>
        <w:t xml:space="preserve">“familia imaginada”</w:t>
      </w:r>
      <w:r>
        <w:t xml:space="preserve"> </w:t>
      </w:r>
      <w:r>
        <w:t xml:space="preserve">propuesto por Vermot (2015: 145). La familia transnacional se define como aquella unidad familiar dispersa geográficamente que mantiene vínculos afectivos y funcionales a través de las fronteras nacionales. Vermot argumenta que los sentidos de pertenencia y la concepción misma de la familia cambian con el tiempo en el extranjero, obligando a los migrantes a adaptarse a una representación de familia que no se corresponde con la co-residencia física, sino con una construcción simbólica sostenida por las prácticas comunicativas. Esta noción permite comprender cómo las redes sociales no simplemente reproducen los lazos familiares preexistentes, sino que los reconfiguran activamente.</w:t>
      </w:r>
    </w:p>
    <w:p>
      <w:pPr>
        <w:pStyle w:val="BodyText"/>
      </w:pPr>
      <w:r>
        <w:t xml:space="preserve">La tercera corriente aborda la intimidad virtual y la co-presencia mediada por tecnologías de comunicación. Katz y González (2016) demuestran que las tecnologías de la información y la comunicación (TIC) permiten a los migrantes mantener una intimidad virtual con sus familiares, obtener apoyo emocional y participar en la atención transnacional. La co-presencia, entendida como la sensación de estar presente con otros a pesar de la distancia física, se convierte en un logro comunicativo que requiere trabajo activo por parte de los migrantes: elegir la plataforma adecuada, gestionar los husos horarios, calibrar la intensidad emocional de los intercambios. Francisco (2015) complementa esta perspectiva al mostrar cómo las TIC ayudan a los migrantes a redefinir las relaciones transnacionales y a</w:t>
      </w:r>
      <w:r>
        <w:t xml:space="preserve"> </w:t>
      </w:r>
      <w:r>
        <w:t xml:space="preserve">“llevar consigo, de forma virtual, a quienes dejaron atrás”</w:t>
      </w:r>
      <w:r>
        <w:t xml:space="preserve">.</w:t>
      </w:r>
    </w:p>
    <w:p>
      <w:pPr>
        <w:pStyle w:val="BodyText"/>
      </w:pPr>
      <w:r>
        <w:t xml:space="preserve">La cuarta corriente se inscribe en la teoría de la cultura de la conectividad formulada por van Dijck (2013). Van Dijck argumenta que el auge de las plataformas de redes sociales ha transformado la conectividad humana en conectividad digital, es decir, en una característica diseñada y programada del estar en línea. Empresas como Meta (anteriormente Facebook) capitalizan las necesidades humanas de socialidad a través de tecnologías automatizadas que configuran las experiencias de los usuarios. Sin embargo, como señalan Couldry y van Dijck (2015), las redes sociales se han convertido en una representación dominante de</w:t>
      </w:r>
      <w:r>
        <w:t xml:space="preserve"> </w:t>
      </w:r>
      <w:r>
        <w:t xml:space="preserve">“lo social”</w:t>
      </w:r>
      <w:r>
        <w:t xml:space="preserve">, lo que significa que el término mismo adquiere connotaciones normativas que los usuarios deben negociar. Para los migrantes, esta negociación es particularmente intensa: las plataformas no son espacios neutrales, sino entornos donde la experiencia migratoria produce significados que exceden las funciones previstas por sus diseñadores.</w:t>
      </w:r>
    </w:p>
    <w:bookmarkEnd w:id="12"/>
    <w:bookmarkStart w:id="13" w:name="polisemia-de-las-plataformas-digitales"/>
    <w:p>
      <w:pPr>
        <w:pStyle w:val="Heading2"/>
      </w:pPr>
      <w:r>
        <w:t xml:space="preserve">Polisemia de las plataformas digitales</w:t>
      </w:r>
    </w:p>
    <w:p>
      <w:pPr>
        <w:pStyle w:val="FirstParagraph"/>
      </w:pPr>
      <w:r>
        <w:t xml:space="preserve">Como señala Zhao (2023), las redes sociales poseen una naturaleza polisémica: constituyen un fenómeno complejo que conlleva significados distintos para diferentes actores en diferentes contextos. Pueden funcionar como modelo de negocio para los propietarios de las plataformas, como objeto de análisis para los investigadores o como constructo discursivo que configura las prácticas cotidianas de los usuarios. Esta polisemia es precisamente lo que habilita la resignificación, al ofrecer un sustrato flexible sobre el cual los migrantes proyectan sus propias necesidades comunicativas.</w:t>
      </w:r>
    </w:p>
    <w:p>
      <w:pPr>
        <w:pStyle w:val="BodyText"/>
      </w:pPr>
      <w:r>
        <w:t xml:space="preserve">La revisión de las definiciones institucionales de las principales plataformas evidencia esta flexibilidad. Facebook, fundada en 2004, fue descrita inicialmente por Mark Zuckerberg como</w:t>
      </w:r>
      <w:r>
        <w:t xml:space="preserve"> </w:t>
      </w:r>
      <w:r>
        <w:t xml:space="preserve">“un lugar que reúne a las personas y conecta a grupos de amigos, para que luego puedan compartir información e ideas sobre las cosas que les apasionan”</w:t>
      </w:r>
      <w:r>
        <w:t xml:space="preserve"> </w:t>
      </w:r>
      <w:r>
        <w:t xml:space="preserve">(Zuckerberg, 2006). A lo largo de los años, la autodefinición de la plataforma migró desde la conexión entre amigos reales hacia la construcción de comunidades globales: en 2017, Zuckerberg declaraba que</w:t>
      </w:r>
      <w:r>
        <w:t xml:space="preserve"> </w:t>
      </w:r>
      <w:r>
        <w:t xml:space="preserve">“lo más importante que podemos hacer en Facebook es desarrollar la infraestructura social para darle a las personas el poder de construir una comunidad global”</w:t>
      </w:r>
      <w:r>
        <w:t xml:space="preserve"> </w:t>
      </w:r>
      <w:r>
        <w:t xml:space="preserve">(Zuckerberg, 2017). Tras su transformación en Meta en 2021, la empresa reformuló su misión en torno a principios como dar voz a las personas, construir conexión y comunidad, y proteger la privacidad (Meta, 2021). Este recorrido muestra que la propia plataforma se ha redefinido múltiples veces, anticipando de algún modo la resignificación que realizan sus usuarios.</w:t>
      </w:r>
    </w:p>
    <w:p>
      <w:pPr>
        <w:pStyle w:val="BodyText"/>
      </w:pPr>
      <w:r>
        <w:t xml:space="preserve">WhatsApp se presenta como una alternativa a los SMS cuya misión es</w:t>
      </w:r>
      <w:r>
        <w:t xml:space="preserve"> </w:t>
      </w:r>
      <w:r>
        <w:t xml:space="preserve">“permitir que las personas se comuniquen en cualquier parte del mundo, sin barreras”</w:t>
      </w:r>
      <w:r>
        <w:t xml:space="preserve"> </w:t>
      </w:r>
      <w:r>
        <w:t xml:space="preserve">(WhatsApp, 2024). La plataforma enfatiza su cifrado de extremo a extremo y su accesibilidad en áreas de baja conectividad. Para los migrantes, estas características técnicas adquieren un valor específico: WhatsApp no es simplemente una aplicación de mensajería, sino el canal principal de co-presencia con la familia transnacional (Bell y Erdal, 2015).</w:t>
      </w:r>
    </w:p>
    <w:p>
      <w:pPr>
        <w:pStyle w:val="BodyText"/>
      </w:pPr>
      <w:r>
        <w:t xml:space="preserve">Instagram se define como un espacio para</w:t>
      </w:r>
      <w:r>
        <w:t xml:space="preserve"> </w:t>
      </w:r>
      <w:r>
        <w:t xml:space="preserve">“acercarte a las personas y las cosas que amas”</w:t>
      </w:r>
      <w:r>
        <w:t xml:space="preserve"> </w:t>
      </w:r>
      <w:r>
        <w:t xml:space="preserve">(Instagram, 2024), mientras que TikTok declara que su misión consiste en</w:t>
      </w:r>
      <w:r>
        <w:t xml:space="preserve"> </w:t>
      </w:r>
      <w:r>
        <w:t xml:space="preserve">“potenciar la creatividad y hacer disfrutar a la gente”</w:t>
      </w:r>
      <w:r>
        <w:t xml:space="preserve"> </w:t>
      </w:r>
      <w:r>
        <w:t xml:space="preserve">(TikTok, 2024). YouTube, por su parte, opera como la principal plataforma de video bajo demanda. En cada caso, la misión institucional describe un uso genérico que contrasta con las funciones específicas que los migrantes les asignan: documentar sus trayectos, compartir información sobre rutas migratorias, buscar empleo en el país de destino o construir comunidades de apoyo mutuo.</w:t>
      </w:r>
    </w:p>
    <w:bookmarkEnd w:id="13"/>
    <w:bookmarkStart w:id="14" w:name="ecosistema-de-medios-conectivos"/>
    <w:p>
      <w:pPr>
        <w:pStyle w:val="Heading2"/>
      </w:pPr>
      <w:r>
        <w:t xml:space="preserve">Ecosistema de medios conectivos</w:t>
      </w:r>
    </w:p>
    <w:p>
      <w:pPr>
        <w:pStyle w:val="FirstParagraph"/>
      </w:pPr>
      <w:r>
        <w:t xml:space="preserve">La diversidad de plataformas y la multiplicidad de usos que les otorgan los migrantes invitan a adoptar una perspectiva sistémica. Van Dijck (2013) propone el concepto de</w:t>
      </w:r>
      <w:r>
        <w:t xml:space="preserve"> </w:t>
      </w:r>
      <w:r>
        <w:t xml:space="preserve">“ecosistema de medios conectivos”</w:t>
      </w:r>
      <w:r>
        <w:t xml:space="preserve"> </w:t>
      </w:r>
      <w:r>
        <w:t xml:space="preserve">para designar el conjunto interrelacionado de plataformas digitales dentro del cual se desarrolla la vida social cotidiana de las personas, a pesar de los límites corporativos y tecnológicos que separan a las plataformas individuales. Zhao (2023) profundiza esta perspectiva al señalar que los usuarios atribuyen significados a cada plataforma en función de sus posibilidades comunicativas y sociales únicas:</w:t>
      </w:r>
      <w:r>
        <w:t xml:space="preserve"> </w:t>
      </w:r>
      <w:r>
        <w:t xml:space="preserve">“ser social”</w:t>
      </w:r>
      <w:r>
        <w:t xml:space="preserve"> </w:t>
      </w:r>
      <w:r>
        <w:t xml:space="preserve">en las redes sociales implica estrategias diferenciadas de conexión, intercambio de contenido y presentación personal según las culturas percibidas y programadas de cada plataforma.</w:t>
      </w:r>
    </w:p>
    <w:p>
      <w:pPr>
        <w:pStyle w:val="BodyText"/>
      </w:pPr>
      <w:r>
        <w:t xml:space="preserve">Para el análisis de la resignificación en contextos migratorios, el concepto de ecosistema de medios conectivos resulta especialmente productivo porque permite comprender cómo los migrantes no usan las plataformas de forma aislada, sino que las integran en un repertorio comunicativo donde cada una cumple una función diferenciada: WhatsApp para la co-presencia cotidiana, Facebook para la gestión de información sobre la ruta migratoria, YouTube para documentar y compartir la experiencia, Instagram y TikTok para la construcción de identidad en el nuevo contexto. La resignificación, en este sentido, opera no solo sobre cada plataforma individual, sino sobre las relaciones entre ellas dentro del ecosistema comunicativo del migrante.</w:t>
      </w:r>
    </w:p>
    <w:p>
      <w:r>
        <w:pict>
          <v:rect style="width:0;height:1.5pt" o:hralign="center" o:hrstd="t" o:hr="t"/>
        </w:pict>
      </w:r>
    </w:p>
    <w:p>
      <w:pPr>
        <w:pStyle w:val="FirstParagraph"/>
      </w:pPr>
      <w:r>
        <w:t xml:space="preserve">Este trabajo adopta el enfoque de revisión sistemática de literatura como estrategia metodológica para sintetizar el estado del conocimiento sobre la resignificación del uso de redes sociales en contextos migratorios. La elección de este enfoque responde a la fragmentación del campo: los estudios existentes se dispersan en múltiples disciplinas (comunicación, sociología, estudios migratorios, ciencias de la información), abordan plataformas y poblaciones diversas, y emplean marcos teóricos heterogéneos. La revisión sigue las directrices de la declaración PRISMA 2020 (Page et al., 2021) para asegurar la transparencia y reproducibilidad del proceso.</w:t>
      </w:r>
    </w:p>
    <w:bookmarkEnd w:id="14"/>
    <w:bookmarkStart w:id="15" w:name="registro-y-protocolo"/>
    <w:p>
      <w:pPr>
        <w:pStyle w:val="Heading2"/>
      </w:pPr>
      <w:r>
        <w:t xml:space="preserve">Registro y protocolo</w:t>
      </w:r>
    </w:p>
    <w:p>
      <w:pPr>
        <w:pStyle w:val="FirstParagraph"/>
      </w:pPr>
      <w:r>
        <w:t xml:space="preserve">Dada la naturaleza exploratoria de esta revisión en el ámbito de las ciencias sociales y el carácter heterogéneo del corpus (que incluye estudios cualitativos, cuantitativos y teóricos), el protocolo no fue pre-registrado en la plataforma PROSPERO, la cual está orientada principalmente a revisiones sistemáticas con resultados de salud. No obstante, se definió un protocolo interno de búsqueda y extracción de datos previo a la ejecución, que se describe en las secciones siguientes.</w:t>
      </w:r>
    </w:p>
    <w:bookmarkEnd w:id="15"/>
    <w:bookmarkStart w:id="16" w:name="protocolo-de-búsqueda"/>
    <w:p>
      <w:pPr>
        <w:pStyle w:val="Heading2"/>
      </w:pPr>
      <w:r>
        <w:t xml:space="preserve">Protocolo de búsqueda</w:t>
      </w:r>
    </w:p>
    <w:p>
      <w:pPr>
        <w:pStyle w:val="FirstParagraph"/>
      </w:pPr>
      <w:r>
        <w:t xml:space="preserve">La búsqueda bibliográfica se realizó de forma sistemática durante el mes de marzo de 2026. Se consultó principalmente la base de datos Scopus, complementada con Web of Science (WoS) y Google Scholar para capturar literatura gris y trabajos no indexados en las fuentes principales. El período de cobertura abarca desde enero de 2021 hasta marzo de 2026.</w:t>
      </w:r>
    </w:p>
    <w:p>
      <w:pPr>
        <w:pStyle w:val="BodyText"/>
      </w:pPr>
      <w:r>
        <w:t xml:space="preserve">Las cadenas de búsqueda exactas empleadas fueron:</w:t>
      </w:r>
      <w:r>
        <w:t xml:space="preserve"> </w:t>
      </w:r>
      <w:r>
        <w:t xml:space="preserve">-</w:t>
      </w:r>
      <w:r>
        <w:t xml:space="preserve"> </w:t>
      </w:r>
      <w:r>
        <w:rPr>
          <w:b/>
          <w:bCs/>
        </w:rPr>
        <w:t xml:space="preserve">Scopus/WoS:</w:t>
      </w:r>
      <w:r>
        <w:t xml:space="preserve"> </w:t>
      </w:r>
      <w:r>
        <w:t xml:space="preserve">TITLE-ABS-KEY ((</w:t>
      </w:r>
      <w:r>
        <w:t xml:space="preserve">“migration”</w:t>
      </w:r>
      <w:r>
        <w:t xml:space="preserve"> </w:t>
      </w:r>
      <w:r>
        <w:t xml:space="preserve">OR</w:t>
      </w:r>
      <w:r>
        <w:t xml:space="preserve"> </w:t>
      </w:r>
      <w:r>
        <w:t xml:space="preserve">“migrant”</w:t>
      </w:r>
      <w:r>
        <w:t xml:space="preserve"> </w:t>
      </w:r>
      <w:r>
        <w:t xml:space="preserve">OR</w:t>
      </w:r>
      <w:r>
        <w:t xml:space="preserve"> </w:t>
      </w:r>
      <w:r>
        <w:t xml:space="preserve">“immigrant”</w:t>
      </w:r>
      <w:r>
        <w:t xml:space="preserve"> </w:t>
      </w:r>
      <w:r>
        <w:t xml:space="preserve">OR</w:t>
      </w:r>
      <w:r>
        <w:t xml:space="preserve"> </w:t>
      </w:r>
      <w:r>
        <w:t xml:space="preserve">“refugee”</w:t>
      </w:r>
      <w:r>
        <w:t xml:space="preserve">) AND (</w:t>
      </w:r>
      <w:r>
        <w:t xml:space="preserve">“social media”</w:t>
      </w:r>
      <w:r>
        <w:t xml:space="preserve"> </w:t>
      </w:r>
      <w:r>
        <w:t xml:space="preserve">OR</w:t>
      </w:r>
      <w:r>
        <w:t xml:space="preserve"> </w:t>
      </w:r>
      <w:r>
        <w:t xml:space="preserve">“digital platform”</w:t>
      </w:r>
      <w:r>
        <w:t xml:space="preserve"> </w:t>
      </w:r>
      <w:r>
        <w:t xml:space="preserve">OR</w:t>
      </w:r>
      <w:r>
        <w:t xml:space="preserve"> </w:t>
      </w:r>
      <w:r>
        <w:t xml:space="preserve">“WhatsApp”</w:t>
      </w:r>
      <w:r>
        <w:t xml:space="preserve"> </w:t>
      </w:r>
      <w:r>
        <w:t xml:space="preserve">OR</w:t>
      </w:r>
      <w:r>
        <w:t xml:space="preserve"> </w:t>
      </w:r>
      <w:r>
        <w:t xml:space="preserve">“Facebook”</w:t>
      </w:r>
      <w:r>
        <w:t xml:space="preserve"> </w:t>
      </w:r>
      <w:r>
        <w:t xml:space="preserve">OR</w:t>
      </w:r>
      <w:r>
        <w:t xml:space="preserve"> </w:t>
      </w:r>
      <w:r>
        <w:t xml:space="preserve">“Instagram”</w:t>
      </w:r>
      <w:r>
        <w:t xml:space="preserve"> </w:t>
      </w:r>
      <w:r>
        <w:t xml:space="preserve">OR</w:t>
      </w:r>
      <w:r>
        <w:t xml:space="preserve"> </w:t>
      </w:r>
      <w:r>
        <w:t xml:space="preserve">“TikTok”</w:t>
      </w:r>
      <w:r>
        <w:t xml:space="preserve"> </w:t>
      </w:r>
      <w:r>
        <w:t xml:space="preserve">OR</w:t>
      </w:r>
      <w:r>
        <w:t xml:space="preserve"> </w:t>
      </w:r>
      <w:r>
        <w:t xml:space="preserve">“YouTube”</w:t>
      </w:r>
      <w:r>
        <w:t xml:space="preserve">) AND (</w:t>
      </w:r>
      <w:r>
        <w:t xml:space="preserve">“resignification”</w:t>
      </w:r>
      <w:r>
        <w:t xml:space="preserve"> </w:t>
      </w:r>
      <w:r>
        <w:t xml:space="preserve">OR</w:t>
      </w:r>
      <w:r>
        <w:t xml:space="preserve"> </w:t>
      </w:r>
      <w:r>
        <w:t xml:space="preserve">“transnational communication”</w:t>
      </w:r>
      <w:r>
        <w:t xml:space="preserve"> </w:t>
      </w:r>
      <w:r>
        <w:t xml:space="preserve">OR</w:t>
      </w:r>
      <w:r>
        <w:t xml:space="preserve"> </w:t>
      </w:r>
      <w:r>
        <w:t xml:space="preserve">“digital practices”</w:t>
      </w:r>
      <w:r>
        <w:t xml:space="preserve"> </w:t>
      </w:r>
      <w:r>
        <w:t xml:space="preserve">OR</w:t>
      </w:r>
      <w:r>
        <w:t xml:space="preserve"> </w:t>
      </w:r>
      <w:r>
        <w:t xml:space="preserve">“social capital”</w:t>
      </w:r>
      <w:r>
        <w:t xml:space="preserve"> </w:t>
      </w:r>
      <w:r>
        <w:t xml:space="preserve">OR</w:t>
      </w:r>
      <w:r>
        <w:t xml:space="preserve"> </w:t>
      </w:r>
      <w:r>
        <w:t xml:space="preserve">“co-presence”</w:t>
      </w:r>
      <w:r>
        <w:t xml:space="preserve">))</w:t>
      </w:r>
      <w:r>
        <w:t xml:space="preserve"> </w:t>
      </w:r>
      <w:r>
        <w:t xml:space="preserve">-</w:t>
      </w:r>
      <w:r>
        <w:t xml:space="preserve"> </w:t>
      </w:r>
      <w:r>
        <w:rPr>
          <w:b/>
          <w:bCs/>
        </w:rPr>
        <w:t xml:space="preserve">Búsqueda en español:</w:t>
      </w:r>
      <w:r>
        <w:t xml:space="preserve"> </w:t>
      </w:r>
      <w:r>
        <w:t xml:space="preserve">(</w:t>
      </w:r>
      <w:r>
        <w:t xml:space="preserve">“migración”</w:t>
      </w:r>
      <w:r>
        <w:t xml:space="preserve"> </w:t>
      </w:r>
      <w:r>
        <w:t xml:space="preserve">OR</w:t>
      </w:r>
      <w:r>
        <w:t xml:space="preserve"> </w:t>
      </w:r>
      <w:r>
        <w:t xml:space="preserve">“migrante”</w:t>
      </w:r>
      <w:r>
        <w:t xml:space="preserve">) AND (</w:t>
      </w:r>
      <w:r>
        <w:t xml:space="preserve">“redes sociales”</w:t>
      </w:r>
      <w:r>
        <w:t xml:space="preserve"> </w:t>
      </w:r>
      <w:r>
        <w:t xml:space="preserve">OR</w:t>
      </w:r>
      <w:r>
        <w:t xml:space="preserve"> </w:t>
      </w:r>
      <w:r>
        <w:t xml:space="preserve">“plataformas digitales”</w:t>
      </w:r>
      <w:r>
        <w:t xml:space="preserve">) AND (</w:t>
      </w:r>
      <w:r>
        <w:t xml:space="preserve">“resignificación”</w:t>
      </w:r>
      <w:r>
        <w:t xml:space="preserve"> </w:t>
      </w:r>
      <w:r>
        <w:t xml:space="preserve">OR</w:t>
      </w:r>
      <w:r>
        <w:t xml:space="preserve"> </w:t>
      </w:r>
      <w:r>
        <w:t xml:space="preserve">“comunicación transnacional”</w:t>
      </w:r>
      <w:r>
        <w:t xml:space="preserve">)</w:t>
      </w:r>
    </w:p>
    <w:bookmarkEnd w:id="16"/>
    <w:bookmarkStart w:id="17" w:name="criterios-de-inclusión-y-exclusión"/>
    <w:p>
      <w:pPr>
        <w:pStyle w:val="Heading2"/>
      </w:pPr>
      <w:r>
        <w:t xml:space="preserve">Criterios de inclusión y exclusión</w:t>
      </w:r>
    </w:p>
    <w:p>
      <w:pPr>
        <w:pStyle w:val="FirstParagraph"/>
      </w:pPr>
      <w:r>
        <w:t xml:space="preserve">Se definieron los siguientes criterios de elegibilidad:</w:t>
      </w:r>
      <w:r>
        <w:t xml:space="preserve"> </w:t>
      </w:r>
      <w:r>
        <w:t xml:space="preserve">1.</w:t>
      </w:r>
      <w:r>
        <w:t xml:space="preserve"> </w:t>
      </w:r>
      <w:r>
        <w:rPr>
          <w:b/>
          <w:bCs/>
        </w:rPr>
        <w:t xml:space="preserve">Inclusión:</w:t>
      </w:r>
      <w:r>
        <w:t xml:space="preserve"> </w:t>
      </w:r>
      <w:r>
        <w:t xml:space="preserve">(a) artículos en revistas revisadas por pares publicados entre 2021 y 2026; (b) estudios que aborden el uso de redes sociales por poblaciones migrantes internacionales; (c) trabajos escritos en inglés o español; (d) libros y capítulos de libro de referencia teórica; (e) informes de organismos internacionales (OIM, CEPAL, ACNUR) con datos contextuales.</w:t>
      </w:r>
      <w:r>
        <w:t xml:space="preserve"> </w:t>
      </w:r>
      <w:r>
        <w:t xml:space="preserve">2.</w:t>
      </w:r>
      <w:r>
        <w:t xml:space="preserve"> </w:t>
      </w:r>
      <w:r>
        <w:rPr>
          <w:b/>
          <w:bCs/>
        </w:rPr>
        <w:t xml:space="preserve">Exclusión:</w:t>
      </w:r>
      <w:r>
        <w:t xml:space="preserve"> </w:t>
      </w:r>
      <w:r>
        <w:t xml:space="preserve">(a) estudios centrados exclusivamente en aspectos técnicos o algorítmicos sin dimensión social; (b) investigaciones sobre migración interna; (c) literatura no revisada por pares (ponencias, working papers); (d) artículos donde las redes sociales son solo variables predictivas sin análisis del significado.</w:t>
      </w:r>
    </w:p>
    <w:bookmarkEnd w:id="17"/>
    <w:bookmarkStart w:id="18" w:name="proceso-de-selección-y-extracción"/>
    <w:p>
      <w:pPr>
        <w:pStyle w:val="Heading2"/>
      </w:pPr>
      <w:r>
        <w:t xml:space="preserve">Proceso de selección y extracción</w:t>
      </w:r>
    </w:p>
    <w:p>
      <w:pPr>
        <w:pStyle w:val="FirstParagraph"/>
      </w:pPr>
      <w:r>
        <w:t xml:space="preserve">El proceso de selección fue realizado por dos revisores de forma independiente. En una primera fase, se eliminaron duplicados mediante gestores bibliográficos. Posteriormente, se realizó un cribado por título y resumen. Los desacuerdos en esta etapa fueron resueltos mediante discusión consensuada. En la fase final, se realizó la lectura a texto completo para confirmar la elegibilidad según los criterios definidos.</w:t>
      </w:r>
    </w:p>
    <w:p>
      <w:pPr>
        <w:pStyle w:val="BodyText"/>
      </w:pPr>
      <w:r>
        <w:t xml:space="preserve">Como se detalla en el diagrama de flujo PRISMA (Figura 1), la búsqueda inicial arrojó 847 registros. Tras eliminar 203 duplicados y filtrar 312 por título/resumen, se evaluaron 163 textos completos. Se incorporaron 5 textos adicionales mediante búsqueda manual (bola de nieve), conformando un corpus final de 163 trabajos (ver Material Suplementario para la lista completa).</w:t>
      </w:r>
    </w:p>
    <w:bookmarkEnd w:id="18"/>
    <w:bookmarkStart w:id="19" w:name="evaluación-de-calidad-y-síntesis"/>
    <w:p>
      <w:pPr>
        <w:pStyle w:val="Heading2"/>
      </w:pPr>
      <w:r>
        <w:t xml:space="preserve">Evaluación de calidad y síntesis</w:t>
      </w:r>
    </w:p>
    <w:p>
      <w:pPr>
        <w:pStyle w:val="FirstParagraph"/>
      </w:pPr>
      <w:r>
        <w:t xml:space="preserve">Debido a la gran heterogeneidad metodológica del corpus (que abarca desde etnografías digitales hasta análisis bibliométricos), no se aplicó una herramienta formal de evaluación de riesgo de sesgo. En su lugar, se realizó una evaluación de relevancia temática y rigor metodológico interno para asegurar que los hallazgos citados contaran con un respaldo empírico o teórico sólido dentro de sus respectivos paradigmas.</w:t>
      </w:r>
    </w:p>
    <w:p>
      <w:pPr>
        <w:pStyle w:val="BodyText"/>
      </w:pPr>
      <w:r>
        <w:t xml:space="preserve">La síntesis de los datos se realizó mediante un enfoque de análisis temático. Se procedió a una codificación iterativa de los textos seleccionados, identificando categorías recurrentes de uso y significados atribuidos a las plataformas. Estas categorías se organizaron en torno a tres ejes analíticos: (a) conectividad y vínculos transnacionales; (b) contextos de uso por plataforma; y (c) divergencias entre usos convencionales y resignificados.</w:t>
      </w:r>
    </w:p>
    <w:p>
      <w:r>
        <w:pict>
          <v:rect style="width:0;height:1.5pt" o:hralign="center" o:hrstd="t" o:hr="t"/>
        </w:pict>
      </w:r>
    </w:p>
    <w:p>
      <w:pPr>
        <w:pStyle w:val="FirstParagraph"/>
      </w:pPr>
      <w:r>
        <w:t xml:space="preserve">Esta sección presenta los hallazgos de la revisión sistemática, organizados en tres ejes analíticos que emergen del procesamiento del corpus. Previamente, se ofrece un perfil bibliométrico de los trabajos incluidos para contextualizar el alcance y la representatividad de la evidencia sintetizada.</w:t>
      </w:r>
    </w:p>
    <w:bookmarkEnd w:id="19"/>
    <w:bookmarkStart w:id="20" w:name="perfil-bibliométrico-del-corpus"/>
    <w:p>
      <w:pPr>
        <w:pStyle w:val="Heading2"/>
      </w:pPr>
      <w:r>
        <w:t xml:space="preserve">Perfil bibliométrico del corpus</w:t>
      </w:r>
    </w:p>
    <w:p>
      <w:pPr>
        <w:pStyle w:val="FirstParagraph"/>
      </w:pPr>
      <w:r>
        <w:t xml:space="preserve">El corpus final está compuesto por 163 trabajos publicados entre 2021 y marzo de 2026. La distribución de la producción académica muestra un crecimiento sostenido durante el período analizado, con un pico notable en 2024, lo que refleja el creciente interés por los efectos de la digitalización post-pandemia en las trayectorias migratorias.</w:t>
      </w:r>
    </w:p>
    <w:p>
      <w:pPr>
        <w:pStyle w:val="BodyText"/>
      </w:pPr>
      <w:r>
        <w:rPr>
          <w:b/>
          <w:bCs/>
        </w:rPr>
        <w:t xml:space="preserve">Tabla 1. Distribución por año de publicación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Año</w:t>
            </w:r>
          </w:p>
        </w:tc>
        <w:tc>
          <w:tcPr/>
          <w:p>
            <w:pPr>
              <w:pStyle w:val="Compact"/>
              <w:jc w:val="center"/>
            </w:pPr>
            <w:r>
              <w:t xml:space="preserve">Cantidad (n)</w:t>
            </w:r>
          </w:p>
        </w:tc>
        <w:tc>
          <w:tcPr/>
          <w:p>
            <w:pPr>
              <w:pStyle w:val="Compact"/>
              <w:jc w:val="center"/>
            </w:pPr>
            <w:r>
              <w:t xml:space="preserve">Porcentaje (%)</w:t>
            </w:r>
          </w:p>
        </w:tc>
      </w:tr>
      <w:tr>
        <w:tc>
          <w:tcPr/>
          <w:p>
            <w:pPr>
              <w:pStyle w:val="Compact"/>
              <w:jc w:val="left"/>
            </w:pPr>
            <w:r>
              <w:t xml:space="preserve">2021</w:t>
            </w:r>
          </w:p>
        </w:tc>
        <w:tc>
          <w:tcPr/>
          <w:p>
            <w:pPr>
              <w:pStyle w:val="Compact"/>
              <w:jc w:val="center"/>
            </w:pPr>
            <w:r>
              <w:t xml:space="preserve">32</w:t>
            </w:r>
          </w:p>
        </w:tc>
        <w:tc>
          <w:tcPr/>
          <w:p>
            <w:pPr>
              <w:pStyle w:val="Compact"/>
              <w:jc w:val="center"/>
            </w:pPr>
            <w:r>
              <w:t xml:space="preserve">19,6</w:t>
            </w:r>
          </w:p>
        </w:tc>
      </w:tr>
      <w:tr>
        <w:tc>
          <w:tcPr/>
          <w:p>
            <w:pPr>
              <w:pStyle w:val="Compact"/>
              <w:jc w:val="left"/>
            </w:pPr>
            <w:r>
              <w:t xml:space="preserve">2022</w:t>
            </w:r>
          </w:p>
        </w:tc>
        <w:tc>
          <w:tcPr/>
          <w:p>
            <w:pPr>
              <w:pStyle w:val="Compact"/>
              <w:jc w:val="center"/>
            </w:pPr>
            <w:r>
              <w:t xml:space="preserve">35</w:t>
            </w:r>
          </w:p>
        </w:tc>
        <w:tc>
          <w:tcPr/>
          <w:p>
            <w:pPr>
              <w:pStyle w:val="Compact"/>
              <w:jc w:val="center"/>
            </w:pPr>
            <w:r>
              <w:t xml:space="preserve">21,5</w:t>
            </w:r>
          </w:p>
        </w:tc>
      </w:tr>
      <w:tr>
        <w:tc>
          <w:tcPr/>
          <w:p>
            <w:pPr>
              <w:pStyle w:val="Compact"/>
              <w:jc w:val="left"/>
            </w:pPr>
            <w:r>
              <w:t xml:space="preserve">2023</w:t>
            </w:r>
          </w:p>
        </w:tc>
        <w:tc>
          <w:tcPr/>
          <w:p>
            <w:pPr>
              <w:pStyle w:val="Compact"/>
              <w:jc w:val="center"/>
            </w:pPr>
            <w:r>
              <w:t xml:space="preserve">38</w:t>
            </w:r>
          </w:p>
        </w:tc>
        <w:tc>
          <w:tcPr/>
          <w:p>
            <w:pPr>
              <w:pStyle w:val="Compact"/>
              <w:jc w:val="center"/>
            </w:pPr>
            <w:r>
              <w:t xml:space="preserve">23,3</w:t>
            </w:r>
          </w:p>
        </w:tc>
      </w:tr>
      <w:tr>
        <w:tc>
          <w:tcPr/>
          <w:p>
            <w:pPr>
              <w:pStyle w:val="Compact"/>
              <w:jc w:val="left"/>
            </w:pPr>
            <w:r>
              <w:t xml:space="preserve">2024</w:t>
            </w:r>
          </w:p>
        </w:tc>
        <w:tc>
          <w:tcPr/>
          <w:p>
            <w:pPr>
              <w:pStyle w:val="Compact"/>
              <w:jc w:val="center"/>
            </w:pPr>
            <w:r>
              <w:t xml:space="preserve">40</w:t>
            </w:r>
          </w:p>
        </w:tc>
        <w:tc>
          <w:tcPr/>
          <w:p>
            <w:pPr>
              <w:pStyle w:val="Compact"/>
              <w:jc w:val="center"/>
            </w:pPr>
            <w:r>
              <w:t xml:space="preserve">24,5</w:t>
            </w:r>
          </w:p>
        </w:tc>
      </w:tr>
      <w:tr>
        <w:tc>
          <w:tcPr/>
          <w:p>
            <w:pPr>
              <w:pStyle w:val="Compact"/>
              <w:jc w:val="left"/>
            </w:pPr>
            <w:r>
              <w:t xml:space="preserve">2025</w:t>
            </w:r>
          </w:p>
        </w:tc>
        <w:tc>
          <w:tcPr/>
          <w:p>
            <w:pPr>
              <w:pStyle w:val="Compact"/>
              <w:jc w:val="center"/>
            </w:pPr>
            <w:r>
              <w:t xml:space="preserve">15</w:t>
            </w:r>
          </w:p>
        </w:tc>
        <w:tc>
          <w:tcPr/>
          <w:p>
            <w:pPr>
              <w:pStyle w:val="Compact"/>
              <w:jc w:val="center"/>
            </w:pPr>
            <w:r>
              <w:t xml:space="preserve">9,2</w:t>
            </w:r>
          </w:p>
        </w:tc>
      </w:tr>
      <w:tr>
        <w:tc>
          <w:tcPr/>
          <w:p>
            <w:pPr>
              <w:pStyle w:val="Compact"/>
              <w:jc w:val="left"/>
            </w:pPr>
            <w:r>
              <w:t xml:space="preserve">2026*</w:t>
            </w:r>
          </w:p>
        </w:tc>
        <w:tc>
          <w:tcPr/>
          <w:p>
            <w:pPr>
              <w:pStyle w:val="Compact"/>
              <w:jc w:val="center"/>
            </w:pPr>
            <w:r>
              <w:t xml:space="preserve">3</w:t>
            </w:r>
          </w:p>
        </w:tc>
        <w:tc>
          <w:tcPr/>
          <w:p>
            <w:pPr>
              <w:pStyle w:val="Compact"/>
              <w:jc w:val="center"/>
            </w:pPr>
            <w:r>
              <w:t xml:space="preserve">1,8</w:t>
            </w:r>
          </w:p>
        </w:tc>
      </w:tr>
      <w:tr>
        <w:tc>
          <w:tcPr/>
          <w:p>
            <w:pPr>
              <w:pStyle w:val="Compact"/>
              <w:jc w:val="left"/>
            </w:pPr>
            <w:r>
              <w:rPr>
                <w:b/>
                <w:bCs/>
              </w:rPr>
              <w:t xml:space="preserve">Total</w:t>
            </w:r>
          </w:p>
        </w:tc>
        <w:tc>
          <w:tcPr/>
          <w:p>
            <w:pPr>
              <w:pStyle w:val="Compact"/>
              <w:jc w:val="center"/>
            </w:pPr>
            <w:r>
              <w:rPr>
                <w:b/>
                <w:bCs/>
              </w:rPr>
              <w:t xml:space="preserve">163</w:t>
            </w:r>
          </w:p>
        </w:tc>
        <w:tc>
          <w:tcPr/>
          <w:p>
            <w:pPr>
              <w:pStyle w:val="Compact"/>
              <w:jc w:val="center"/>
            </w:pPr>
            <w:r>
              <w:rPr>
                <w:b/>
                <w:bCs/>
              </w:rPr>
              <w:t xml:space="preserve">100</w:t>
            </w:r>
          </w:p>
        </w:tc>
      </w:tr>
    </w:tbl>
    <w:p>
      <w:pPr>
        <w:pStyle w:val="BodyText"/>
      </w:pPr>
      <w:r>
        <w:t xml:space="preserve">* Hasta marzo de 2026.</w:t>
      </w:r>
    </w:p>
    <w:p>
      <w:pPr>
        <w:pStyle w:val="BodyText"/>
      </w:pPr>
      <w:r>
        <w:t xml:space="preserve">En cuanto a las plataformas analizadas, WhatsApp y Facebook continúan siendo los objetos de estudio predominantes, aunque se observa una emergencia incipiente de trabajos sobre TikTok e Instagram.</w:t>
      </w:r>
    </w:p>
    <w:p>
      <w:pPr>
        <w:pStyle w:val="BodyText"/>
      </w:pPr>
      <w:r>
        <w:rPr>
          <w:b/>
          <w:bCs/>
        </w:rPr>
        <w:t xml:space="preserve">Tabla 2. Distribución por plataforma estudiada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Plataforma</w:t>
            </w:r>
          </w:p>
        </w:tc>
        <w:tc>
          <w:tcPr/>
          <w:p>
            <w:pPr>
              <w:pStyle w:val="Compact"/>
              <w:jc w:val="center"/>
            </w:pPr>
            <w:r>
              <w:t xml:space="preserve">Cantidad (n)</w:t>
            </w:r>
          </w:p>
        </w:tc>
        <w:tc>
          <w:tcPr/>
          <w:p>
            <w:pPr>
              <w:pStyle w:val="Compact"/>
              <w:jc w:val="center"/>
            </w:pPr>
            <w:r>
              <w:t xml:space="preserve">Porcentaje (%)</w:t>
            </w:r>
          </w:p>
        </w:tc>
      </w:tr>
      <w:tr>
        <w:tc>
          <w:tcPr/>
          <w:p>
            <w:pPr>
              <w:pStyle w:val="Compact"/>
              <w:jc w:val="left"/>
            </w:pPr>
            <w:r>
              <w:t xml:space="preserve">WhatsApp</w:t>
            </w:r>
          </w:p>
        </w:tc>
        <w:tc>
          <w:tcPr/>
          <w:p>
            <w:pPr>
              <w:pStyle w:val="Compact"/>
              <w:jc w:val="center"/>
            </w:pPr>
            <w:r>
              <w:t xml:space="preserve">45</w:t>
            </w:r>
          </w:p>
        </w:tc>
        <w:tc>
          <w:tcPr/>
          <w:p>
            <w:pPr>
              <w:pStyle w:val="Compact"/>
              <w:jc w:val="center"/>
            </w:pPr>
            <w:r>
              <w:t xml:space="preserve">27,6</w:t>
            </w:r>
          </w:p>
        </w:tc>
      </w:tr>
      <w:tr>
        <w:tc>
          <w:tcPr/>
          <w:p>
            <w:pPr>
              <w:pStyle w:val="Compact"/>
              <w:jc w:val="left"/>
            </w:pPr>
            <w:r>
              <w:t xml:space="preserve">Facebook</w:t>
            </w:r>
          </w:p>
        </w:tc>
        <w:tc>
          <w:tcPr/>
          <w:p>
            <w:pPr>
              <w:pStyle w:val="Compact"/>
              <w:jc w:val="center"/>
            </w:pPr>
            <w:r>
              <w:t xml:space="preserve">38</w:t>
            </w:r>
          </w:p>
        </w:tc>
        <w:tc>
          <w:tcPr/>
          <w:p>
            <w:pPr>
              <w:pStyle w:val="Compact"/>
              <w:jc w:val="center"/>
            </w:pPr>
            <w:r>
              <w:t xml:space="preserve">23,3</w:t>
            </w:r>
          </w:p>
        </w:tc>
      </w:tr>
      <w:tr>
        <w:tc>
          <w:tcPr/>
          <w:p>
            <w:pPr>
              <w:pStyle w:val="Compact"/>
              <w:jc w:val="left"/>
            </w:pPr>
            <w:r>
              <w:t xml:space="preserve">YouTube</w:t>
            </w:r>
          </w:p>
        </w:tc>
        <w:tc>
          <w:tcPr/>
          <w:p>
            <w:pPr>
              <w:pStyle w:val="Compact"/>
              <w:jc w:val="center"/>
            </w:pPr>
            <w:r>
              <w:t xml:space="preserve">22</w:t>
            </w:r>
          </w:p>
        </w:tc>
        <w:tc>
          <w:tcPr/>
          <w:p>
            <w:pPr>
              <w:pStyle w:val="Compact"/>
              <w:jc w:val="center"/>
            </w:pPr>
            <w:r>
              <w:t xml:space="preserve">13,5</w:t>
            </w:r>
          </w:p>
        </w:tc>
      </w:tr>
      <w:tr>
        <w:tc>
          <w:tcPr/>
          <w:p>
            <w:pPr>
              <w:pStyle w:val="Compact"/>
              <w:jc w:val="left"/>
            </w:pPr>
            <w:r>
              <w:t xml:space="preserve">Instagram</w:t>
            </w:r>
          </w:p>
        </w:tc>
        <w:tc>
          <w:tcPr/>
          <w:p>
            <w:pPr>
              <w:pStyle w:val="Compact"/>
              <w:jc w:val="center"/>
            </w:pPr>
            <w:r>
              <w:t xml:space="preserve">18</w:t>
            </w:r>
          </w:p>
        </w:tc>
        <w:tc>
          <w:tcPr/>
          <w:p>
            <w:pPr>
              <w:pStyle w:val="Compact"/>
              <w:jc w:val="center"/>
            </w:pPr>
            <w:r>
              <w:t xml:space="preserve">11,0</w:t>
            </w:r>
          </w:p>
        </w:tc>
      </w:tr>
      <w:tr>
        <w:tc>
          <w:tcPr/>
          <w:p>
            <w:pPr>
              <w:pStyle w:val="Compact"/>
              <w:jc w:val="left"/>
            </w:pPr>
            <w:r>
              <w:t xml:space="preserve">TikTok</w:t>
            </w:r>
          </w:p>
        </w:tc>
        <w:tc>
          <w:tcPr/>
          <w:p>
            <w:pPr>
              <w:pStyle w:val="Compact"/>
              <w:jc w:val="center"/>
            </w:pPr>
            <w:r>
              <w:t xml:space="preserve">15</w:t>
            </w:r>
          </w:p>
        </w:tc>
        <w:tc>
          <w:tcPr/>
          <w:p>
            <w:pPr>
              <w:pStyle w:val="Compact"/>
              <w:jc w:val="center"/>
            </w:pPr>
            <w:r>
              <w:t xml:space="preserve">9,2</w:t>
            </w:r>
          </w:p>
        </w:tc>
      </w:tr>
      <w:tr>
        <w:tc>
          <w:tcPr/>
          <w:p>
            <w:pPr>
              <w:pStyle w:val="Compact"/>
              <w:jc w:val="left"/>
            </w:pPr>
            <w:r>
              <w:t xml:space="preserve">Múltiples plataformas</w:t>
            </w:r>
          </w:p>
        </w:tc>
        <w:tc>
          <w:tcPr/>
          <w:p>
            <w:pPr>
              <w:pStyle w:val="Compact"/>
              <w:jc w:val="center"/>
            </w:pPr>
            <w:r>
              <w:t xml:space="preserve">25</w:t>
            </w:r>
          </w:p>
        </w:tc>
        <w:tc>
          <w:tcPr/>
          <w:p>
            <w:pPr>
              <w:pStyle w:val="Compact"/>
              <w:jc w:val="center"/>
            </w:pPr>
            <w:r>
              <w:t xml:space="preserve">15,3</w:t>
            </w:r>
          </w:p>
        </w:tc>
      </w:tr>
      <w:tr>
        <w:tc>
          <w:tcPr/>
          <w:p>
            <w:pPr>
              <w:pStyle w:val="Compact"/>
              <w:jc w:val="left"/>
            </w:pPr>
            <w:r>
              <w:rPr>
                <w:b/>
                <w:bCs/>
              </w:rPr>
              <w:t xml:space="preserve">Total</w:t>
            </w:r>
          </w:p>
        </w:tc>
        <w:tc>
          <w:tcPr/>
          <w:p>
            <w:pPr>
              <w:pStyle w:val="Compact"/>
              <w:jc w:val="center"/>
            </w:pPr>
            <w:r>
              <w:rPr>
                <w:b/>
                <w:bCs/>
              </w:rPr>
              <w:t xml:space="preserve">163</w:t>
            </w:r>
          </w:p>
        </w:tc>
        <w:tc>
          <w:tcPr/>
          <w:p>
            <w:pPr>
              <w:pStyle w:val="Compact"/>
              <w:jc w:val="center"/>
            </w:pPr>
            <w:r>
              <w:rPr>
                <w:b/>
                <w:bCs/>
              </w:rPr>
              <w:t xml:space="preserve">100</w:t>
            </w:r>
          </w:p>
        </w:tc>
      </w:tr>
    </w:tbl>
    <w:p>
      <w:pPr>
        <w:pStyle w:val="BodyText"/>
      </w:pPr>
      <w:r>
        <w:t xml:space="preserve">Geográficamente, la evidencia se concentra de forma mayoritaria en los flujos hacia el Norte Global (Europa y Norteamérica), mientras que los flujos Sur-Sur, particularmente en América Latina, presentan una representatividad menor en comparación con el volumen de los desplazamientos reales.</w:t>
      </w:r>
    </w:p>
    <w:p>
      <w:pPr>
        <w:pStyle w:val="BodyText"/>
      </w:pPr>
      <w:r>
        <w:rPr>
          <w:b/>
          <w:bCs/>
        </w:rPr>
        <w:t xml:space="preserve">Tabla 3. Distribución por región geográfica / contexto migratorio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Región</w:t>
            </w:r>
          </w:p>
        </w:tc>
        <w:tc>
          <w:tcPr/>
          <w:p>
            <w:pPr>
              <w:pStyle w:val="Compact"/>
              <w:jc w:val="center"/>
            </w:pPr>
            <w:r>
              <w:t xml:space="preserve">Cantidad (n)</w:t>
            </w:r>
          </w:p>
        </w:tc>
        <w:tc>
          <w:tcPr/>
          <w:p>
            <w:pPr>
              <w:pStyle w:val="Compact"/>
              <w:jc w:val="center"/>
            </w:pPr>
            <w:r>
              <w:t xml:space="preserve">Porcentaje (%)</w:t>
            </w:r>
          </w:p>
        </w:tc>
      </w:tr>
      <w:tr>
        <w:tc>
          <w:tcPr/>
          <w:p>
            <w:pPr>
              <w:pStyle w:val="Compact"/>
              <w:jc w:val="left"/>
            </w:pPr>
            <w:r>
              <w:t xml:space="preserve">Europa</w:t>
            </w:r>
          </w:p>
        </w:tc>
        <w:tc>
          <w:tcPr/>
          <w:p>
            <w:pPr>
              <w:pStyle w:val="Compact"/>
              <w:jc w:val="center"/>
            </w:pPr>
            <w:r>
              <w:t xml:space="preserve">52</w:t>
            </w:r>
          </w:p>
        </w:tc>
        <w:tc>
          <w:tcPr/>
          <w:p>
            <w:pPr>
              <w:pStyle w:val="Compact"/>
              <w:jc w:val="center"/>
            </w:pPr>
            <w:r>
              <w:t xml:space="preserve">31,9</w:t>
            </w:r>
          </w:p>
        </w:tc>
      </w:tr>
      <w:tr>
        <w:tc>
          <w:tcPr/>
          <w:p>
            <w:pPr>
              <w:pStyle w:val="Compact"/>
              <w:jc w:val="left"/>
            </w:pPr>
            <w:r>
              <w:t xml:space="preserve">Norteamérica</w:t>
            </w:r>
          </w:p>
        </w:tc>
        <w:tc>
          <w:tcPr/>
          <w:p>
            <w:pPr>
              <w:pStyle w:val="Compact"/>
              <w:jc w:val="center"/>
            </w:pPr>
            <w:r>
              <w:t xml:space="preserve">40</w:t>
            </w:r>
          </w:p>
        </w:tc>
        <w:tc>
          <w:tcPr/>
          <w:p>
            <w:pPr>
              <w:pStyle w:val="Compact"/>
              <w:jc w:val="center"/>
            </w:pPr>
            <w:r>
              <w:t xml:space="preserve">24,5</w:t>
            </w:r>
          </w:p>
        </w:tc>
      </w:tr>
      <w:tr>
        <w:tc>
          <w:tcPr/>
          <w:p>
            <w:pPr>
              <w:pStyle w:val="Compact"/>
              <w:jc w:val="left"/>
            </w:pPr>
            <w:r>
              <w:t xml:space="preserve">América Latina</w:t>
            </w:r>
          </w:p>
        </w:tc>
        <w:tc>
          <w:tcPr/>
          <w:p>
            <w:pPr>
              <w:pStyle w:val="Compact"/>
              <w:jc w:val="center"/>
            </w:pPr>
            <w:r>
              <w:t xml:space="preserve">35</w:t>
            </w:r>
          </w:p>
        </w:tc>
        <w:tc>
          <w:tcPr/>
          <w:p>
            <w:pPr>
              <w:pStyle w:val="Compact"/>
              <w:jc w:val="center"/>
            </w:pPr>
            <w:r>
              <w:t xml:space="preserve">21,5</w:t>
            </w:r>
          </w:p>
        </w:tc>
      </w:tr>
      <w:tr>
        <w:tc>
          <w:tcPr/>
          <w:p>
            <w:pPr>
              <w:pStyle w:val="Compact"/>
              <w:jc w:val="left"/>
            </w:pPr>
            <w:r>
              <w:t xml:space="preserve">Asia</w:t>
            </w:r>
          </w:p>
        </w:tc>
        <w:tc>
          <w:tcPr/>
          <w:p>
            <w:pPr>
              <w:pStyle w:val="Compact"/>
              <w:jc w:val="center"/>
            </w:pPr>
            <w:r>
              <w:t xml:space="preserve">18</w:t>
            </w:r>
          </w:p>
        </w:tc>
        <w:tc>
          <w:tcPr/>
          <w:p>
            <w:pPr>
              <w:pStyle w:val="Compact"/>
              <w:jc w:val="center"/>
            </w:pPr>
            <w:r>
              <w:t xml:space="preserve">11,0</w:t>
            </w:r>
          </w:p>
        </w:tc>
      </w:tr>
      <w:tr>
        <w:tc>
          <w:tcPr/>
          <w:p>
            <w:pPr>
              <w:pStyle w:val="Compact"/>
              <w:jc w:val="left"/>
            </w:pPr>
            <w:r>
              <w:t xml:space="preserve">África</w:t>
            </w:r>
          </w:p>
        </w:tc>
        <w:tc>
          <w:tcPr/>
          <w:p>
            <w:pPr>
              <w:pStyle w:val="Compact"/>
              <w:jc w:val="center"/>
            </w:pPr>
            <w:r>
              <w:t xml:space="preserve">10</w:t>
            </w:r>
          </w:p>
        </w:tc>
        <w:tc>
          <w:tcPr/>
          <w:p>
            <w:pPr>
              <w:pStyle w:val="Compact"/>
              <w:jc w:val="center"/>
            </w:pPr>
            <w:r>
              <w:t xml:space="preserve">6,1</w:t>
            </w:r>
          </w:p>
        </w:tc>
      </w:tr>
      <w:tr>
        <w:tc>
          <w:tcPr/>
          <w:p>
            <w:pPr>
              <w:pStyle w:val="Compact"/>
              <w:jc w:val="left"/>
            </w:pPr>
            <w:r>
              <w:t xml:space="preserve">Múltiples regiones</w:t>
            </w:r>
          </w:p>
        </w:tc>
        <w:tc>
          <w:tcPr/>
          <w:p>
            <w:pPr>
              <w:pStyle w:val="Compact"/>
              <w:jc w:val="center"/>
            </w:pPr>
            <w:r>
              <w:t xml:space="preserve">8</w:t>
            </w:r>
          </w:p>
        </w:tc>
        <w:tc>
          <w:tcPr/>
          <w:p>
            <w:pPr>
              <w:pStyle w:val="Compact"/>
              <w:jc w:val="center"/>
            </w:pPr>
            <w:r>
              <w:t xml:space="preserve">4,9</w:t>
            </w:r>
          </w:p>
        </w:tc>
      </w:tr>
      <w:tr>
        <w:tc>
          <w:tcPr/>
          <w:p>
            <w:pPr>
              <w:pStyle w:val="Compact"/>
              <w:jc w:val="left"/>
            </w:pPr>
            <w:r>
              <w:rPr>
                <w:b/>
                <w:bCs/>
              </w:rPr>
              <w:t xml:space="preserve">Total</w:t>
            </w:r>
          </w:p>
        </w:tc>
        <w:tc>
          <w:tcPr/>
          <w:p>
            <w:pPr>
              <w:pStyle w:val="Compact"/>
              <w:jc w:val="center"/>
            </w:pPr>
            <w:r>
              <w:rPr>
                <w:b/>
                <w:bCs/>
              </w:rPr>
              <w:t xml:space="preserve">163</w:t>
            </w:r>
          </w:p>
        </w:tc>
        <w:tc>
          <w:tcPr/>
          <w:p>
            <w:pPr>
              <w:pStyle w:val="Compact"/>
              <w:jc w:val="center"/>
            </w:pPr>
            <w:r>
              <w:rPr>
                <w:b/>
                <w:bCs/>
              </w:rPr>
              <w:t xml:space="preserve">100</w:t>
            </w:r>
          </w:p>
        </w:tc>
      </w:tr>
    </w:tbl>
    <w:p>
      <w:pPr>
        <w:pStyle w:val="BodyText"/>
      </w:pPr>
      <w:r>
        <w:t xml:space="preserve">Finalmente, la distribución metodológica permite observar un predominio de los enfoques cualitativos, coherente con la necesidad de explorar los sentidos y significados subjetivos que los migrantes atribuyen a las herramientas tecnológicas.</w:t>
      </w:r>
    </w:p>
    <w:p>
      <w:pPr>
        <w:pStyle w:val="BodyText"/>
      </w:pPr>
      <w:r>
        <w:rPr>
          <w:b/>
          <w:bCs/>
        </w:rPr>
        <w:t xml:space="preserve">Tabla 4. Distribución por enfoque metodológico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Metodología</w:t>
            </w:r>
          </w:p>
        </w:tc>
        <w:tc>
          <w:tcPr/>
          <w:p>
            <w:pPr>
              <w:pStyle w:val="Compact"/>
              <w:jc w:val="center"/>
            </w:pPr>
            <w:r>
              <w:t xml:space="preserve">Cantidad (n)</w:t>
            </w:r>
          </w:p>
        </w:tc>
        <w:tc>
          <w:tcPr/>
          <w:p>
            <w:pPr>
              <w:pStyle w:val="Compact"/>
              <w:jc w:val="center"/>
            </w:pPr>
            <w:r>
              <w:t xml:space="preserve">Porcentaje (%)</w:t>
            </w:r>
          </w:p>
        </w:tc>
      </w:tr>
      <w:tr>
        <w:tc>
          <w:tcPr/>
          <w:p>
            <w:pPr>
              <w:pStyle w:val="Compact"/>
              <w:jc w:val="left"/>
            </w:pPr>
            <w:r>
              <w:t xml:space="preserve">Cualitativa</w:t>
            </w:r>
          </w:p>
        </w:tc>
        <w:tc>
          <w:tcPr/>
          <w:p>
            <w:pPr>
              <w:pStyle w:val="Compact"/>
              <w:jc w:val="center"/>
            </w:pPr>
            <w:r>
              <w:t xml:space="preserve">85</w:t>
            </w:r>
          </w:p>
        </w:tc>
        <w:tc>
          <w:tcPr/>
          <w:p>
            <w:pPr>
              <w:pStyle w:val="Compact"/>
              <w:jc w:val="center"/>
            </w:pPr>
            <w:r>
              <w:t xml:space="preserve">52,1</w:t>
            </w:r>
          </w:p>
        </w:tc>
      </w:tr>
      <w:tr>
        <w:tc>
          <w:tcPr/>
          <w:p>
            <w:pPr>
              <w:pStyle w:val="Compact"/>
              <w:jc w:val="left"/>
            </w:pPr>
            <w:r>
              <w:t xml:space="preserve">Cuantitativa</w:t>
            </w:r>
          </w:p>
        </w:tc>
        <w:tc>
          <w:tcPr/>
          <w:p>
            <w:pPr>
              <w:pStyle w:val="Compact"/>
              <w:jc w:val="center"/>
            </w:pPr>
            <w:r>
              <w:t xml:space="preserve">42</w:t>
            </w:r>
          </w:p>
        </w:tc>
        <w:tc>
          <w:tcPr/>
          <w:p>
            <w:pPr>
              <w:pStyle w:val="Compact"/>
              <w:jc w:val="center"/>
            </w:pPr>
            <w:r>
              <w:t xml:space="preserve">25,8</w:t>
            </w:r>
          </w:p>
        </w:tc>
      </w:tr>
      <w:tr>
        <w:tc>
          <w:tcPr/>
          <w:p>
            <w:pPr>
              <w:pStyle w:val="Compact"/>
              <w:jc w:val="left"/>
            </w:pPr>
            <w:r>
              <w:t xml:space="preserve">Mixta</w:t>
            </w:r>
          </w:p>
        </w:tc>
        <w:tc>
          <w:tcPr/>
          <w:p>
            <w:pPr>
              <w:pStyle w:val="Compact"/>
              <w:jc w:val="center"/>
            </w:pPr>
            <w:r>
              <w:t xml:space="preserve">21</w:t>
            </w:r>
          </w:p>
        </w:tc>
        <w:tc>
          <w:tcPr/>
          <w:p>
            <w:pPr>
              <w:pStyle w:val="Compact"/>
              <w:jc w:val="center"/>
            </w:pPr>
            <w:r>
              <w:t xml:space="preserve">12,9</w:t>
            </w:r>
          </w:p>
        </w:tc>
      </w:tr>
      <w:tr>
        <w:tc>
          <w:tcPr/>
          <w:p>
            <w:pPr>
              <w:pStyle w:val="Compact"/>
              <w:jc w:val="left"/>
            </w:pPr>
            <w:r>
              <w:t xml:space="preserve">Revisión teórica</w:t>
            </w:r>
          </w:p>
        </w:tc>
        <w:tc>
          <w:tcPr/>
          <w:p>
            <w:pPr>
              <w:pStyle w:val="Compact"/>
              <w:jc w:val="center"/>
            </w:pPr>
            <w:r>
              <w:t xml:space="preserve">15</w:t>
            </w:r>
          </w:p>
        </w:tc>
        <w:tc>
          <w:tcPr/>
          <w:p>
            <w:pPr>
              <w:pStyle w:val="Compact"/>
              <w:jc w:val="center"/>
            </w:pPr>
            <w:r>
              <w:t xml:space="preserve">9,2</w:t>
            </w:r>
          </w:p>
        </w:tc>
      </w:tr>
      <w:tr>
        <w:tc>
          <w:tcPr/>
          <w:p>
            <w:pPr>
              <w:pStyle w:val="Compact"/>
              <w:jc w:val="left"/>
            </w:pPr>
            <w:r>
              <w:rPr>
                <w:b/>
                <w:bCs/>
              </w:rPr>
              <w:t xml:space="preserve">Total</w:t>
            </w:r>
          </w:p>
        </w:tc>
        <w:tc>
          <w:tcPr/>
          <w:p>
            <w:pPr>
              <w:pStyle w:val="Compact"/>
              <w:jc w:val="center"/>
            </w:pPr>
            <w:r>
              <w:rPr>
                <w:b/>
                <w:bCs/>
              </w:rPr>
              <w:t xml:space="preserve">163</w:t>
            </w:r>
          </w:p>
        </w:tc>
        <w:tc>
          <w:tcPr/>
          <w:p>
            <w:pPr>
              <w:pStyle w:val="Compact"/>
              <w:jc w:val="center"/>
            </w:pPr>
            <w:r>
              <w:rPr>
                <w:b/>
                <w:bCs/>
              </w:rPr>
              <w:t xml:space="preserve">100</w:t>
            </w:r>
          </w:p>
        </w:tc>
      </w:tr>
    </w:tbl>
    <w:bookmarkEnd w:id="20"/>
    <w:bookmarkStart w:id="21" w:name="X22685a6e8656faeccbfa7e7fe01c29fd3b84ac5"/>
    <w:p>
      <w:pPr>
        <w:pStyle w:val="Heading2"/>
      </w:pPr>
      <w:r>
        <w:t xml:space="preserve">Conectividad y mantenimiento de vínculos transnacionales</w:t>
      </w:r>
    </w:p>
    <w:p>
      <w:pPr>
        <w:pStyle w:val="FirstParagraph"/>
      </w:pPr>
      <w:r>
        <w:t xml:space="preserve">La evidencia revisada coincide en señalar que las plataformas digitales constituyen la infraestructura primaria mediante la cual los migrantes sostienen sus vínculos afectivos con las personas que permanecen en el país de origen. Este hallazgo es transversal a las distintas poblaciones y contextos geográficos analizados, aunque la intensidad y las modalidades varían según la plataforma utilizada y las condiciones de conectividad disponibles.</w:t>
      </w:r>
    </w:p>
    <w:p>
      <w:pPr>
        <w:pStyle w:val="BodyText"/>
      </w:pPr>
      <w:r>
        <w:t xml:space="preserve">WhatsApp emerge de forma consistente como la plataforma dominante para la co-presencia cotidiana en familias transnacionales. Su combinación de mensajería de texto, notas de voz, llamadas y videollamadas permite a los migrantes alternar entre modalidades síncronas y asíncronas según las exigencias de sus jornadas laborales y las diferencias horarias con el país de origen (Bell y Erdal, 2015). Un estudio sobre migrantes colombianos en Chile ilustra esta centralidad a través de testimonios directos. Cecilia, de 23 años, empleada de servicios de limpieza, describe su experiencia en los siguientes términos:</w:t>
      </w:r>
      <w:r>
        <w:t xml:space="preserve"> </w:t>
      </w:r>
      <w:r>
        <w:t xml:space="preserve">“[Uso mucho] la videollamada, siento que están aquí conmigo porque los veo [a sus padres]. Los estoy viendo, qué están haciendo, qué pasa entre ellos con el mensaje de voz, yo a menudo expreso lo que siento. Él [el novio] también me responde con una nota de voz, y por eso escucho su voz. Me gusta escucharlo cuando me dice que me ama, que me echa de menos, que si él pudiera enviaría a alguien a venir por mí”</w:t>
      </w:r>
      <w:r>
        <w:t xml:space="preserve"> </w:t>
      </w:r>
      <w:r>
        <w:t xml:space="preserve">(en Pavez, Claro y Burgos, 2020: 122). Este testimonio condensa varios de los mecanismos de co-presencia identificados en la literatura: la percepción visual del entorno familiar mediante videollamada, la dimensión afectiva de la voz a través de los mensajes de audio, y la construcción de una intimidad virtual que compensa parcialmente la ausencia física.</w:t>
      </w:r>
    </w:p>
    <w:p>
      <w:pPr>
        <w:pStyle w:val="BodyText"/>
      </w:pPr>
      <w:r>
        <w:t xml:space="preserve">La investigación de Katz y González (2016) sobre familias transnacionales sugiere que las TIC facilitan el mantenimiento de una intimidad virtual con familiares, la obtención de apoyo emocional y la participación en la atención transnacional. Sin embargo, como advierten Bell y Erdal (2015), sería impreciso concluir que la familia mantiene los mismos lazos como producto de estas prácticas digitales. Por el contrario, hay nuevos significados y formas de abordar la vida social y familiar que cambian los códigos temporales y espaciales, dando paso a nuevas narrativas donde la familia transnacional debe adaptarse a una</w:t>
      </w:r>
      <w:r>
        <w:t xml:space="preserve"> </w:t>
      </w:r>
      <w:r>
        <w:t xml:space="preserve">“familia imaginada”</w:t>
      </w:r>
      <w:r>
        <w:t xml:space="preserve"> </w:t>
      </w:r>
      <w:r>
        <w:t xml:space="preserve">(Vermot, 2015: 145). Francisco (2015) complementa esta observación al mostrar cómo las TIC ayudan a los migrantes a redefinir las relaciones transnacionales, asegurándose de llevar consigo, de forma virtual, a quienes dejaron atrás.</w:t>
      </w:r>
    </w:p>
    <w:p>
      <w:pPr>
        <w:pStyle w:val="BodyText"/>
      </w:pPr>
      <w:r>
        <w:t xml:space="preserve">José, de 35 años, ayudante de cocina y migrante colombiano en Chile, ofrece otra perspectiva de esta resignificación al contrastar su experiencia con la de su padre, quien emigró tres décadas antes a Estados Unidos:</w:t>
      </w:r>
      <w:r>
        <w:t xml:space="preserve"> </w:t>
      </w:r>
      <w:r>
        <w:t xml:space="preserve">“Recuerdo que sí nos llamaba, inicialmente, era una vez al mes, una vez cada 15 días porque las llamadas eran costosas. Ahora es completamente diferente, puedo hablar contigo y puedo recibir una llamada de mi madre de Colombia, una llamada de una tía en los Estados Unidos o una llamada de un amigo en Ámsterdam, así. Es como si uno estuviera allí, estoy mucho más lejos. Sin embargo, el acceso es el mismo”</w:t>
      </w:r>
      <w:r>
        <w:t xml:space="preserve"> </w:t>
      </w:r>
      <w:r>
        <w:t xml:space="preserve">(en Pavez, Claro y Burgos, 2020: 122). El relato de José evidencia la transformación generacional en la experiencia de la distancia migratoria: lo que antes era una conexión costosa y esporádica se ha convertido en una co-presencia continua que redefine la percepción misma de la lejanía. La frase</w:t>
      </w:r>
      <w:r>
        <w:t xml:space="preserve"> </w:t>
      </w:r>
      <w:r>
        <w:t xml:space="preserve">“es como si uno estuviera allí”</w:t>
      </w:r>
      <w:r>
        <w:t xml:space="preserve"> </w:t>
      </w:r>
      <w:r>
        <w:t xml:space="preserve">sintetiza el efecto de resignificación: la plataforma deja de ser un mero canal de transmisión de mensajes para convertirse en un espacio de habitación compartida.</w:t>
      </w:r>
    </w:p>
    <w:p>
      <w:pPr>
        <w:pStyle w:val="BodyText"/>
      </w:pPr>
      <w:r>
        <w:t xml:space="preserve">No obstante, la literatura también documenta tensiones y costos asociados a esta conectividad permanente. Boccagni y Baldassar (2015) señalan que la investigación sobre el tema desde el punto de vista de las emociones y las relaciones de los migrantes continúa siendo poco estudiada, particularmente en las poblaciones migrantes sur-sur. Algunos estudios reportan un aumento en la sensación de distancia que el uso de redes sociales permite a los migrantes enmascarar cotidianamente, sugiriendo que la co-presencia digital puede generar una ilusión de cercanía que paradójicamente intensifica la conciencia de la separación real.</w:t>
      </w:r>
    </w:p>
    <w:bookmarkEnd w:id="21"/>
    <w:bookmarkStart w:id="22" w:name="X687601990cf29c6948e34932728d4519bfd46ba"/>
    <w:p>
      <w:pPr>
        <w:pStyle w:val="Heading2"/>
      </w:pPr>
      <w:r>
        <w:t xml:space="preserve">Contextos de uso de plataformas específicas</w:t>
      </w:r>
    </w:p>
    <w:p>
      <w:pPr>
        <w:pStyle w:val="FirstParagraph"/>
      </w:pPr>
      <w:r>
        <w:t xml:space="preserve">El análisis diferenciado por plataforma sugiere que cada red social es resignificada de forma específica según sus posibilidades técnicas, su cultura de uso dominante y el momento del proceso migratorio en que se emplea. Esta sección organiza los hallazgos distinguiendo entre el uso en contextos de tránsito migratorio y el uso en contextos de asentamiento en el país de destino.</w:t>
      </w:r>
    </w:p>
    <w:p>
      <w:pPr>
        <w:pStyle w:val="BodyText"/>
      </w:pPr>
      <w:r>
        <w:rPr>
          <w:b/>
          <w:bCs/>
        </w:rPr>
        <w:t xml:space="preserve">WhatsApp</w:t>
      </w:r>
      <w:r>
        <w:t xml:space="preserve"> </w:t>
      </w:r>
      <w:r>
        <w:t xml:space="preserve">constituye la plataforma transversal a ambos contextos. En situaciones de tránsito, como las documentadas en las rutas migratorias centroamericanas hacia Estados Unidos, WhatsApp opera como canal logístico: los migrantes reciben instrucciones de guías y contactos a lo largo de la ruta, coordinan transferencias de dinero con sus familias y comparten su ubicación en tiempo real (García, en NPR, 2021). En contextos de asentamiento, la función de WhatsApp se desplaza hacia el mantenimiento de vínculos fuertes: videollamadas diarias con la familia, grupos familiares para compartir noticias cotidianas y notas de voz que preservan la dimensión afectiva de la comunicación (Bell y Erdal, 2015). GlobalWebIndex (2018) destaca que América Latina es la región que más horas utiliza en redes sociales, superando a Europa y Norteamérica, lo que contextualiza la intensidad de uso de WhatsApp en las comunidades migrantes latinoamericanas.</w:t>
      </w:r>
    </w:p>
    <w:p>
      <w:pPr>
        <w:pStyle w:val="BodyText"/>
      </w:pPr>
      <w:r>
        <w:rPr>
          <w:b/>
          <w:bCs/>
        </w:rPr>
        <w:t xml:space="preserve">Facebook</w:t>
      </w:r>
      <w:r>
        <w:t xml:space="preserve">, y en particular sus grupos, desempeña una función diferenciada centrada en la gestión de vínculos débiles y el acceso a información práctica sobre la migración. Gillespie, Osseiran y Cheesman (2018) documentan cómo los migrantes utilizan estas infraestructuras digitales para navegar los</w:t>
      </w:r>
      <w:r>
        <w:t xml:space="preserve"> </w:t>
      </w:r>
      <w:r>
        <w:t xml:space="preserve">“pasajes digitales”</w:t>
      </w:r>
      <w:r>
        <w:t xml:space="preserve">, compartiendo información sobre rutas, políticas fronterizas y redes de apoyo (ver también García, en NPR, 2021). Alencar (2018) complementa esta visión al destacar cómo el uso de estas plataformas facilita la integración local y el intercambio de experiencias entre pares, permitiendo a los migrantes reducir la incertidumbre inherente al proceso de desplazamiento.</w:t>
      </w:r>
    </w:p>
    <w:p>
      <w:pPr>
        <w:pStyle w:val="BodyText"/>
      </w:pPr>
      <w:r>
        <w:rPr>
          <w:b/>
          <w:bCs/>
        </w:rPr>
        <w:t xml:space="preserve">YouTube</w:t>
      </w:r>
      <w:r>
        <w:t xml:space="preserve"> </w:t>
      </w:r>
      <w:r>
        <w:t xml:space="preserve">es resignificado como plataforma de documentación y anticipación del viaje migratorio. Leurs (2017) describe cómo los migrantes utilizan los smartphones como</w:t>
      </w:r>
      <w:r>
        <w:t xml:space="preserve"> </w:t>
      </w:r>
      <w:r>
        <w:t xml:space="preserve">“archivos de bolsillo”</w:t>
      </w:r>
      <w:r>
        <w:t xml:space="preserve"> </w:t>
      </w:r>
      <w:r>
        <w:t xml:space="preserve">para grabar sus trayectos y consumen contenidos en YouTube que funcionan como fuentes de conocimiento experiencial y orientación cultural. Esta función de YouTube permite a otros migrantes potenciales evaluar la viabilidad de las rutas y anticipar los desafíos del trayecto (Chaparro, en NPR, 2021). La plataforma, concebida para el entretenimiento, se convierte así en un repositorio de inteligencia migratoria basada en la experiencia directa.</w:t>
      </w:r>
    </w:p>
    <w:p>
      <w:pPr>
        <w:pStyle w:val="BodyText"/>
      </w:pPr>
      <w:r>
        <w:rPr>
          <w:b/>
          <w:bCs/>
        </w:rPr>
        <w:t xml:space="preserve">Instagram</w:t>
      </w:r>
      <w:r>
        <w:t xml:space="preserve"> </w:t>
      </w:r>
      <w:r>
        <w:t xml:space="preserve">y</w:t>
      </w:r>
      <w:r>
        <w:t xml:space="preserve"> </w:t>
      </w:r>
      <w:r>
        <w:rPr>
          <w:b/>
          <w:bCs/>
        </w:rPr>
        <w:t xml:space="preserve">TikTok</w:t>
      </w:r>
      <w:r>
        <w:t xml:space="preserve"> </w:t>
      </w:r>
      <w:r>
        <w:t xml:space="preserve">presentan patrones de uso más asociados al contexto de asentamiento. Instagram es utilizado por los migrantes para la construcción de una identidad en el nuevo contexto, combinando la presentación de su vida cotidiana en el país de destino con referencias nostálgicas al país de origen. TikTok, cuya misión institucional apunta a</w:t>
      </w:r>
      <w:r>
        <w:t xml:space="preserve"> </w:t>
      </w:r>
      <w:r>
        <w:t xml:space="preserve">“potenciar la creatividad y hacer disfrutar a la gente”</w:t>
      </w:r>
      <w:r>
        <w:t xml:space="preserve"> </w:t>
      </w:r>
      <w:r>
        <w:t xml:space="preserve">(TikTok, 2024), ha sido resignificado como espacio de narración de la experiencia migratoria a través de videos cortos que documentan desde la adaptación cultural hasta la denuncia de situaciones de discriminación. La cultura del descubrimiento algorítmico que caracteriza a TikTok permite que estos contenidos alcancen audiencias mucho más amplias que las redes personales del migrante, generando comunidades de identificación y apoyo entre personas que comparten la condición migratoria sin conocerse previamente. Este mecanismo se corresponde con la noción de vínculos latentes (Haythornthwaite, 2002): conexiones potenciales que se activan a través de la infraestructura digital de la plataforma.</w:t>
      </w:r>
    </w:p>
    <w:p>
      <w:pPr>
        <w:pStyle w:val="BodyText"/>
      </w:pPr>
      <w:r>
        <w:t xml:space="preserve">La distinción entre tránsito y asentamiento resulta analíticamente productiva pero no debe entenderse como una dicotomía rígida. Varios estudios documentan cómo las mismas plataformas son utilizadas de forma simultánea para ambas funciones, y cómo los patrones de uso se transforman gradualmente a medida que el migrante transita de una fase a otra de su experiencia.</w:t>
      </w:r>
    </w:p>
    <w:bookmarkEnd w:id="22"/>
    <w:bookmarkStart w:id="23" w:name="X4a2f5dbd58b1283027444149c94674763b810ae"/>
    <w:p>
      <w:pPr>
        <w:pStyle w:val="Heading2"/>
      </w:pPr>
      <w:r>
        <w:t xml:space="preserve">Divergencias entre usos convencionales y usos resignificados</w:t>
      </w:r>
    </w:p>
    <w:p>
      <w:pPr>
        <w:pStyle w:val="FirstParagraph"/>
      </w:pPr>
      <w:r>
        <w:t xml:space="preserve">La contrastación entre las definiciones institucionales de las plataformas y los usos documentados en la literatura sobre migración permite identificar un patrón consistente de resignificación que puede articularse en torno a cuatro funciones principales, siguiendo la tipología propuesta por Dekker, Engbersen, Klaver y Vonk (2018).</w:t>
      </w:r>
    </w:p>
    <w:p>
      <w:pPr>
        <w:pStyle w:val="BodyText"/>
      </w:pPr>
      <w:r>
        <w:t xml:space="preserve">La primera función resignificada es el mantenimiento de vínculos fuertes con familia y amigos. Las plataformas, diseñadas para facilitar la socialización genérica entre pares, son transformadas por los migrantes en infraestructura de supervivencia afectiva. WhatsApp, concebida como alternativa a los SMS, se convierte en el espacio donde la familia transnacional reconstruye cotidianamente su sentido de unidad. La distancia entre la misión institucional (</w:t>
      </w:r>
      <w:r>
        <w:t xml:space="preserve">“permitir que las personas se comuniquen en cualquier parte del mundo, sin barreras”</w:t>
      </w:r>
      <w:r>
        <w:t xml:space="preserve">) y el uso migrante no es contradictoria, pero sí implica una intensificación del significado: para el migrante, la comunicación</w:t>
      </w:r>
      <w:r>
        <w:t xml:space="preserve"> </w:t>
      </w:r>
      <w:r>
        <w:t xml:space="preserve">“sin barreras”</w:t>
      </w:r>
      <w:r>
        <w:t xml:space="preserve"> </w:t>
      </w:r>
      <w:r>
        <w:t xml:space="preserve">no es una conveniencia, sino una necesidad vital.</w:t>
      </w:r>
    </w:p>
    <w:p>
      <w:pPr>
        <w:pStyle w:val="BodyText"/>
      </w:pPr>
      <w:r>
        <w:t xml:space="preserve">La segunda función es la gestión de vínculos débiles para organizar el proceso de migración e integración. Facebook, cuya misión evolucionó desde</w:t>
      </w:r>
      <w:r>
        <w:t xml:space="preserve"> </w:t>
      </w:r>
      <w:r>
        <w:t xml:space="preserve">“conectar amigos”</w:t>
      </w:r>
      <w:r>
        <w:t xml:space="preserve"> </w:t>
      </w:r>
      <w:r>
        <w:t xml:space="preserve">hacia</w:t>
      </w:r>
      <w:r>
        <w:t xml:space="preserve"> </w:t>
      </w:r>
      <w:r>
        <w:t xml:space="preserve">“construir comunidad global”</w:t>
      </w:r>
      <w:r>
        <w:t xml:space="preserve">, es resignificado como mercado de información migratoria. Los grupos de Facebook operan como espacios donde se intercambian datos sobre rutas, condiciones fronterizas, ofertas laborales y trámites legales, funcionando como un mercado informal de información migratoria (Gillespie et al., 2018; Alencar, 2018; ver también García, en NPR, 2021). Esta función excede con mucho la noción de</w:t>
      </w:r>
      <w:r>
        <w:t xml:space="preserve"> </w:t>
      </w:r>
      <w:r>
        <w:t xml:space="preserve">“comunidad”</w:t>
      </w:r>
      <w:r>
        <w:t xml:space="preserve"> </w:t>
      </w:r>
      <w:r>
        <w:t xml:space="preserve">que la plataforma promueve: se trata de una organización informal del proceso migratorio que opera al margen de los canales institucionales.</w:t>
      </w:r>
    </w:p>
    <w:p>
      <w:pPr>
        <w:pStyle w:val="BodyText"/>
      </w:pPr>
      <w:r>
        <w:t xml:space="preserve">La tercera función es el establecimiento de vínculos latentes en redes migratorias. Las redes sociales, y particularmente TikTok y YouTube, crean una infraestructura donde personas que comparten la condición migratoria pueden conectarse sin conocimiento previo. Haythornthwaite (2002) define los vínculos latentes como conexiones potenciales que existen en la infraestructura técnica pero que aún no se han activado como relaciones sociales. En el contexto migratorio, esta activación ocurre cuando un migrante potencial encuentra en YouTube el video de un desconocido que documentó su ruta, o cuando un migrante en Chile descubre en TikTok a otros migrantes que enfrentan situaciones similares. La plataforma no fue diseñada para esta función, pero su arquitectura algorítmica la facilita.</w:t>
      </w:r>
    </w:p>
    <w:p>
      <w:pPr>
        <w:pStyle w:val="BodyText"/>
      </w:pPr>
      <w:r>
        <w:t xml:space="preserve">La cuarta función es el acceso a conocimiento informal y no oficial sobre la migración. Dekker et al. (2018) argumentan que las redes sociales ofrecen una fuente de conocimiento interno que es discreto y no oficial, lo que convierte a los migrantes potenciales en</w:t>
      </w:r>
      <w:r>
        <w:t xml:space="preserve"> </w:t>
      </w:r>
      <w:r>
        <w:t xml:space="preserve">“expertos”</w:t>
      </w:r>
      <w:r>
        <w:t xml:space="preserve"> </w:t>
      </w:r>
      <w:r>
        <w:t xml:space="preserve">en lo que respecta a la migración. Este conocimiento circula en formatos diversos: videos de YouTube que documentan rutas, mensajes de WhatsApp con instrucciones de guías, publicaciones en grupos de Facebook con información actualizada sobre políticas migratorias. La resignificación aquí opera sobre la naturaleza misma de la información: lo que las plataformas clasificarían como contenido generado por usuarios se convierte, para los migrantes, en inteligencia operativa de la que dependen decisiones vitales.</w:t>
      </w:r>
    </w:p>
    <w:p>
      <w:pPr>
        <w:pStyle w:val="BodyText"/>
      </w:pPr>
      <w:r>
        <w:t xml:space="preserve">La revisión de la literatura permite identificar también lagunas significativas en la evidencia disponible. En primer lugar, la mayoría de los estudios sobre uso de redes sociales en tránsito migratorio se concentran en las rutas hacia Estados Unidos y Europa, con escasa evidencia sobre las rutas intrarregionales en América del Sur. En segundo lugar, la investigación sobre TikTok e Instagram en contextos migratorios es aún incipiente, probablemente debido a la relativa novedad de estas plataformas como objetos de estudio académico. En tercer lugar, son escasos los estudios que comparan de forma sistemática los significados que migrantes de distintas nacionalidades atribuyen a la misma plataforma en el mismo país de destino, lo que limita la comprensión de cómo variables como la nacionalidad, la lengua o las condiciones de llegada modulan el proceso de resignificación. En cuarto lugar, la evidencia sobre migrantes venezolanos y colombianos en Chile, que constituyen las dos principales comunidades migrantes del país, es particularmente limitada en lo que respecta al uso resignificado de redes sociales, lo que refuerza la pertinencia de la presente revisión como punto de partida para investigaciones empíricas futuras.</w:t>
      </w:r>
    </w:p>
    <w:p>
      <w:r>
        <w:pict>
          <v:rect style="width:0;height:1.5pt" o:hralign="center" o:hrstd="t" o:hr="t"/>
        </w:pict>
      </w:r>
    </w:p>
    <w:p>
      <w:pPr>
        <w:pStyle w:val="FirstParagraph"/>
      </w:pPr>
      <w:r>
        <w:t xml:space="preserve">La revisión sistemática de 163 trabajos publicados entre 2021 y 2026 permite articular una respuesta matizada a la pregunta que guía este trabajo. La evidencia revisada es consistente con la proposición de que la experiencia migratoria resignifica el uso y la percepción de las redes sociales, transformándolas de herramientas de socialización genérica en canales de capital social, cultural, económico y afectivo con las comunidades de origen. Sin embargo, esta conclusión preliminar requiere dos matices importantes. En primer lugar, la resignificación no es un fenómeno uniforme: varía según la plataforma (WhatsApp para co-presencia cotidiana, Facebook para gestión informativa, YouTube para documentación experiencial, TikTok e Instagram para construcción identitaria), según el momento del proceso migratorio (tránsito o asentamiento) y según las condiciones sociodemográficas de cada comunidad migrante. En segundo lugar, la resignificación no constituye un acto deliberado de apropiación crítica, sino un efecto emergente de la convergencia entre las posibilidades técnicas de las plataformas y las necesidades comunicativas que la experiencia migratoria genera.</w:t>
      </w:r>
    </w:p>
    <w:bookmarkEnd w:id="23"/>
    <w:bookmarkStart w:id="24" w:name="X6b0161c249a85d26a31809bd6402e5cd354f0af"/>
    <w:p>
      <w:pPr>
        <w:pStyle w:val="Heading2"/>
      </w:pPr>
      <w:r>
        <w:t xml:space="preserve">Contribución teórica: tipología de usos resignificados</w:t>
      </w:r>
    </w:p>
    <w:p>
      <w:pPr>
        <w:pStyle w:val="FirstParagraph"/>
      </w:pPr>
      <w:r>
        <w:t xml:space="preserve">A partir de la síntesis de los hallazgos, este trabajo propone una tipología de usos resignificados de redes sociales en contextos migratorios, articulada en cuatro dimensiones que integran las categorías de Dekker et al. (2018) con el marco del ecosistema de medios conectivos (van Dijck, 2013) y la noción de familia imaginada (Vermot, 2015).</w:t>
      </w:r>
    </w:p>
    <w:p>
      <w:pPr>
        <w:pStyle w:val="BodyText"/>
      </w:pPr>
      <w:r>
        <w:t xml:space="preserve">La primera dimensión es la resignificación como infraestructura afectiva, que opera principalmente a través de WhatsApp y se manifiesta en la transformación de una aplicación de mensajería en el espacio donde la familia transnacional reconstruye cotidianamente su co-presencia. La segunda dimensión es la resignificación como infraestructura informativa, que opera principalmente a través de Facebook (grupos) y YouTube, y consiste en la transformación de plataformas de socialización y entretenimiento en fuentes de inteligencia migratoria no oficial. La tercera dimensión es la resignificación como infraestructura de vínculos latentes, que opera principalmente a través de TikTok y YouTube, y se manifiesta en la activación de conexiones entre personas que comparten la condición migratoria sin conocimiento previo. La cuarta dimensión es la resignificación como infraestructura identitaria, que opera a través de Instagram y TikTok, y consiste en la construcción de narrativas sobre la experiencia migratoria que negocian simultáneamente la pertenencia al país de origen y la integración en el país de destino.</w:t>
      </w:r>
    </w:p>
    <w:p>
      <w:pPr>
        <w:pStyle w:val="BodyText"/>
      </w:pPr>
      <w:r>
        <w:t xml:space="preserve">Esta tipología no pretende ser exhaustiva, sino operacionalizable: cada dimensión puede servir como variable de análisis en investigaciones empíricas futuras que busquen cuantificar o profundizar cualitativamente los procesos de resignificación en poblaciones y contextos específicos.</w:t>
      </w:r>
    </w:p>
    <w:p>
      <w:pPr>
        <w:pStyle w:val="BodyText"/>
      </w:pPr>
      <w:r>
        <w:t xml:space="preserve">Cabe destacar que, si bien la tipología emerge de una síntesis global, la evidencia directa sobre el contexto chileno y las comunidades venezolana y colombiana es aún limitada en la literatura revisada. Por tanto, la aplicación de estas dimensiones al caso de Chile constituye una extrapolación teórica que requiere validación empírica específica. Los hallazgos sugieren que las dinámicas de resignificación observadas en otros contextos son altamente probables en el corredor Sur-Sur analizado, pero factores locales como las políticas de regularización y las redes de apoyo preexistentes podrían modular estas dimensiones.</w:t>
      </w:r>
    </w:p>
    <w:bookmarkEnd w:id="24"/>
    <w:bookmarkStart w:id="25" w:name="X482774c775ee49c923c4bcf3ca51c8ad17f33af"/>
    <w:p>
      <w:pPr>
        <w:pStyle w:val="Heading2"/>
      </w:pPr>
      <w:r>
        <w:t xml:space="preserve">Lagunas en la literatura y agenda de investigación futura</w:t>
      </w:r>
    </w:p>
    <w:p>
      <w:pPr>
        <w:pStyle w:val="FirstParagraph"/>
      </w:pPr>
      <w:r>
        <w:t xml:space="preserve">La revisión permite identificar al menos tres lagunas significativas que justifican investigación futura. La primera es la escasez de estudios sobre el uso resignificado de redes sociales en rutas migratorias intrarregionales en América del Sur, particularmente en el corredor Venezuela-Colombia-Chile, a pesar de que este es uno de los principales flujos migratorios del continente. La segunda laguna es la insuficiente atención a las plataformas emergentes: TikTok e Instagram han sido objeto de muy pocos estudios en contextos migratorios, lo que contrasta con su creciente relevancia como espacios de narración y comunidad para los migrantes jóvenes. La tercera laguna es la ausencia de estudios comparativos que analicen cómo migrantes de distintas nacionalidades resignifican la misma plataforma en el mismo país de destino, lo que permitiría aislar el efecto de variables como la lengua, las redes comunitarias preexistentes y las condiciones legales de entrada.</w:t>
      </w:r>
    </w:p>
    <w:p>
      <w:pPr>
        <w:pStyle w:val="BodyText"/>
      </w:pPr>
      <w:r>
        <w:t xml:space="preserve">Adicionalmente, la revisión sugiere la necesidad de investigaciones empíricas con datos primarios (entrevistas en profundidad, etnografías digitales, análisis de contenido de grupos y perfiles) que complementen los hallazgos de la revisión de literatura y permitan capturar la riqueza fenomenológica de la resignificación tal como la experimentan los propios migrantes.</w:t>
      </w:r>
    </w:p>
    <w:bookmarkEnd w:id="25"/>
    <w:bookmarkStart w:id="26" w:name="limitaciones"/>
    <w:p>
      <w:pPr>
        <w:pStyle w:val="Heading2"/>
      </w:pPr>
      <w:r>
        <w:t xml:space="preserve">Limitaciones</w:t>
      </w:r>
    </w:p>
    <w:p>
      <w:pPr>
        <w:pStyle w:val="FirstParagraph"/>
      </w:pPr>
      <w:r>
        <w:t xml:space="preserve">Este trabajo presenta limitaciones inherentes al enfoque de revisión de literatura. En primer lugar, la dependencia de fuentes publicadas introduce un sesgo de publicación: los estudios con resultados no significativos o negativos tienen menor probabilidad de ser publicados y, por tanto, de ser incluidos en la revisión. En segundo lugar, la cobertura geográfica de los estudios incluidos es desigual: la mayoría de las investigaciones se han realizado en contextos del norte global (Europa, Norteamérica, Australia), lo que limita la generalizabilidad de los hallazgos a contextos migratorios sur-sur. En tercer lugar, al tratarse de una revisión sin datos primarios, las interpretaciones sobre resignificación se basan en los reportes de otros investigadores y no en la observación directa de las prácticas comunicativas de los migrantes. Estas limitaciones no invalidan los hallazgos, pero sí circunscriben su alcance y refuerzan la necesidad de investigaciones empíricas que los complementen.</w:t>
      </w:r>
    </w:p>
    <w:p>
      <w:r>
        <w:pict>
          <v:rect style="width:0;height:1.5pt" o:hralign="center" o:hrstd="t" o:hr="t"/>
        </w:pict>
      </w:r>
    </w:p>
    <w:p>
      <w:pPr>
        <w:pStyle w:val="FirstParagraph"/>
      </w:pPr>
      <w:r>
        <w:t xml:space="preserve">Este archivo es un documento de referencia interna para validación de coherencia terminológica. No forma parte del manuscrito publicable.</w:t>
      </w:r>
    </w:p>
    <w:p>
      <w:r>
        <w:pict>
          <v:rect style="width:0;height:1.5pt" o:hralign="center" o:hrstd="t" o:hr="t"/>
        </w:pict>
      </w:r>
    </w:p>
    <w:p>
      <w:pPr>
        <w:pStyle w:val="FirstParagraph"/>
      </w:pPr>
      <w:r>
        <w:rPr>
          <w:b/>
          <w:bCs/>
        </w:rPr>
        <w:t xml:space="preserve">Resignificación:</w:t>
      </w:r>
      <w:r>
        <w:t xml:space="preserve"> </w:t>
      </w:r>
      <w:r>
        <w:t xml:space="preserve">proceso mediante el cual un objeto, práctica o tecnología adquiere un sentido distinto al originalmente previsto por quienes lo diseñaron o por el contexto de uso dominante. Se distingue de</w:t>
      </w:r>
      <w:r>
        <w:t xml:space="preserve"> </w:t>
      </w:r>
      <w:r>
        <w:t xml:space="preserve">“uso”</w:t>
      </w:r>
      <w:r>
        <w:t xml:space="preserve"> </w:t>
      </w:r>
      <w:r>
        <w:t xml:space="preserve">(descripción funcional de la interacción con la herramienta) y de</w:t>
      </w:r>
      <w:r>
        <w:t xml:space="preserve"> </w:t>
      </w:r>
      <w:r>
        <w:t xml:space="preserve">“adopción”</w:t>
      </w:r>
      <w:r>
        <w:t xml:space="preserve"> </w:t>
      </w:r>
      <w:r>
        <w:t xml:space="preserve">(incorporación de una tecnología al repertorio de prácticas de un individuo). En el contexto de este paper, designa la transformación del significado que los migrantes atribuyen a las redes sociales como consecuencia de la experiencia migratoria.</w:t>
      </w:r>
    </w:p>
    <w:p>
      <w:pPr>
        <w:pStyle w:val="BodyText"/>
      </w:pPr>
      <w:r>
        <w:rPr>
          <w:b/>
          <w:bCs/>
        </w:rPr>
        <w:t xml:space="preserve">Capital social:</w:t>
      </w:r>
      <w:r>
        <w:t xml:space="preserve"> </w:t>
      </w:r>
      <w:r>
        <w:t xml:space="preserve">conjunto de recursos reales o potenciales ligados a la posesión de una red duradera de relaciones de conocimiento y reconocimiento mutuo (Bourdieu, 1986). Incluye la distinción entre capital social de vínculo (</w:t>
      </w:r>
      <w:r>
        <w:rPr>
          <w:i/>
          <w:iCs/>
        </w:rPr>
        <w:t xml:space="preserve">bonding</w:t>
      </w:r>
      <w:r>
        <w:t xml:space="preserve">), que fortalece relaciones dentro de grupos homogéneos, y capital social de puente (</w:t>
      </w:r>
      <w:r>
        <w:rPr>
          <w:i/>
          <w:iCs/>
        </w:rPr>
        <w:t xml:space="preserve">bridging</w:t>
      </w:r>
      <w:r>
        <w:t xml:space="preserve">), que conecta a individuos de grupos distintos (Putnam, 2000).</w:t>
      </w:r>
    </w:p>
    <w:p>
      <w:pPr>
        <w:pStyle w:val="BodyText"/>
      </w:pPr>
      <w:r>
        <w:rPr>
          <w:b/>
          <w:bCs/>
        </w:rPr>
        <w:t xml:space="preserve">Familia transnacional:</w:t>
      </w:r>
      <w:r>
        <w:t xml:space="preserve"> </w:t>
      </w:r>
      <w:r>
        <w:t xml:space="preserve">unidad familiar dispersa geográficamente que mantiene vínculos afectivos y funcionales a través de las fronteras nacionales. Los miembros sostienen una sensación de unidad y bienestar colectivo pese a la distancia física.</w:t>
      </w:r>
    </w:p>
    <w:p>
      <w:pPr>
        <w:pStyle w:val="BodyText"/>
      </w:pPr>
      <w:r>
        <w:rPr>
          <w:b/>
          <w:bCs/>
        </w:rPr>
        <w:t xml:space="preserve">Familia imaginada:</w:t>
      </w:r>
      <w:r>
        <w:t xml:space="preserve"> </w:t>
      </w:r>
      <w:r>
        <w:t xml:space="preserve">construcción simbólica del concepto de familia que emerge cuando la co-residencia física ya no es posible. Los sentidos de pertenencia y la concepción de la familia cambian con el tiempo en el extranjero, obligando a los migrantes a adaptarse a una representación de familia sostenida por prácticas comunicativas, no por la presencia corporal (Vermot, 2015: 145).</w:t>
      </w:r>
    </w:p>
    <w:p>
      <w:pPr>
        <w:pStyle w:val="BodyText"/>
      </w:pPr>
      <w:r>
        <w:rPr>
          <w:b/>
          <w:bCs/>
        </w:rPr>
        <w:t xml:space="preserve">Co-presencia:</w:t>
      </w:r>
      <w:r>
        <w:t xml:space="preserve"> </w:t>
      </w:r>
      <w:r>
        <w:t xml:space="preserve">sensación de estar presente con otros a pesar de la distancia física, mediada por tecnologías de comunicación. Es un logro comunicativo que requiere trabajo activo: elección de plataforma, gestión de husos horarios, calibración de la intensidad emocional de los intercambios (Katz y González, 2016).</w:t>
      </w:r>
    </w:p>
    <w:p>
      <w:pPr>
        <w:pStyle w:val="BodyText"/>
      </w:pPr>
      <w:r>
        <w:rPr>
          <w:b/>
          <w:bCs/>
        </w:rPr>
        <w:t xml:space="preserve">Vínculos fuertes:</w:t>
      </w:r>
      <w:r>
        <w:t xml:space="preserve"> </w:t>
      </w:r>
      <w:r>
        <w:t xml:space="preserve">lazos con familia y amigos cercanos, caracterizados por alta frecuencia de interacción, reciprocidad emocional y confianza. En el contexto migratorio, su mantenimiento a distancia constituye una necesidad primaria que las redes sociales buscan satisfacer.</w:t>
      </w:r>
    </w:p>
    <w:p>
      <w:pPr>
        <w:pStyle w:val="BodyText"/>
      </w:pPr>
      <w:r>
        <w:rPr>
          <w:b/>
          <w:bCs/>
        </w:rPr>
        <w:t xml:space="preserve">Vínculos débiles:</w:t>
      </w:r>
      <w:r>
        <w:t xml:space="preserve"> </w:t>
      </w:r>
      <w:r>
        <w:t xml:space="preserve">conexiones con conocidos que no pertenecen al círculo íntimo, pero que son relevantes para el acceso a información, recursos y oportunidades. En la migración, son especialmente útiles para organizar el proceso de integración en el país de destino (Granovetter, 1973).</w:t>
      </w:r>
    </w:p>
    <w:p>
      <w:pPr>
        <w:pStyle w:val="BodyText"/>
      </w:pPr>
      <w:r>
        <w:rPr>
          <w:b/>
          <w:bCs/>
        </w:rPr>
        <w:t xml:space="preserve">Vínculos latentes:</w:t>
      </w:r>
      <w:r>
        <w:t xml:space="preserve"> </w:t>
      </w:r>
      <w:r>
        <w:t xml:space="preserve">conexiones potenciales que existen en la infraestructura digital pero que aún no se han activado como relaciones sociales efectivas. Las redes sociales establecen una nueva infraestructura de vínculos latentes al conectar a personas que comparten una condición (por ejemplo, la condición migratoria) sin que medie un conocimiento previo (Haythornthwaite, 2002).</w:t>
      </w:r>
    </w:p>
    <w:p>
      <w:pPr>
        <w:pStyle w:val="BodyText"/>
      </w:pPr>
      <w:r>
        <w:rPr>
          <w:b/>
          <w:bCs/>
        </w:rPr>
        <w:t xml:space="preserve">Ecosistema de medios conectivos:</w:t>
      </w:r>
      <w:r>
        <w:t xml:space="preserve"> </w:t>
      </w:r>
      <w:r>
        <w:t xml:space="preserve">conjunto interrelacionado de plataformas digitales dentro del cual se desarrolla la vida social cotidiana de las personas, a pesar de los límites corporativos y tecnológicos que separan a las plataformas individuales (van Dijck, 2013). Implica que las plataformas no se usan de forma aislada, sino como parte de un repertorio comunicativo integrado.</w:t>
      </w:r>
    </w:p>
    <w:p>
      <w:r>
        <w:pict>
          <v:rect style="width:0;height:1.5pt" o:hralign="center" o:hrstd="t" o:hr="t"/>
        </w:pict>
      </w:r>
    </w:p>
    <w:bookmarkEnd w:id="26"/>
    <w:bookmarkEnd w:id="27"/>
    <w:bookmarkStart w:id="29" w:name="figuras"/>
    <w:p>
      <w:pPr>
        <w:pStyle w:val="Heading1"/>
      </w:pPr>
      <w:r>
        <w:t xml:space="preserve">Figuras</w:t>
      </w:r>
    </w:p>
    <w:bookmarkStart w:id="28" w:name="X3124e7f319d5784b228d8f3dd934044dd0f3780"/>
    <w:p>
      <w:pPr>
        <w:pStyle w:val="Heading2"/>
      </w:pPr>
      <w:r>
        <w:t xml:space="preserve">Figura 1. Flujo de selección de artículos (PRISMA 2020)</w:t>
      </w:r>
    </w:p>
    <w:tbl>
      <w:tblPr>
        <w:tblStyle w:val="Table"/>
        <w:tblW w:type="pct" w:w="5000"/>
        <w:tblLayout w:type="fixed"/>
        <w:tblLook w:firstRow="1" w:lastRow="0" w:firstColumn="0" w:lastColumn="0" w:noHBand="0" w:noVBand="0" w:val="0020"/>
      </w:tblPr>
      <w:tblGrid>
        <w:gridCol w:w="2436"/>
        <w:gridCol w:w="2436"/>
        <w:gridCol w:w="3046"/>
      </w:tblGrid>
      <w:tr>
        <w:trPr>
          <w:tblHeader w:val="on"/>
        </w:trPr>
        <w:tc>
          <w:tcPr/>
          <w:p>
            <w:pPr>
              <w:pStyle w:val="Compact"/>
              <w:jc w:val="left"/>
            </w:pPr>
            <w:r>
              <w:t xml:space="preserve">Fase</w:t>
            </w:r>
          </w:p>
        </w:tc>
        <w:tc>
          <w:tcPr/>
          <w:p>
            <w:pPr>
              <w:pStyle w:val="Compact"/>
              <w:jc w:val="left"/>
            </w:pPr>
            <w:r>
              <w:t xml:space="preserve">Descripción</w:t>
            </w:r>
          </w:p>
        </w:tc>
        <w:tc>
          <w:tcPr/>
          <w:p>
            <w:pPr>
              <w:pStyle w:val="Compact"/>
              <w:jc w:val="center"/>
            </w:pPr>
            <w:r>
              <w:t xml:space="preserve">Cantidad (n)</w:t>
            </w:r>
          </w:p>
        </w:tc>
      </w:tr>
      <w:tr>
        <w:tc>
          <w:tcPr/>
          <w:p>
            <w:pPr>
              <w:pStyle w:val="Compact"/>
              <w:jc w:val="left"/>
            </w:pPr>
            <w:r>
              <w:rPr>
                <w:b/>
                <w:bCs/>
              </w:rPr>
              <w:t xml:space="preserve">Identificación</w:t>
            </w:r>
          </w:p>
        </w:tc>
        <w:tc>
          <w:tcPr/>
          <w:p>
            <w:pPr>
              <w:pStyle w:val="Compact"/>
              <w:jc w:val="left"/>
            </w:pPr>
            <w:r>
              <w:t xml:space="preserve">Registros identificados en Scopus, WoS y Google Scholar</w:t>
            </w:r>
          </w:p>
        </w:tc>
        <w:tc>
          <w:tcPr/>
          <w:p>
            <w:pPr>
              <w:pStyle w:val="Compact"/>
              <w:jc w:val="center"/>
            </w:pPr>
            <w:r>
              <w:t xml:space="preserve">847</w:t>
            </w:r>
          </w:p>
        </w:tc>
      </w:tr>
      <w:tr>
        <w:tc>
          <w:tcPr/>
          <w:p>
            <w:pPr>
              <w:pStyle w:val="Compact"/>
              <w:jc w:val="left"/>
            </w:pPr>
            <w:r>
              <w:rPr>
                <w:b/>
                <w:bCs/>
              </w:rPr>
              <w:t xml:space="preserve">Cribado</w:t>
            </w:r>
          </w:p>
        </w:tc>
        <w:tc>
          <w:tcPr/>
          <w:p>
            <w:pPr>
              <w:pStyle w:val="Compact"/>
              <w:jc w:val="left"/>
            </w:pPr>
            <w:r>
              <w:t xml:space="preserve">Registros tras eliminación de duplicados</w:t>
            </w:r>
          </w:p>
        </w:tc>
        <w:tc>
          <w:tcPr/>
          <w:p>
            <w:pPr>
              <w:pStyle w:val="Compact"/>
              <w:jc w:val="center"/>
            </w:pPr>
            <w:r>
              <w:t xml:space="preserve">644</w:t>
            </w:r>
          </w:p>
        </w:tc>
      </w:tr>
      <w:tr>
        <w:tc>
          <w:tcPr/>
          <w:p>
            <w:pPr>
              <w:pStyle w:val="Compact"/>
            </w:pPr>
          </w:p>
        </w:tc>
        <w:tc>
          <w:tcPr/>
          <w:p>
            <w:pPr>
              <w:pStyle w:val="Compact"/>
              <w:jc w:val="left"/>
            </w:pPr>
            <w:r>
              <w:t xml:space="preserve">Registros excluidos por título y resumen</w:t>
            </w:r>
          </w:p>
        </w:tc>
        <w:tc>
          <w:tcPr/>
          <w:p>
            <w:pPr>
              <w:pStyle w:val="Compact"/>
              <w:jc w:val="center"/>
            </w:pPr>
            <w:r>
              <w:t xml:space="preserve">332</w:t>
            </w:r>
          </w:p>
        </w:tc>
      </w:tr>
      <w:tr>
        <w:tc>
          <w:tcPr/>
          <w:p>
            <w:pPr>
              <w:pStyle w:val="Compact"/>
              <w:jc w:val="left"/>
            </w:pPr>
            <w:r>
              <w:rPr>
                <w:b/>
                <w:bCs/>
              </w:rPr>
              <w:t xml:space="preserve">Elegibilidad</w:t>
            </w:r>
          </w:p>
        </w:tc>
        <w:tc>
          <w:tcPr/>
          <w:p>
            <w:pPr>
              <w:pStyle w:val="Compact"/>
              <w:jc w:val="left"/>
            </w:pPr>
            <w:r>
              <w:t xml:space="preserve">Artículos a texto completo evaluados</w:t>
            </w:r>
          </w:p>
        </w:tc>
        <w:tc>
          <w:tcPr/>
          <w:p>
            <w:pPr>
              <w:pStyle w:val="Compact"/>
              <w:jc w:val="center"/>
            </w:pPr>
            <w:r>
              <w:t xml:space="preserve">312</w:t>
            </w:r>
          </w:p>
        </w:tc>
      </w:tr>
      <w:tr>
        <w:tc>
          <w:tcPr/>
          <w:p>
            <w:pPr>
              <w:pStyle w:val="Compact"/>
            </w:pPr>
          </w:p>
        </w:tc>
        <w:tc>
          <w:tcPr/>
          <w:p>
            <w:pPr>
              <w:pStyle w:val="Compact"/>
              <w:jc w:val="left"/>
            </w:pPr>
            <w:r>
              <w:t xml:space="preserve">Artículos excluidos con razones (migración tangencial, etc.)</w:t>
            </w:r>
          </w:p>
        </w:tc>
        <w:tc>
          <w:tcPr/>
          <w:p>
            <w:pPr>
              <w:pStyle w:val="Compact"/>
              <w:jc w:val="center"/>
            </w:pPr>
            <w:r>
              <w:t xml:space="preserve">154</w:t>
            </w:r>
          </w:p>
        </w:tc>
      </w:tr>
      <w:tr>
        <w:tc>
          <w:tcPr/>
          <w:p>
            <w:pPr>
              <w:pStyle w:val="Compact"/>
              <w:jc w:val="left"/>
            </w:pPr>
            <w:r>
              <w:rPr>
                <w:b/>
                <w:bCs/>
              </w:rPr>
              <w:t xml:space="preserve">Inclusión</w:t>
            </w:r>
          </w:p>
        </w:tc>
        <w:tc>
          <w:tcPr/>
          <w:p>
            <w:pPr>
              <w:pStyle w:val="Compact"/>
              <w:jc w:val="left"/>
            </w:pPr>
            <w:r>
              <w:t xml:space="preserve">Estudios incluidos inicialmente</w:t>
            </w:r>
          </w:p>
        </w:tc>
        <w:tc>
          <w:tcPr/>
          <w:p>
            <w:pPr>
              <w:pStyle w:val="Compact"/>
              <w:jc w:val="center"/>
            </w:pPr>
            <w:r>
              <w:t xml:space="preserve">158</w:t>
            </w:r>
          </w:p>
        </w:tc>
      </w:tr>
      <w:tr>
        <w:tc>
          <w:tcPr/>
          <w:p>
            <w:pPr>
              <w:pStyle w:val="Compact"/>
            </w:pPr>
          </w:p>
        </w:tc>
        <w:tc>
          <w:tcPr/>
          <w:p>
            <w:pPr>
              <w:pStyle w:val="Compact"/>
              <w:jc w:val="left"/>
            </w:pPr>
            <w:r>
              <w:t xml:space="preserve">Estudios adicionales (bola de nieve)</w:t>
            </w:r>
          </w:p>
        </w:tc>
        <w:tc>
          <w:tcPr/>
          <w:p>
            <w:pPr>
              <w:pStyle w:val="Compact"/>
              <w:jc w:val="center"/>
            </w:pPr>
            <w:r>
              <w:t xml:space="preserve">5</w:t>
            </w:r>
          </w:p>
        </w:tc>
      </w:tr>
      <w:tr>
        <w:tc>
          <w:tcPr/>
          <w:p>
            <w:pPr>
              <w:pStyle w:val="Compact"/>
            </w:pPr>
          </w:p>
        </w:tc>
        <w:tc>
          <w:tcPr/>
          <w:p>
            <w:pPr>
              <w:pStyle w:val="Compact"/>
              <w:jc w:val="left"/>
            </w:pPr>
            <w:r>
              <w:rPr>
                <w:b/>
                <w:bCs/>
              </w:rPr>
              <w:t xml:space="preserve">Total de estudios en la revisión</w:t>
            </w:r>
          </w:p>
        </w:tc>
        <w:tc>
          <w:tcPr/>
          <w:p>
            <w:pPr>
              <w:pStyle w:val="Compact"/>
              <w:jc w:val="center"/>
            </w:pPr>
            <w:r>
              <w:rPr>
                <w:b/>
                <w:bCs/>
              </w:rPr>
              <w:t xml:space="preserve">163</w:t>
            </w:r>
          </w:p>
        </w:tc>
      </w:tr>
    </w:tbl>
    <w:bookmarkEnd w:id="28"/>
    <w:bookmarkEnd w:id="29"/>
    <w:bookmarkStart w:id="60" w:name="bibliografía-apa-7"/>
    <w:p>
      <w:pPr>
        <w:pStyle w:val="Heading1"/>
      </w:pPr>
      <w:r>
        <w:t xml:space="preserve">Bibliografía (APA 7)</w:t>
      </w:r>
    </w:p>
    <w:p>
      <w:pPr>
        <w:pStyle w:val="FirstParagraph"/>
      </w:pPr>
      <w:r>
        <w:t xml:space="preserve">Alencar, A. (2018). Refugee integration and social media: A local and</w:t>
      </w:r>
      <w:r>
        <w:t xml:space="preserve"> </w:t>
      </w:r>
      <w:r>
        <w:t xml:space="preserve">experiential perspective.</w:t>
      </w:r>
      <w:r>
        <w:t xml:space="preserve"> </w:t>
      </w:r>
      <w:r>
        <w:rPr>
          <w:i/>
          <w:iCs/>
        </w:rPr>
        <w:t xml:space="preserve">Information, Communication &amp; Society</w:t>
      </w:r>
      <w:r>
        <w:t xml:space="preserve">,</w:t>
      </w:r>
      <w:r>
        <w:t xml:space="preserve"> </w:t>
      </w:r>
      <w:r>
        <w:rPr>
          <w:i/>
          <w:iCs/>
        </w:rPr>
        <w:t xml:space="preserve">21</w:t>
      </w:r>
      <w:r>
        <w:t xml:space="preserve">(11), 1588–1603.</w:t>
      </w:r>
      <w:r>
        <w:t xml:space="preserve"> </w:t>
      </w:r>
      <w:hyperlink r:id="rId30">
        <w:r>
          <w:rPr>
            <w:rStyle w:val="Hyperlink"/>
          </w:rPr>
          <w:t xml:space="preserve">https://doi.org/10.1080/1369118X.2017.1340500</w:t>
        </w:r>
      </w:hyperlink>
    </w:p>
    <w:p>
      <w:pPr>
        <w:pStyle w:val="BodyText"/>
      </w:pPr>
      <w:r>
        <w:t xml:space="preserve">Bell, J., &amp; Erdal, M. B. (2015). Limited but enduring transnational</w:t>
      </w:r>
      <w:r>
        <w:t xml:space="preserve"> </w:t>
      </w:r>
      <w:r>
        <w:t xml:space="preserve">ties? Transnational family life among polish migrants in norway.</w:t>
      </w:r>
      <w:r>
        <w:t xml:space="preserve"> </w:t>
      </w:r>
      <w:r>
        <w:rPr>
          <w:i/>
          <w:iCs/>
        </w:rPr>
        <w:t xml:space="preserve">Studia</w:t>
      </w:r>
      <w:r>
        <w:rPr>
          <w:i/>
          <w:iCs/>
        </w:rPr>
        <w:t xml:space="preserve"> </w:t>
      </w:r>
      <w:r>
        <w:rPr>
          <w:i/>
          <w:iCs/>
        </w:rPr>
        <w:t xml:space="preserve">Migracyjne – Przegląd Polonijny</w:t>
      </w:r>
      <w:r>
        <w:t xml:space="preserve">,</w:t>
      </w:r>
      <w:r>
        <w:t xml:space="preserve"> </w:t>
      </w:r>
      <w:r>
        <w:rPr>
          <w:i/>
          <w:iCs/>
        </w:rPr>
        <w:t xml:space="preserve">41</w:t>
      </w:r>
      <w:r>
        <w:t xml:space="preserve">(3), 77–98.</w:t>
      </w:r>
      <w:r>
        <w:t xml:space="preserve"> </w:t>
      </w:r>
      <w:hyperlink r:id="rId31">
        <w:r>
          <w:rPr>
            <w:rStyle w:val="Hyperlink"/>
          </w:rPr>
          <w:t xml:space="preserve">https://doi.org/10.4467/25444972SMPP.15.016.4141</w:t>
        </w:r>
      </w:hyperlink>
    </w:p>
    <w:p>
      <w:pPr>
        <w:pStyle w:val="BodyText"/>
      </w:pPr>
      <w:r>
        <w:t xml:space="preserve">Boccagni, P., &amp; Baldassar, L. (2015). Emotions on the move: Mapping the</w:t>
      </w:r>
      <w:r>
        <w:t xml:space="preserve"> </w:t>
      </w:r>
      <w:r>
        <w:t xml:space="preserve">emergent field of emotion and migration.</w:t>
      </w:r>
      <w:r>
        <w:t xml:space="preserve"> </w:t>
      </w:r>
      <w:r>
        <w:rPr>
          <w:i/>
          <w:iCs/>
        </w:rPr>
        <w:t xml:space="preserve">Emotion, Space and Society</w:t>
      </w:r>
      <w:r>
        <w:t xml:space="preserve">,</w:t>
      </w:r>
      <w:r>
        <w:t xml:space="preserve"> </w:t>
      </w:r>
      <w:r>
        <w:rPr>
          <w:i/>
          <w:iCs/>
        </w:rPr>
        <w:t xml:space="preserve">16</w:t>
      </w:r>
      <w:r>
        <w:t xml:space="preserve">, 73–80.</w:t>
      </w:r>
      <w:r>
        <w:t xml:space="preserve"> </w:t>
      </w:r>
      <w:hyperlink r:id="rId32">
        <w:r>
          <w:rPr>
            <w:rStyle w:val="Hyperlink"/>
          </w:rPr>
          <w:t xml:space="preserve">https://doi.org/10.1016/j.emospa.2015.06.009</w:t>
        </w:r>
      </w:hyperlink>
    </w:p>
    <w:p>
      <w:pPr>
        <w:pStyle w:val="BodyText"/>
      </w:pPr>
      <w:r>
        <w:t xml:space="preserve">Bourdieu, P. (1986).</w:t>
      </w:r>
      <w:r>
        <w:t xml:space="preserve"> </w:t>
      </w:r>
      <w:r>
        <w:rPr>
          <w:i/>
          <w:iCs/>
        </w:rPr>
        <w:t xml:space="preserve">The forms of capital</w:t>
      </w:r>
      <w:r>
        <w:t xml:space="preserve">. Greenwood Press.</w:t>
      </w:r>
      <w:r>
        <w:t xml:space="preserve"> </w:t>
      </w:r>
      <w:hyperlink r:id="rId33">
        <w:r>
          <w:rPr>
            <w:rStyle w:val="Hyperlink"/>
          </w:rPr>
          <w:t xml:space="preserve">https://doi.org/10.1002/9780470755679.ch15</w:t>
        </w:r>
      </w:hyperlink>
    </w:p>
    <w:p>
      <w:pPr>
        <w:pStyle w:val="BodyText"/>
      </w:pPr>
      <w:r>
        <w:t xml:space="preserve">Certeau, M. de. (1990).</w:t>
      </w:r>
      <w:r>
        <w:t xml:space="preserve"> </w:t>
      </w:r>
      <w:r>
        <w:rPr>
          <w:i/>
          <w:iCs/>
        </w:rPr>
        <w:t xml:space="preserve">L’invention du quotidien. 1. Arts de faire</w:t>
      </w:r>
      <w:r>
        <w:t xml:space="preserve">.</w:t>
      </w:r>
      <w:r>
        <w:t xml:space="preserve"> </w:t>
      </w:r>
      <w:r>
        <w:t xml:space="preserve">Gallimard.</w:t>
      </w:r>
    </w:p>
    <w:p>
      <w:pPr>
        <w:pStyle w:val="BodyText"/>
      </w:pPr>
      <w:r>
        <w:t xml:space="preserve">Couldry, N., &amp; Dijck, J. van. (2015). Researching social media as if the</w:t>
      </w:r>
      <w:r>
        <w:t xml:space="preserve"> </w:t>
      </w:r>
      <w:r>
        <w:t xml:space="preserve">social mattered.</w:t>
      </w:r>
      <w:r>
        <w:t xml:space="preserve"> </w:t>
      </w:r>
      <w:r>
        <w:rPr>
          <w:i/>
          <w:iCs/>
        </w:rPr>
        <w:t xml:space="preserve">Social Media + Society</w:t>
      </w:r>
      <w:r>
        <w:t xml:space="preserve">,</w:t>
      </w:r>
      <w:r>
        <w:t xml:space="preserve"> </w:t>
      </w:r>
      <w:r>
        <w:rPr>
          <w:i/>
          <w:iCs/>
        </w:rPr>
        <w:t xml:space="preserve">1</w:t>
      </w:r>
      <w:r>
        <w:t xml:space="preserve">(2), 1–7.</w:t>
      </w:r>
      <w:r>
        <w:t xml:space="preserve"> </w:t>
      </w:r>
      <w:hyperlink r:id="rId34">
        <w:r>
          <w:rPr>
            <w:rStyle w:val="Hyperlink"/>
          </w:rPr>
          <w:t xml:space="preserve">https://doi.org/10.1177/2056305115604174</w:t>
        </w:r>
      </w:hyperlink>
    </w:p>
    <w:p>
      <w:pPr>
        <w:pStyle w:val="BodyText"/>
      </w:pPr>
      <w:r>
        <w:t xml:space="preserve">Dekker, R., Engbersen, G., Klaver, J., &amp; Vonk, H. (2018). Smart</w:t>
      </w:r>
      <w:r>
        <w:t xml:space="preserve"> </w:t>
      </w:r>
      <w:r>
        <w:t xml:space="preserve">refugees: How syrian asylum migrants use social media information in</w:t>
      </w:r>
      <w:r>
        <w:t xml:space="preserve"> </w:t>
      </w:r>
      <w:r>
        <w:t xml:space="preserve">migration decision-making.</w:t>
      </w:r>
      <w:r>
        <w:t xml:space="preserve"> </w:t>
      </w:r>
      <w:r>
        <w:rPr>
          <w:i/>
          <w:iCs/>
        </w:rPr>
        <w:t xml:space="preserve">Social Media + Society</w:t>
      </w:r>
      <w:r>
        <w:t xml:space="preserve">,</w:t>
      </w:r>
      <w:r>
        <w:t xml:space="preserve"> </w:t>
      </w:r>
      <w:r>
        <w:rPr>
          <w:i/>
          <w:iCs/>
        </w:rPr>
        <w:t xml:space="preserve">4</w:t>
      </w:r>
      <w:r>
        <w:t xml:space="preserve">(1), 1–11.</w:t>
      </w:r>
      <w:r>
        <w:t xml:space="preserve"> </w:t>
      </w:r>
      <w:hyperlink r:id="rId35">
        <w:r>
          <w:rPr>
            <w:rStyle w:val="Hyperlink"/>
          </w:rPr>
          <w:t xml:space="preserve">https://doi.org/10.1177/2056305118764439</w:t>
        </w:r>
      </w:hyperlink>
    </w:p>
    <w:p>
      <w:pPr>
        <w:pStyle w:val="BodyText"/>
      </w:pPr>
      <w:r>
        <w:t xml:space="preserve">Dijck, J. van. (2013).</w:t>
      </w:r>
      <w:r>
        <w:t xml:space="preserve"> </w:t>
      </w:r>
      <w:r>
        <w:rPr>
          <w:i/>
          <w:iCs/>
        </w:rPr>
        <w:t xml:space="preserve">The culture of connectivity: A critical history</w:t>
      </w:r>
      <w:r>
        <w:rPr>
          <w:i/>
          <w:iCs/>
        </w:rPr>
        <w:t xml:space="preserve"> </w:t>
      </w:r>
      <w:r>
        <w:rPr>
          <w:i/>
          <w:iCs/>
        </w:rPr>
        <w:t xml:space="preserve">of social media</w:t>
      </w:r>
      <w:r>
        <w:t xml:space="preserve">. Oxford University Press.</w:t>
      </w:r>
      <w:r>
        <w:t xml:space="preserve"> </w:t>
      </w:r>
      <w:hyperlink r:id="rId36">
        <w:r>
          <w:rPr>
            <w:rStyle w:val="Hyperlink"/>
          </w:rPr>
          <w:t xml:space="preserve">https://doi.org/10.1093/acprof:oso/9780199970773.001.0001</w:t>
        </w:r>
      </w:hyperlink>
    </w:p>
    <w:p>
      <w:pPr>
        <w:pStyle w:val="BodyText"/>
      </w:pPr>
      <w:r>
        <w:t xml:space="preserve">Francisco, V. (2015). The internet is magic: Technology, intimacy and</w:t>
      </w:r>
      <w:r>
        <w:t xml:space="preserve"> </w:t>
      </w:r>
      <w:r>
        <w:t xml:space="preserve">transnational families.</w:t>
      </w:r>
      <w:r>
        <w:t xml:space="preserve"> </w:t>
      </w:r>
      <w:r>
        <w:rPr>
          <w:i/>
          <w:iCs/>
        </w:rPr>
        <w:t xml:space="preserve">Critical Sociology</w:t>
      </w:r>
      <w:r>
        <w:t xml:space="preserve">,</w:t>
      </w:r>
      <w:r>
        <w:t xml:space="preserve"> </w:t>
      </w:r>
      <w:r>
        <w:rPr>
          <w:i/>
          <w:iCs/>
        </w:rPr>
        <w:t xml:space="preserve">41</w:t>
      </w:r>
      <w:r>
        <w:t xml:space="preserve">(7-8), 1073–1089.</w:t>
      </w:r>
      <w:r>
        <w:t xml:space="preserve"> </w:t>
      </w:r>
      <w:hyperlink r:id="rId37">
        <w:r>
          <w:rPr>
            <w:rStyle w:val="Hyperlink"/>
          </w:rPr>
          <w:t xml:space="preserve">https://doi.org/10.1177/0896920513484602</w:t>
        </w:r>
      </w:hyperlink>
    </w:p>
    <w:p>
      <w:pPr>
        <w:pStyle w:val="BodyText"/>
      </w:pPr>
      <w:r>
        <w:t xml:space="preserve">García, N. (2021).</w:t>
      </w:r>
      <w:r>
        <w:t xml:space="preserve"> </w:t>
      </w:r>
      <w:r>
        <w:rPr>
          <w:i/>
          <w:iCs/>
        </w:rPr>
        <w:t xml:space="preserve">How social media has changed migration to the united</w:t>
      </w:r>
      <w:r>
        <w:rPr>
          <w:i/>
          <w:iCs/>
        </w:rPr>
        <w:t xml:space="preserve"> </w:t>
      </w:r>
      <w:r>
        <w:rPr>
          <w:i/>
          <w:iCs/>
        </w:rPr>
        <w:t xml:space="preserve">states</w:t>
      </w:r>
      <w:r>
        <w:t xml:space="preserve">.</w:t>
      </w:r>
      <w:r>
        <w:t xml:space="preserve"> </w:t>
      </w:r>
      <w:hyperlink r:id="rId38">
        <w:r>
          <w:rPr>
            <w:rStyle w:val="Hyperlink"/>
          </w:rPr>
          <w:t xml:space="preserve">https://www.npr.org/2021/10/14/1046140249/how-social-media-has-changed-migration-to-the-united-states</w:t>
        </w:r>
      </w:hyperlink>
    </w:p>
    <w:p>
      <w:pPr>
        <w:pStyle w:val="BodyText"/>
      </w:pPr>
      <w:r>
        <w:t xml:space="preserve">Gillespie, M., Osseiran, S., &amp; Cheesman, M. (2018). Syrian refugees and</w:t>
      </w:r>
      <w:r>
        <w:t xml:space="preserve"> </w:t>
      </w:r>
      <w:r>
        <w:t xml:space="preserve">the digital passage to europe: Smartphone infrastructures and</w:t>
      </w:r>
      <w:r>
        <w:t xml:space="preserve"> </w:t>
      </w:r>
      <w:r>
        <w:t xml:space="preserve">affordances.</w:t>
      </w:r>
      <w:r>
        <w:t xml:space="preserve"> </w:t>
      </w:r>
      <w:r>
        <w:rPr>
          <w:i/>
          <w:iCs/>
        </w:rPr>
        <w:t xml:space="preserve">Social Media + Society</w:t>
      </w:r>
      <w:r>
        <w:t xml:space="preserve">,</w:t>
      </w:r>
      <w:r>
        <w:t xml:space="preserve"> </w:t>
      </w:r>
      <w:r>
        <w:rPr>
          <w:i/>
          <w:iCs/>
        </w:rPr>
        <w:t xml:space="preserve">4</w:t>
      </w:r>
      <w:r>
        <w:t xml:space="preserve">(1).</w:t>
      </w:r>
      <w:r>
        <w:t xml:space="preserve"> </w:t>
      </w:r>
      <w:hyperlink r:id="rId39">
        <w:r>
          <w:rPr>
            <w:rStyle w:val="Hyperlink"/>
          </w:rPr>
          <w:t xml:space="preserve">https://doi.org/10.1177/2056305118764440</w:t>
        </w:r>
      </w:hyperlink>
    </w:p>
    <w:p>
      <w:pPr>
        <w:pStyle w:val="BodyText"/>
      </w:pPr>
      <w:r>
        <w:t xml:space="preserve">GlobalWebIndex. (2018).</w:t>
      </w:r>
      <w:r>
        <w:t xml:space="preserve"> </w:t>
      </w:r>
      <w:r>
        <w:rPr>
          <w:i/>
          <w:iCs/>
        </w:rPr>
        <w:t xml:space="preserve">Social: GlobalWebIndex’s flagship report on the</w:t>
      </w:r>
      <w:r>
        <w:rPr>
          <w:i/>
          <w:iCs/>
        </w:rPr>
        <w:t xml:space="preserve"> </w:t>
      </w:r>
      <w:r>
        <w:rPr>
          <w:i/>
          <w:iCs/>
        </w:rPr>
        <w:t xml:space="preserve">latest trends in social media</w:t>
      </w:r>
      <w:r>
        <w:t xml:space="preserve">. GlobalWebIndex.</w:t>
      </w:r>
      <w:r>
        <w:t xml:space="preserve"> </w:t>
      </w:r>
      <w:hyperlink r:id="rId40">
        <w:r>
          <w:rPr>
            <w:rStyle w:val="Hyperlink"/>
          </w:rPr>
          <w:t xml:space="preserve">https://www.globalwebindex.com/reports/social</w:t>
        </w:r>
      </w:hyperlink>
    </w:p>
    <w:p>
      <w:pPr>
        <w:pStyle w:val="BodyText"/>
      </w:pPr>
      <w:r>
        <w:t xml:space="preserve">Granovetter, M. S. (1973). The strength of weak ties.</w:t>
      </w:r>
      <w:r>
        <w:t xml:space="preserve"> </w:t>
      </w:r>
      <w:r>
        <w:rPr>
          <w:i/>
          <w:iCs/>
        </w:rPr>
        <w:t xml:space="preserve">American Journal</w:t>
      </w:r>
      <w:r>
        <w:rPr>
          <w:i/>
          <w:iCs/>
        </w:rPr>
        <w:t xml:space="preserve"> </w:t>
      </w:r>
      <w:r>
        <w:rPr>
          <w:i/>
          <w:iCs/>
        </w:rPr>
        <w:t xml:space="preserve">of Sociology</w:t>
      </w:r>
      <w:r>
        <w:t xml:space="preserve">,</w:t>
      </w:r>
      <w:r>
        <w:t xml:space="preserve"> </w:t>
      </w:r>
      <w:r>
        <w:rPr>
          <w:i/>
          <w:iCs/>
        </w:rPr>
        <w:t xml:space="preserve">78</w:t>
      </w:r>
      <w:r>
        <w:t xml:space="preserve">(6), 1360–1380.</w:t>
      </w:r>
      <w:r>
        <w:t xml:space="preserve"> </w:t>
      </w:r>
      <w:hyperlink r:id="rId41">
        <w:r>
          <w:rPr>
            <w:rStyle w:val="Hyperlink"/>
          </w:rPr>
          <w:t xml:space="preserve">https://doi.org/10.1086/225469</w:t>
        </w:r>
      </w:hyperlink>
    </w:p>
    <w:p>
      <w:pPr>
        <w:pStyle w:val="BodyText"/>
      </w:pPr>
      <w:r>
        <w:t xml:space="preserve">Haythornthwaite, C. (2002). Strong, weak, and latent ties and the impact</w:t>
      </w:r>
      <w:r>
        <w:t xml:space="preserve"> </w:t>
      </w:r>
      <w:r>
        <w:t xml:space="preserve">of new media.</w:t>
      </w:r>
      <w:r>
        <w:t xml:space="preserve"> </w:t>
      </w:r>
      <w:r>
        <w:rPr>
          <w:i/>
          <w:iCs/>
        </w:rPr>
        <w:t xml:space="preserve">The Information Society</w:t>
      </w:r>
      <w:r>
        <w:t xml:space="preserve">,</w:t>
      </w:r>
      <w:r>
        <w:t xml:space="preserve"> </w:t>
      </w:r>
      <w:r>
        <w:rPr>
          <w:i/>
          <w:iCs/>
        </w:rPr>
        <w:t xml:space="preserve">18</w:t>
      </w:r>
      <w:r>
        <w:t xml:space="preserve">(5), 385–401.</w:t>
      </w:r>
      <w:r>
        <w:t xml:space="preserve"> </w:t>
      </w:r>
      <w:hyperlink r:id="rId42">
        <w:r>
          <w:rPr>
            <w:rStyle w:val="Hyperlink"/>
          </w:rPr>
          <w:t xml:space="preserve">https://doi.org/10.1080/01972240290108195</w:t>
        </w:r>
      </w:hyperlink>
    </w:p>
    <w:p>
      <w:pPr>
        <w:pStyle w:val="BodyText"/>
      </w:pPr>
      <w:r>
        <w:t xml:space="preserve">Instagram. (2024).</w:t>
      </w:r>
      <w:r>
        <w:t xml:space="preserve"> </w:t>
      </w:r>
      <w:r>
        <w:rPr>
          <w:i/>
          <w:iCs/>
        </w:rPr>
        <w:t xml:space="preserve">About instagram</w:t>
      </w:r>
      <w:r>
        <w:t xml:space="preserve">.</w:t>
      </w:r>
      <w:r>
        <w:t xml:space="preserve"> </w:t>
      </w:r>
      <w:hyperlink r:id="rId43">
        <w:r>
          <w:rPr>
            <w:rStyle w:val="Hyperlink"/>
          </w:rPr>
          <w:t xml:space="preserve">https://about.instagram.com</w:t>
        </w:r>
      </w:hyperlink>
    </w:p>
    <w:p>
      <w:pPr>
        <w:pStyle w:val="BodyText"/>
      </w:pPr>
      <w:r>
        <w:t xml:space="preserve">Instituto Nacional de Estadísticas. (2024).</w:t>
      </w:r>
      <w:r>
        <w:t xml:space="preserve"> </w:t>
      </w:r>
      <w:r>
        <w:rPr>
          <w:i/>
          <w:iCs/>
        </w:rPr>
        <w:t xml:space="preserve">Censo 2024: Estimación de</w:t>
      </w:r>
      <w:r>
        <w:rPr>
          <w:i/>
          <w:iCs/>
        </w:rPr>
        <w:t xml:space="preserve"> </w:t>
      </w:r>
      <w:r>
        <w:rPr>
          <w:i/>
          <w:iCs/>
        </w:rPr>
        <w:t xml:space="preserve">población extranjera residente en chile</w:t>
      </w:r>
      <w:r>
        <w:t xml:space="preserve">. Instituto Nacional de</w:t>
      </w:r>
      <w:r>
        <w:t xml:space="preserve"> </w:t>
      </w:r>
      <w:r>
        <w:t xml:space="preserve">Estadísticas de Chile.</w:t>
      </w:r>
      <w:r>
        <w:t xml:space="preserve"> </w:t>
      </w:r>
      <w:hyperlink r:id="rId44">
        <w:r>
          <w:rPr>
            <w:rStyle w:val="Hyperlink"/>
          </w:rPr>
          <w:t xml:space="preserve">https://www.ine.gob.cl/estadisticas/sociales/demografia-y-vitales/demografia-y-migracion</w:t>
        </w:r>
      </w:hyperlink>
    </w:p>
    <w:p>
      <w:pPr>
        <w:pStyle w:val="BodyText"/>
      </w:pPr>
      <w:r>
        <w:t xml:space="preserve">Katz, V. S., &amp; González, C. (2016). Toward meaningful connectivity:</w:t>
      </w:r>
      <w:r>
        <w:t xml:space="preserve"> </w:t>
      </w:r>
      <w:r>
        <w:t xml:space="preserve">Using multilevel communication research to reframe digital inequality.</w:t>
      </w:r>
      <w:r>
        <w:t xml:space="preserve"> </w:t>
      </w:r>
      <w:r>
        <w:rPr>
          <w:i/>
          <w:iCs/>
        </w:rPr>
        <w:t xml:space="preserve">Journal of Communication</w:t>
      </w:r>
      <w:r>
        <w:t xml:space="preserve">,</w:t>
      </w:r>
      <w:r>
        <w:t xml:space="preserve"> </w:t>
      </w:r>
      <w:r>
        <w:rPr>
          <w:i/>
          <w:iCs/>
        </w:rPr>
        <w:t xml:space="preserve">66</w:t>
      </w:r>
      <w:r>
        <w:t xml:space="preserve">(2), 236–249.</w:t>
      </w:r>
      <w:r>
        <w:t xml:space="preserve"> </w:t>
      </w:r>
      <w:hyperlink r:id="rId45">
        <w:r>
          <w:rPr>
            <w:rStyle w:val="Hyperlink"/>
          </w:rPr>
          <w:t xml:space="preserve">https://doi.org/10.1111/jcom.12214</w:t>
        </w:r>
      </w:hyperlink>
    </w:p>
    <w:p>
      <w:pPr>
        <w:pStyle w:val="BodyText"/>
      </w:pPr>
      <w:r>
        <w:t xml:space="preserve">Leurs, K. (2017). Communication rights from the margins: Politicising</w:t>
      </w:r>
      <w:r>
        <w:t xml:space="preserve"> </w:t>
      </w:r>
      <w:r>
        <w:t xml:space="preserve">young refugees’ smartphone pocket archives.</w:t>
      </w:r>
      <w:r>
        <w:t xml:space="preserve"> </w:t>
      </w:r>
      <w:r>
        <w:rPr>
          <w:i/>
          <w:iCs/>
        </w:rPr>
        <w:t xml:space="preserve">International Communication</w:t>
      </w:r>
      <w:r>
        <w:rPr>
          <w:i/>
          <w:iCs/>
        </w:rPr>
        <w:t xml:space="preserve"> </w:t>
      </w:r>
      <w:r>
        <w:rPr>
          <w:i/>
          <w:iCs/>
        </w:rPr>
        <w:t xml:space="preserve">Gazette</w:t>
      </w:r>
      <w:r>
        <w:t xml:space="preserve">,</w:t>
      </w:r>
      <w:r>
        <w:t xml:space="preserve"> </w:t>
      </w:r>
      <w:r>
        <w:rPr>
          <w:i/>
          <w:iCs/>
        </w:rPr>
        <w:t xml:space="preserve">79</w:t>
      </w:r>
      <w:r>
        <w:t xml:space="preserve">(6-7), 674–698.</w:t>
      </w:r>
      <w:r>
        <w:t xml:space="preserve"> </w:t>
      </w:r>
      <w:hyperlink r:id="rId46">
        <w:r>
          <w:rPr>
            <w:rStyle w:val="Hyperlink"/>
          </w:rPr>
          <w:t xml:space="preserve">https://doi.org/10.1177/1748048517727182</w:t>
        </w:r>
      </w:hyperlink>
    </w:p>
    <w:p>
      <w:pPr>
        <w:pStyle w:val="BodyText"/>
      </w:pPr>
      <w:r>
        <w:t xml:space="preserve">Leurs, K., &amp; Smets, K. (2018). Five questions for digital migration</w:t>
      </w:r>
      <w:r>
        <w:t xml:space="preserve"> </w:t>
      </w:r>
      <w:r>
        <w:t xml:space="preserve">studies: Learning from digital connectivity and forced migration in(to)</w:t>
      </w:r>
      <w:r>
        <w:t xml:space="preserve"> </w:t>
      </w:r>
      <w:r>
        <w:t xml:space="preserve">europe.</w:t>
      </w:r>
      <w:r>
        <w:t xml:space="preserve"> </w:t>
      </w:r>
      <w:r>
        <w:rPr>
          <w:i/>
          <w:iCs/>
        </w:rPr>
        <w:t xml:space="preserve">Social Media + Society</w:t>
      </w:r>
      <w:r>
        <w:t xml:space="preserve">,</w:t>
      </w:r>
      <w:r>
        <w:t xml:space="preserve"> </w:t>
      </w:r>
      <w:r>
        <w:rPr>
          <w:i/>
          <w:iCs/>
        </w:rPr>
        <w:t xml:space="preserve">4</w:t>
      </w:r>
      <w:r>
        <w:t xml:space="preserve">(1).</w:t>
      </w:r>
      <w:r>
        <w:t xml:space="preserve"> </w:t>
      </w:r>
      <w:hyperlink r:id="rId47">
        <w:r>
          <w:rPr>
            <w:rStyle w:val="Hyperlink"/>
          </w:rPr>
          <w:t xml:space="preserve">https://doi.org/10.1177/2056305118764425</w:t>
        </w:r>
      </w:hyperlink>
    </w:p>
    <w:p>
      <w:pPr>
        <w:pStyle w:val="BodyText"/>
      </w:pPr>
      <w:r>
        <w:t xml:space="preserve">Meta Platforms. (2021).</w:t>
      </w:r>
      <w:r>
        <w:t xml:space="preserve"> </w:t>
      </w:r>
      <w:r>
        <w:rPr>
          <w:i/>
          <w:iCs/>
        </w:rPr>
        <w:t xml:space="preserve">Our principles</w:t>
      </w:r>
      <w:r>
        <w:t xml:space="preserve">.</w:t>
      </w:r>
      <w:r>
        <w:t xml:space="preserve"> </w:t>
      </w:r>
      <w:hyperlink r:id="rId48">
        <w:r>
          <w:rPr>
            <w:rStyle w:val="Hyperlink"/>
          </w:rPr>
          <w:t xml:space="preserve">https://about.meta.com/company-info/</w:t>
        </w:r>
      </w:hyperlink>
    </w:p>
    <w:p>
      <w:pPr>
        <w:pStyle w:val="BodyText"/>
      </w:pPr>
      <w:r>
        <w:t xml:space="preserve">Organización Internacional para las Migraciones. (2024).</w:t>
      </w:r>
      <w:r>
        <w:t xml:space="preserve"> </w:t>
      </w:r>
      <w:r>
        <w:rPr>
          <w:i/>
          <w:iCs/>
        </w:rPr>
        <w:t xml:space="preserve">World</w:t>
      </w:r>
      <w:r>
        <w:rPr>
          <w:i/>
          <w:iCs/>
        </w:rPr>
        <w:t xml:space="preserve"> </w:t>
      </w:r>
      <w:r>
        <w:rPr>
          <w:i/>
          <w:iCs/>
        </w:rPr>
        <w:t xml:space="preserve">migration report 2024</w:t>
      </w:r>
      <w:r>
        <w:t xml:space="preserve">. OIM.</w:t>
      </w:r>
      <w:r>
        <w:t xml:space="preserve"> </w:t>
      </w:r>
      <w:hyperlink r:id="rId49">
        <w:r>
          <w:rPr>
            <w:rStyle w:val="Hyperlink"/>
          </w:rPr>
          <w:t xml:space="preserve">https://worldmigrationreport.iom.int/what-we-do/world-migration-report-2024-chapter-1/world-migration-report-2024</w:t>
        </w:r>
      </w:hyperlink>
    </w:p>
    <w:p>
      <w:pPr>
        <w:pStyle w:val="BodyText"/>
      </w:pPr>
      <w:r>
        <w:t xml:space="preserve">Page, M. J., McKenzie, J. E., Bossuyt, P. M., Boutron, I., Hoffmann, T.</w:t>
      </w:r>
      <w:r>
        <w:t xml:space="preserve"> </w:t>
      </w:r>
      <w:r>
        <w:t xml:space="preserve">C., Mulrow, C. D., et al.</w:t>
      </w:r>
      <w:r>
        <w:t xml:space="preserve"> </w:t>
      </w:r>
      <w:r>
        <w:t xml:space="preserve">(2021). The PRISMA 2020 statement:</w:t>
      </w:r>
      <w:r>
        <w:t xml:space="preserve"> </w:t>
      </w:r>
      <w:r>
        <w:t xml:space="preserve">An updated guideline for reporting systematic reviews.</w:t>
      </w:r>
      <w:r>
        <w:t xml:space="preserve"> </w:t>
      </w:r>
      <w:r>
        <w:rPr>
          <w:i/>
          <w:iCs/>
        </w:rPr>
        <w:t xml:space="preserve">BMJ</w:t>
      </w:r>
      <w:r>
        <w:t xml:space="preserve">,</w:t>
      </w:r>
      <w:r>
        <w:t xml:space="preserve"> </w:t>
      </w:r>
      <w:r>
        <w:rPr>
          <w:i/>
          <w:iCs/>
        </w:rPr>
        <w:t xml:space="preserve">372</w:t>
      </w:r>
      <w:r>
        <w:t xml:space="preserve">.</w:t>
      </w:r>
      <w:r>
        <w:t xml:space="preserve"> </w:t>
      </w:r>
      <w:hyperlink r:id="rId50">
        <w:r>
          <w:rPr>
            <w:rStyle w:val="Hyperlink"/>
          </w:rPr>
          <w:t xml:space="preserve">https://doi.org/10.1136/bmj.n71</w:t>
        </w:r>
      </w:hyperlink>
    </w:p>
    <w:p>
      <w:pPr>
        <w:pStyle w:val="BodyText"/>
      </w:pPr>
      <w:r>
        <w:t xml:space="preserve">Pavez Andonaegui, I., Claro Montes, C., &amp; Burgos Suárez, J. A. (2020).</w:t>
      </w:r>
      <w:r>
        <w:t xml:space="preserve"> </w:t>
      </w:r>
      <w:r>
        <w:t xml:space="preserve">El uso de redes sociales en migrantes colombianos en chile.</w:t>
      </w:r>
      <w:r>
        <w:t xml:space="preserve"> </w:t>
      </w:r>
      <w:r>
        <w:rPr>
          <w:i/>
          <w:iCs/>
        </w:rPr>
        <w:t xml:space="preserve">Signo y</w:t>
      </w:r>
      <w:r>
        <w:rPr>
          <w:i/>
          <w:iCs/>
        </w:rPr>
        <w:t xml:space="preserve"> </w:t>
      </w:r>
      <w:r>
        <w:rPr>
          <w:i/>
          <w:iCs/>
        </w:rPr>
        <w:t xml:space="preserve">Pensamiento</w:t>
      </w:r>
      <w:r>
        <w:t xml:space="preserve">,</w:t>
      </w:r>
      <w:r>
        <w:t xml:space="preserve"> </w:t>
      </w:r>
      <w:r>
        <w:rPr>
          <w:i/>
          <w:iCs/>
        </w:rPr>
        <w:t xml:space="preserve">39</w:t>
      </w:r>
      <w:r>
        <w:t xml:space="preserve">(76).</w:t>
      </w:r>
      <w:r>
        <w:t xml:space="preserve"> </w:t>
      </w:r>
      <w:hyperlink r:id="rId51">
        <w:r>
          <w:rPr>
            <w:rStyle w:val="Hyperlink"/>
          </w:rPr>
          <w:t xml:space="preserve">https://doi.org/10.11144/Javeriana.syp39-76.ursm</w:t>
        </w:r>
      </w:hyperlink>
    </w:p>
    <w:p>
      <w:pPr>
        <w:pStyle w:val="BodyText"/>
      </w:pPr>
      <w:r>
        <w:t xml:space="preserve">Putnam, R. D. (2000).</w:t>
      </w:r>
      <w:r>
        <w:t xml:space="preserve"> </w:t>
      </w:r>
      <w:r>
        <w:rPr>
          <w:i/>
          <w:iCs/>
        </w:rPr>
        <w:t xml:space="preserve">Bowling alone: The collapse and revival of</w:t>
      </w:r>
      <w:r>
        <w:rPr>
          <w:i/>
          <w:iCs/>
        </w:rPr>
        <w:t xml:space="preserve"> </w:t>
      </w:r>
      <w:r>
        <w:rPr>
          <w:i/>
          <w:iCs/>
        </w:rPr>
        <w:t xml:space="preserve">american community</w:t>
      </w:r>
      <w:r>
        <w:t xml:space="preserve">. Simon &amp; Schuster.</w:t>
      </w:r>
      <w:r>
        <w:t xml:space="preserve"> </w:t>
      </w:r>
      <w:hyperlink r:id="rId52">
        <w:r>
          <w:rPr>
            <w:rStyle w:val="Hyperlink"/>
          </w:rPr>
          <w:t xml:space="preserve">https://doi.org/10.1145/358916.361990</w:t>
        </w:r>
      </w:hyperlink>
    </w:p>
    <w:p>
      <w:pPr>
        <w:pStyle w:val="BodyText"/>
      </w:pPr>
      <w:r>
        <w:t xml:space="preserve">Silverstone, R., &amp; Haddon, L. (1996).</w:t>
      </w:r>
      <w:r>
        <w:t xml:space="preserve"> </w:t>
      </w:r>
      <w:r>
        <w:rPr>
          <w:i/>
          <w:iCs/>
        </w:rPr>
        <w:t xml:space="preserve">Design and the domestication of</w:t>
      </w:r>
      <w:r>
        <w:rPr>
          <w:i/>
          <w:iCs/>
        </w:rPr>
        <w:t xml:space="preserve"> </w:t>
      </w:r>
      <w:r>
        <w:rPr>
          <w:i/>
          <w:iCs/>
        </w:rPr>
        <w:t xml:space="preserve">information and communication technologies: Technical change and</w:t>
      </w:r>
      <w:r>
        <w:rPr>
          <w:i/>
          <w:iCs/>
        </w:rPr>
        <w:t xml:space="preserve"> </w:t>
      </w:r>
      <w:r>
        <w:rPr>
          <w:i/>
          <w:iCs/>
        </w:rPr>
        <w:t xml:space="preserve">everyday life</w:t>
      </w:r>
      <w:r>
        <w:t xml:space="preserve">. Oxford University Press.</w:t>
      </w:r>
      <w:r>
        <w:t xml:space="preserve"> </w:t>
      </w:r>
      <w:hyperlink r:id="rId53">
        <w:r>
          <w:rPr>
            <w:rStyle w:val="Hyperlink"/>
          </w:rPr>
          <w:t xml:space="preserve">https://doi.org/10.1093/oso/9780198289418.003.0003</w:t>
        </w:r>
      </w:hyperlink>
    </w:p>
    <w:p>
      <w:pPr>
        <w:pStyle w:val="BodyText"/>
      </w:pPr>
      <w:r>
        <w:t xml:space="preserve">TikTok. (2024).</w:t>
      </w:r>
      <w:r>
        <w:t xml:space="preserve"> </w:t>
      </w:r>
      <w:r>
        <w:rPr>
          <w:i/>
          <w:iCs/>
        </w:rPr>
        <w:t xml:space="preserve">Acerca de TikTok</w:t>
      </w:r>
      <w:r>
        <w:t xml:space="preserve">.</w:t>
      </w:r>
      <w:r>
        <w:t xml:space="preserve"> </w:t>
      </w:r>
      <w:hyperlink r:id="rId54">
        <w:r>
          <w:rPr>
            <w:rStyle w:val="Hyperlink"/>
          </w:rPr>
          <w:t xml:space="preserve">https://www.tiktok.com/about?lang=es</w:t>
        </w:r>
      </w:hyperlink>
    </w:p>
    <w:p>
      <w:pPr>
        <w:pStyle w:val="BodyText"/>
      </w:pPr>
      <w:r>
        <w:t xml:space="preserve">Vermot, C. (2015). Guilt: A gendered bond within the transnational</w:t>
      </w:r>
      <w:r>
        <w:t xml:space="preserve"> </w:t>
      </w:r>
      <w:r>
        <w:t xml:space="preserve">family.</w:t>
      </w:r>
      <w:r>
        <w:t xml:space="preserve"> </w:t>
      </w:r>
      <w:r>
        <w:rPr>
          <w:i/>
          <w:iCs/>
        </w:rPr>
        <w:t xml:space="preserve">Emotion, Space and Society</w:t>
      </w:r>
      <w:r>
        <w:t xml:space="preserve">,</w:t>
      </w:r>
      <w:r>
        <w:t xml:space="preserve"> </w:t>
      </w:r>
      <w:r>
        <w:rPr>
          <w:i/>
          <w:iCs/>
        </w:rPr>
        <w:t xml:space="preserve">16</w:t>
      </w:r>
      <w:r>
        <w:t xml:space="preserve">, 138–146.</w:t>
      </w:r>
      <w:r>
        <w:t xml:space="preserve"> </w:t>
      </w:r>
      <w:hyperlink r:id="rId55">
        <w:r>
          <w:rPr>
            <w:rStyle w:val="Hyperlink"/>
          </w:rPr>
          <w:t xml:space="preserve">https://doi.org/10.1016/j.emospa.2015.04.001</w:t>
        </w:r>
      </w:hyperlink>
    </w:p>
    <w:p>
      <w:pPr>
        <w:pStyle w:val="BodyText"/>
      </w:pPr>
      <w:r>
        <w:t xml:space="preserve">WhatsApp. (2024).</w:t>
      </w:r>
      <w:r>
        <w:t xml:space="preserve"> </w:t>
      </w:r>
      <w:r>
        <w:rPr>
          <w:i/>
          <w:iCs/>
        </w:rPr>
        <w:t xml:space="preserve">Acerca de WhatsApp</w:t>
      </w:r>
      <w:r>
        <w:t xml:space="preserve">.</w:t>
      </w:r>
      <w:r>
        <w:t xml:space="preserve"> </w:t>
      </w:r>
      <w:hyperlink r:id="rId56">
        <w:r>
          <w:rPr>
            <w:rStyle w:val="Hyperlink"/>
          </w:rPr>
          <w:t xml:space="preserve">https://www.whatsapp.com/about</w:t>
        </w:r>
      </w:hyperlink>
    </w:p>
    <w:p>
      <w:pPr>
        <w:pStyle w:val="BodyText"/>
      </w:pPr>
      <w:r>
        <w:t xml:space="preserve">Zhao, X. (2023).</w:t>
      </w:r>
      <w:r>
        <w:t xml:space="preserve"> </w:t>
      </w:r>
      <w:r>
        <w:rPr>
          <w:i/>
          <w:iCs/>
        </w:rPr>
        <w:t xml:space="preserve">Social media in the lives of young connected migrants:</w:t>
      </w:r>
      <w:r>
        <w:rPr>
          <w:i/>
          <w:iCs/>
        </w:rPr>
        <w:t xml:space="preserve"> </w:t>
      </w:r>
      <w:r>
        <w:rPr>
          <w:i/>
          <w:iCs/>
        </w:rPr>
        <w:t xml:space="preserve">Making and unmaking boundaries</w:t>
      </w:r>
      <w:r>
        <w:t xml:space="preserve">. Routledge.</w:t>
      </w:r>
      <w:r>
        <w:t xml:space="preserve"> </w:t>
      </w:r>
      <w:hyperlink r:id="rId57">
        <w:r>
          <w:rPr>
            <w:rStyle w:val="Hyperlink"/>
          </w:rPr>
          <w:t xml:space="preserve">https://doi.org/10.4324/9781003193555</w:t>
        </w:r>
      </w:hyperlink>
    </w:p>
    <w:p>
      <w:pPr>
        <w:pStyle w:val="BodyText"/>
      </w:pPr>
      <w:r>
        <w:t xml:space="preserve">Zuckerberg, M. (2006).</w:t>
      </w:r>
      <w:r>
        <w:t xml:space="preserve"> </w:t>
      </w:r>
      <w:r>
        <w:rPr>
          <w:i/>
          <w:iCs/>
        </w:rPr>
        <w:t xml:space="preserve">Facebook notes</w:t>
      </w:r>
      <w:r>
        <w:t xml:space="preserve">.</w:t>
      </w:r>
      <w:r>
        <w:t xml:space="preserve"> </w:t>
      </w:r>
      <w:hyperlink r:id="rId58">
        <w:r>
          <w:rPr>
            <w:rStyle w:val="Hyperlink"/>
          </w:rPr>
          <w:t xml:space="preserve">https://web.facebook.com/notes/256480419099100/</w:t>
        </w:r>
      </w:hyperlink>
    </w:p>
    <w:p>
      <w:pPr>
        <w:pStyle w:val="BodyText"/>
      </w:pPr>
      <w:r>
        <w:t xml:space="preserve">Zuckerberg, M. (2017).</w:t>
      </w:r>
      <w:r>
        <w:t xml:space="preserve"> </w:t>
      </w:r>
      <w:r>
        <w:rPr>
          <w:i/>
          <w:iCs/>
        </w:rPr>
        <w:t xml:space="preserve">Building global community</w:t>
      </w:r>
      <w:r>
        <w:t xml:space="preserve">.</w:t>
      </w:r>
      <w:r>
        <w:t xml:space="preserve"> </w:t>
      </w:r>
      <w:hyperlink r:id="rId59">
        <w:r>
          <w:rPr>
            <w:rStyle w:val="Hyperlink"/>
          </w:rPr>
          <w:t xml:space="preserve">https://web.facebook.com/notes/3707971095882612/</w:t>
        </w:r>
      </w:hyperlink>
    </w:p>
    <w:p>
      <w:r>
        <w:pict>
          <v:rect style="width:0;height:1.5pt" o:hralign="center" o:hrstd="t" o:hr="t"/>
        </w:pict>
      </w:r>
    </w:p>
    <w:bookmarkEnd w:id="60"/>
    <w:bookmarkStart w:id="61" w:name="X3c2a96cb0d60a5aa156faf7b74d8fd1d5e4f53e"/>
    <w:p>
      <w:pPr>
        <w:pStyle w:val="Heading1"/>
      </w:pPr>
      <w:r>
        <w:t xml:space="preserve">Notas al autor sobre correcciones manuales</w:t>
      </w:r>
    </w:p>
    <w:p>
      <w:pPr>
        <w:pStyle w:val="Compact"/>
        <w:numPr>
          <w:ilvl w:val="0"/>
          <w:numId w:val="1001"/>
        </w:numPr>
      </w:pPr>
      <w:r>
        <w:rPr>
          <w:b/>
          <w:bCs/>
        </w:rPr>
        <w:t xml:space="preserve">Reemplazo de Fuentes:</w:t>
      </w:r>
      <w:r>
        <w:t xml:space="preserve"> </w:t>
      </w:r>
      <w:r>
        <w:t xml:space="preserve">La referencia a</w:t>
      </w:r>
      <w:r>
        <w:t xml:space="preserve"> </w:t>
      </w:r>
      <w:r>
        <w:rPr>
          <w:i/>
          <w:iCs/>
        </w:rPr>
        <w:t xml:space="preserve">Torres y Aguilar (2018)</w:t>
      </w:r>
      <w:r>
        <w:t xml:space="preserve"> </w:t>
      </w:r>
      <w:r>
        <w:t xml:space="preserve">no pudo ser verificada en bases de datos académicas (posible error en el borrador original). Se reemplazó por</w:t>
      </w:r>
      <w:r>
        <w:t xml:space="preserve"> </w:t>
      </w:r>
      <w:r>
        <w:rPr>
          <w:b/>
          <w:bCs/>
        </w:rPr>
        <w:t xml:space="preserve">GlobalWebIndex (2018)</w:t>
      </w:r>
      <w:r>
        <w:t xml:space="preserve">, que provee la evidencia estadística original sobre el uso de redes sociales en América Latina.</w:t>
      </w:r>
    </w:p>
    <w:p>
      <w:pPr>
        <w:pStyle w:val="Compact"/>
        <w:numPr>
          <w:ilvl w:val="0"/>
          <w:numId w:val="1001"/>
        </w:numPr>
      </w:pPr>
      <w:r>
        <w:rPr>
          <w:b/>
          <w:bCs/>
        </w:rPr>
        <w:t xml:space="preserve">Identificación de Testimonios:</w:t>
      </w:r>
      <w:r>
        <w:t xml:space="preserve"> </w:t>
      </w:r>
      <w:r>
        <w:t xml:space="preserve">Los testimonios de</w:t>
      </w:r>
      <w:r>
        <w:t xml:space="preserve"> </w:t>
      </w:r>
      <w:r>
        <w:t xml:space="preserve">‘Cecilia’</w:t>
      </w:r>
      <w:r>
        <w:t xml:space="preserve"> </w:t>
      </w:r>
      <w:r>
        <w:t xml:space="preserve">y</w:t>
      </w:r>
      <w:r>
        <w:t xml:space="preserve"> </w:t>
      </w:r>
      <w:r>
        <w:t xml:space="preserve">‘José’</w:t>
      </w:r>
      <w:r>
        <w:t xml:space="preserve"> </w:t>
      </w:r>
      <w:r>
        <w:t xml:space="preserve">(anteriormente atribuidos a una publicación sin fecha) fueron identificados como pertenecientes al estudio de</w:t>
      </w:r>
      <w:r>
        <w:t xml:space="preserve"> </w:t>
      </w:r>
      <w:r>
        <w:rPr>
          <w:b/>
          <w:bCs/>
        </w:rPr>
        <w:t xml:space="preserve">Pavez, Claro y Burgos (2020)</w:t>
      </w:r>
      <w:r>
        <w:t xml:space="preserve"> </w:t>
      </w:r>
      <w:r>
        <w:t xml:space="preserve">publicado en la revista</w:t>
      </w:r>
      <w:r>
        <w:t xml:space="preserve"> </w:t>
      </w:r>
      <w:r>
        <w:rPr>
          <w:i/>
          <w:iCs/>
        </w:rPr>
        <w:t xml:space="preserve">Signo y Pensamiento</w:t>
      </w:r>
      <w:r>
        <w:t xml:space="preserve">.</w:t>
      </w:r>
    </w:p>
    <w:p>
      <w:pPr>
        <w:pStyle w:val="Compact"/>
        <w:numPr>
          <w:ilvl w:val="0"/>
          <w:numId w:val="1001"/>
        </w:numPr>
      </w:pPr>
      <w:r>
        <w:rPr>
          <w:b/>
          <w:bCs/>
        </w:rPr>
        <w:t xml:space="preserve">Sustitución de NPR:</w:t>
      </w:r>
      <w:r>
        <w:t xml:space="preserve"> </w:t>
      </w:r>
      <w:r>
        <w:t xml:space="preserve">Las menciones a NPR se mantuvieron como ilustraciones complementarias, priorizando fuentes académicas peer-reviewed como</w:t>
      </w:r>
      <w:r>
        <w:t xml:space="preserve"> </w:t>
      </w:r>
      <w:r>
        <w:rPr>
          <w:b/>
          <w:bCs/>
        </w:rPr>
        <w:t xml:space="preserve">Gillespie et al. (2018)</w:t>
      </w:r>
      <w:r>
        <w:t xml:space="preserve">,</w:t>
      </w:r>
      <w:r>
        <w:t xml:space="preserve"> </w:t>
      </w:r>
      <w:r>
        <w:rPr>
          <w:b/>
          <w:bCs/>
        </w:rPr>
        <w:t xml:space="preserve">Alencar (2018)</w:t>
      </w:r>
      <w:r>
        <w:t xml:space="preserve"> </w:t>
      </w:r>
      <w:r>
        <w:t xml:space="preserve">y</w:t>
      </w:r>
      <w:r>
        <w:t xml:space="preserve"> </w:t>
      </w:r>
      <w:r>
        <w:rPr>
          <w:b/>
          <w:bCs/>
        </w:rPr>
        <w:t xml:space="preserve">Leurs (2017)</w:t>
      </w:r>
      <w:r>
        <w:t xml:space="preserve"> </w:t>
      </w:r>
      <w:r>
        <w:t xml:space="preserve">para los argumentos centrales sobre Facebook y YouTube.</w:t>
      </w:r>
    </w:p>
    <w:p>
      <w:pPr>
        <w:pStyle w:val="Compact"/>
        <w:numPr>
          <w:ilvl w:val="0"/>
          <w:numId w:val="1001"/>
        </w:numPr>
      </w:pPr>
      <w:r>
        <w:rPr>
          <w:b/>
          <w:bCs/>
        </w:rPr>
        <w:t xml:space="preserve">Consistencia de Fechas:</w:t>
      </w:r>
      <w:r>
        <w:t xml:space="preserve"> </w:t>
      </w:r>
      <w:r>
        <w:t xml:space="preserve">Las referencias a misiones institucionales (WhatsApp, TikTok, Instagram) se estandarizaron al año</w:t>
      </w:r>
      <w:r>
        <w:t xml:space="preserve"> </w:t>
      </w:r>
      <w:r>
        <w:rPr>
          <w:b/>
          <w:bCs/>
        </w:rPr>
        <w:t xml:space="preserve">2024</w:t>
      </w:r>
      <w:r>
        <w:t xml:space="preserve"> </w:t>
      </w:r>
      <w:r>
        <w:t xml:space="preserve">para coincidir con la recuperación de datos realizada durante esta revisión.</w:t>
      </w:r>
    </w:p>
    <w:p>
      <w:pPr>
        <w:pStyle w:val="Compact"/>
        <w:numPr>
          <w:ilvl w:val="0"/>
          <w:numId w:val="1001"/>
        </w:numPr>
      </w:pPr>
      <w:r>
        <w:rPr>
          <w:b/>
          <w:bCs/>
        </w:rPr>
        <w:t xml:space="preserve">Lenguaje Epistemológico:</w:t>
      </w:r>
      <w:r>
        <w:t xml:space="preserve"> </w:t>
      </w:r>
      <w:r>
        <w:t xml:space="preserve">Se suavizó el tono confirmatorio (</w:t>
      </w:r>
      <w:r>
        <w:t xml:space="preserve">‘demuestra’</w:t>
      </w:r>
      <w:r>
        <w:t xml:space="preserve">,</w:t>
      </w:r>
      <w:r>
        <w:t xml:space="preserve"> </w:t>
      </w:r>
      <w:r>
        <w:t xml:space="preserve">‘prueba’</w:t>
      </w:r>
      <w:r>
        <w:t xml:space="preserve">) por uno más exploratorio (</w:t>
      </w:r>
      <w:r>
        <w:t xml:space="preserve">‘sugiere’</w:t>
      </w:r>
      <w:r>
        <w:t xml:space="preserve">,</w:t>
      </w:r>
      <w:r>
        <w:t xml:space="preserve"> </w:t>
      </w:r>
      <w:r>
        <w:t xml:space="preserve">‘es consistente con’</w:t>
      </w:r>
      <w:r>
        <w:t xml:space="preserve">) acorde a los estándares de revisiones sistemáticas en ciencias sociales.</w:t>
      </w:r>
    </w:p>
    <w:p>
      <w:pPr>
        <w:pStyle w:val="Compact"/>
        <w:numPr>
          <w:ilvl w:val="0"/>
          <w:numId w:val="1001"/>
        </w:numPr>
      </w:pPr>
      <w:r>
        <w:rPr>
          <w:b/>
          <w:bCs/>
        </w:rPr>
        <w:t xml:space="preserve">Diagrama PRISMA:</w:t>
      </w:r>
      <w:r>
        <w:t xml:space="preserve"> </w:t>
      </w:r>
      <w:r>
        <w:t xml:space="preserve">Debido a limitaciones del formato Word para renderizar diagramas Mermaid dinámicos, la Figura 1 se incluyó como una tabla estructurada.</w:t>
      </w:r>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3" Target="https://about.instagram.com" TargetMode="External" /><Relationship Type="http://schemas.openxmlformats.org/officeDocument/2006/relationships/hyperlink" Id="rId48" Target="https://about.meta.com/company-info/" TargetMode="External" /><Relationship Type="http://schemas.openxmlformats.org/officeDocument/2006/relationships/hyperlink" Id="rId33" Target="https://doi.org/10.1002/9780470755679.ch15" TargetMode="External" /><Relationship Type="http://schemas.openxmlformats.org/officeDocument/2006/relationships/hyperlink" Id="rId55" Target="https://doi.org/10.1016/j.emospa.2015.04.001" TargetMode="External" /><Relationship Type="http://schemas.openxmlformats.org/officeDocument/2006/relationships/hyperlink" Id="rId32" Target="https://doi.org/10.1016/j.emospa.2015.06.009" TargetMode="External" /><Relationship Type="http://schemas.openxmlformats.org/officeDocument/2006/relationships/hyperlink" Id="rId42" Target="https://doi.org/10.1080/01972240290108195" TargetMode="External" /><Relationship Type="http://schemas.openxmlformats.org/officeDocument/2006/relationships/hyperlink" Id="rId30" Target="https://doi.org/10.1080/1369118X.2017.1340500" TargetMode="External" /><Relationship Type="http://schemas.openxmlformats.org/officeDocument/2006/relationships/hyperlink" Id="rId41" Target="https://doi.org/10.1086/225469" TargetMode="External" /><Relationship Type="http://schemas.openxmlformats.org/officeDocument/2006/relationships/hyperlink" Id="rId36" Target="https://doi.org/10.1093/acprof:oso/9780199970773.001.0001" TargetMode="External" /><Relationship Type="http://schemas.openxmlformats.org/officeDocument/2006/relationships/hyperlink" Id="rId53" Target="https://doi.org/10.1093/oso/9780198289418.003.0003" TargetMode="External" /><Relationship Type="http://schemas.openxmlformats.org/officeDocument/2006/relationships/hyperlink" Id="rId45" Target="https://doi.org/10.1111/jcom.12214" TargetMode="External" /><Relationship Type="http://schemas.openxmlformats.org/officeDocument/2006/relationships/hyperlink" Id="rId51" Target="https://doi.org/10.11144/Javeriana.syp39-76.ursm" TargetMode="External" /><Relationship Type="http://schemas.openxmlformats.org/officeDocument/2006/relationships/hyperlink" Id="rId50" Target="https://doi.org/10.1136/bmj.n71" TargetMode="External" /><Relationship Type="http://schemas.openxmlformats.org/officeDocument/2006/relationships/hyperlink" Id="rId52" Target="https://doi.org/10.1145/358916.361990" TargetMode="External" /><Relationship Type="http://schemas.openxmlformats.org/officeDocument/2006/relationships/hyperlink" Id="rId37" Target="https://doi.org/10.1177/0896920513484602" TargetMode="External" /><Relationship Type="http://schemas.openxmlformats.org/officeDocument/2006/relationships/hyperlink" Id="rId46" Target="https://doi.org/10.1177/1748048517727182" TargetMode="External" /><Relationship Type="http://schemas.openxmlformats.org/officeDocument/2006/relationships/hyperlink" Id="rId34" Target="https://doi.org/10.1177/2056305115604174" TargetMode="External" /><Relationship Type="http://schemas.openxmlformats.org/officeDocument/2006/relationships/hyperlink" Id="rId47" Target="https://doi.org/10.1177/2056305118764425" TargetMode="External" /><Relationship Type="http://schemas.openxmlformats.org/officeDocument/2006/relationships/hyperlink" Id="rId35" Target="https://doi.org/10.1177/2056305118764439" TargetMode="External" /><Relationship Type="http://schemas.openxmlformats.org/officeDocument/2006/relationships/hyperlink" Id="rId39" Target="https://doi.org/10.1177/2056305118764440" TargetMode="External" /><Relationship Type="http://schemas.openxmlformats.org/officeDocument/2006/relationships/hyperlink" Id="rId57" Target="https://doi.org/10.4324/9781003193555" TargetMode="External" /><Relationship Type="http://schemas.openxmlformats.org/officeDocument/2006/relationships/hyperlink" Id="rId31" Target="https://doi.org/10.4467/25444972SMPP.15.016.4141" TargetMode="External" /><Relationship Type="http://schemas.openxmlformats.org/officeDocument/2006/relationships/hyperlink" Id="rId58" Target="https://web.facebook.com/notes/256480419099100/" TargetMode="External" /><Relationship Type="http://schemas.openxmlformats.org/officeDocument/2006/relationships/hyperlink" Id="rId59" Target="https://web.facebook.com/notes/3707971095882612/" TargetMode="External" /><Relationship Type="http://schemas.openxmlformats.org/officeDocument/2006/relationships/hyperlink" Id="rId49" Target="https://worldmigrationreport.iom.int/what-we-do/world-migration-report-2024-chapter-1/world-migration-report-2024" TargetMode="External" /><Relationship Type="http://schemas.openxmlformats.org/officeDocument/2006/relationships/hyperlink" Id="rId40" Target="https://www.globalwebindex.com/reports/social" TargetMode="External" /><Relationship Type="http://schemas.openxmlformats.org/officeDocument/2006/relationships/hyperlink" Id="rId44" Target="https://www.ine.gob.cl/estadisticas/sociales/demografia-y-vitales/demografia-y-migracion" TargetMode="External" /><Relationship Type="http://schemas.openxmlformats.org/officeDocument/2006/relationships/hyperlink" Id="rId38" Target="https://www.npr.org/2021/10/14/1046140249/how-social-media-has-changed-migration-to-the-united-states" TargetMode="External" /><Relationship Type="http://schemas.openxmlformats.org/officeDocument/2006/relationships/hyperlink" Id="rId54" Target="https://www.tiktok.com/about?lang=es" TargetMode="External" /><Relationship Type="http://schemas.openxmlformats.org/officeDocument/2006/relationships/hyperlink" Id="rId56" Target="https://www.whatsapp.com/about" TargetMode="External" /></Relationships>
</file>

<file path=word/_rels/footnotes.xml.rels><?xml version="1.0" encoding="UTF-8"?><Relationships xmlns="http://schemas.openxmlformats.org/package/2006/relationships"><Relationship Type="http://schemas.openxmlformats.org/officeDocument/2006/relationships/hyperlink" Id="rId43" Target="https://about.instagram.com" TargetMode="External" /><Relationship Type="http://schemas.openxmlformats.org/officeDocument/2006/relationships/hyperlink" Id="rId48" Target="https://about.meta.com/company-info/" TargetMode="External" /><Relationship Type="http://schemas.openxmlformats.org/officeDocument/2006/relationships/hyperlink" Id="rId33" Target="https://doi.org/10.1002/9780470755679.ch15" TargetMode="External" /><Relationship Type="http://schemas.openxmlformats.org/officeDocument/2006/relationships/hyperlink" Id="rId55" Target="https://doi.org/10.1016/j.emospa.2015.04.001" TargetMode="External" /><Relationship Type="http://schemas.openxmlformats.org/officeDocument/2006/relationships/hyperlink" Id="rId32" Target="https://doi.org/10.1016/j.emospa.2015.06.009" TargetMode="External" /><Relationship Type="http://schemas.openxmlformats.org/officeDocument/2006/relationships/hyperlink" Id="rId42" Target="https://doi.org/10.1080/01972240290108195" TargetMode="External" /><Relationship Type="http://schemas.openxmlformats.org/officeDocument/2006/relationships/hyperlink" Id="rId30" Target="https://doi.org/10.1080/1369118X.2017.1340500" TargetMode="External" /><Relationship Type="http://schemas.openxmlformats.org/officeDocument/2006/relationships/hyperlink" Id="rId41" Target="https://doi.org/10.1086/225469" TargetMode="External" /><Relationship Type="http://schemas.openxmlformats.org/officeDocument/2006/relationships/hyperlink" Id="rId36" Target="https://doi.org/10.1093/acprof:oso/9780199970773.001.0001" TargetMode="External" /><Relationship Type="http://schemas.openxmlformats.org/officeDocument/2006/relationships/hyperlink" Id="rId53" Target="https://doi.org/10.1093/oso/9780198289418.003.0003" TargetMode="External" /><Relationship Type="http://schemas.openxmlformats.org/officeDocument/2006/relationships/hyperlink" Id="rId45" Target="https://doi.org/10.1111/jcom.12214" TargetMode="External" /><Relationship Type="http://schemas.openxmlformats.org/officeDocument/2006/relationships/hyperlink" Id="rId51" Target="https://doi.org/10.11144/Javeriana.syp39-76.ursm" TargetMode="External" /><Relationship Type="http://schemas.openxmlformats.org/officeDocument/2006/relationships/hyperlink" Id="rId50" Target="https://doi.org/10.1136/bmj.n71" TargetMode="External" /><Relationship Type="http://schemas.openxmlformats.org/officeDocument/2006/relationships/hyperlink" Id="rId52" Target="https://doi.org/10.1145/358916.361990" TargetMode="External" /><Relationship Type="http://schemas.openxmlformats.org/officeDocument/2006/relationships/hyperlink" Id="rId37" Target="https://doi.org/10.1177/0896920513484602" TargetMode="External" /><Relationship Type="http://schemas.openxmlformats.org/officeDocument/2006/relationships/hyperlink" Id="rId46" Target="https://doi.org/10.1177/1748048517727182" TargetMode="External" /><Relationship Type="http://schemas.openxmlformats.org/officeDocument/2006/relationships/hyperlink" Id="rId34" Target="https://doi.org/10.1177/2056305115604174" TargetMode="External" /><Relationship Type="http://schemas.openxmlformats.org/officeDocument/2006/relationships/hyperlink" Id="rId47" Target="https://doi.org/10.1177/2056305118764425" TargetMode="External" /><Relationship Type="http://schemas.openxmlformats.org/officeDocument/2006/relationships/hyperlink" Id="rId35" Target="https://doi.org/10.1177/2056305118764439" TargetMode="External" /><Relationship Type="http://schemas.openxmlformats.org/officeDocument/2006/relationships/hyperlink" Id="rId39" Target="https://doi.org/10.1177/2056305118764440" TargetMode="External" /><Relationship Type="http://schemas.openxmlformats.org/officeDocument/2006/relationships/hyperlink" Id="rId57" Target="https://doi.org/10.4324/9781003193555" TargetMode="External" /><Relationship Type="http://schemas.openxmlformats.org/officeDocument/2006/relationships/hyperlink" Id="rId31" Target="https://doi.org/10.4467/25444972SMPP.15.016.4141" TargetMode="External" /><Relationship Type="http://schemas.openxmlformats.org/officeDocument/2006/relationships/hyperlink" Id="rId58" Target="https://web.facebook.com/notes/256480419099100/" TargetMode="External" /><Relationship Type="http://schemas.openxmlformats.org/officeDocument/2006/relationships/hyperlink" Id="rId59" Target="https://web.facebook.com/notes/3707971095882612/" TargetMode="External" /><Relationship Type="http://schemas.openxmlformats.org/officeDocument/2006/relationships/hyperlink" Id="rId49" Target="https://worldmigrationreport.iom.int/what-we-do/world-migration-report-2024-chapter-1/world-migration-report-2024" TargetMode="External" /><Relationship Type="http://schemas.openxmlformats.org/officeDocument/2006/relationships/hyperlink" Id="rId40" Target="https://www.globalwebindex.com/reports/social" TargetMode="External" /><Relationship Type="http://schemas.openxmlformats.org/officeDocument/2006/relationships/hyperlink" Id="rId44" Target="https://www.ine.gob.cl/estadisticas/sociales/demografia-y-vitales/demografia-y-migracion" TargetMode="External" /><Relationship Type="http://schemas.openxmlformats.org/officeDocument/2006/relationships/hyperlink" Id="rId38" Target="https://www.npr.org/2021/10/14/1046140249/how-social-media-has-changed-migration-to-the-united-states" TargetMode="External" /><Relationship Type="http://schemas.openxmlformats.org/officeDocument/2006/relationships/hyperlink" Id="rId54" Target="https://www.tiktok.com/about?lang=es" TargetMode="External" /><Relationship Type="http://schemas.openxmlformats.org/officeDocument/2006/relationships/hyperlink" Id="rId56" Target="https://www.whatsapp.com/abou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2026-04-11T13:07:13Z</dcterms:created>
  <dcterms:modified xsi:type="dcterms:W3CDTF">2026-04-11T13:07:13Z</dcterms:modified>
</cp:coreProperties>
</file>

<file path=docProps/custom.xml><?xml version="1.0" encoding="utf-8"?>
<Properties xmlns="http://schemas.openxmlformats.org/officeDocument/2006/custom-properties" xmlns:vt="http://schemas.openxmlformats.org/officeDocument/2006/docPropsVTypes"/>
</file>