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32.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260c8b26a1e14e74bd4fdf6aae490b9c7432e0"/>
    <w:p>
      <w:pPr>
        <w:pStyle w:val="Ttulo1"/>
      </w:pPr>
      <w:r>
        <w:t xml:space="preserve">Abrazando la neurodivergencia desde el arte y lo medial: una mirada desde los stakeholders en la co-creación de entornos inmersivos</w:t>
      </w:r>
    </w:p>
    <w:p>
      <w:pPr>
        <w:pStyle w:val="FirstParagraph"/>
      </w:pPr>
      <w:r>
        <w:rPr>
          <w:b/>
          <w:bCs/>
        </w:rPr>
        <w:t xml:space="preserve">Palabras clave:</w:t>
      </w:r>
      <w:r>
        <w:t xml:space="preserve"> </w:t>
      </w:r>
      <w:r>
        <w:t xml:space="preserve">Arte, Composición, Diseño, Mundo virtual, Personas neurodivergentes.</w:t>
      </w:r>
    </w:p>
    <w:bookmarkStart w:id="23" w:name="introducción"/>
    <w:p>
      <w:pPr>
        <w:pStyle w:val="Ttulo2"/>
      </w:pPr>
      <w:r>
        <w:t xml:space="preserve">Introducción</w:t>
      </w:r>
    </w:p>
    <w:p>
      <w:pPr>
        <w:pStyle w:val="FirstParagraph"/>
      </w:pPr>
      <w:r>
        <w:t xml:space="preserve">Las disciplinas creativas, en particular la arquitectura y el diseño, atraviesan un proceso de transformación impulsado por la convergencia entre lo digital y lo presencial. Esta reconfiguración no se limita a la incorporación de nuevas herramientas tecnológicas, sino que afecta los modos en que estudiantes y docentes interactúan con el conocimiento, el espacio y la composición (Brunner y Ganga-Contreras, 2016). En este escenario, las tecnologías de realidad extendida (XR) se han posicionado como recursos con potencial para enriquecer la enseñanza del proyecto arquitectónico, al ofrecer entornos inmersivos donde explorar relaciones espaciales, materialidades y escalas de manera interactiva (Bustos-Lopez et al., 2024).</w:t>
      </w:r>
    </w:p>
    <w:p>
      <w:pPr>
        <w:pStyle w:val="BodyText"/>
      </w:pPr>
      <w:r>
        <w:t xml:space="preserve">Sin embargo, la implementación de estas tecnologías en contextos educativos ha tendido a operar bajo supuestos de homogeneidad cognitiva. Las prácticas de enseñanza con XR suelen diseñarse para un perfil de usuario estándar, sin considerar que los modos de percepción, procesamiento y aprendizaje varían significativamente entre individuos. La neurodivergencia, entendida como un marco que reconoce las diferencias neurológicas —incluyendo el trastorno por déficit atencional con hiperactividad (TDAH), el trastorno del espectro autista (TEA) y otras condiciones— como expresiones legítimas de la diversidad humana y no como patologías (Baron-Cohen, 2017), permanece en gran medida invisible en el diseño de entornos inmersivos educativos. Aunque las políticas de inclusión en educación superior han avanzado en la formulación de principios de igualdad de oportunidades, en la práctica estas suelen traducirse en soluciones estandarizadas que no responden a la heterogeneidad de experiencias cognitivas presentes en el aula (Acosta-Silva et al., 2021; Gonzales-Otarola et al., 2023).</w:t>
      </w:r>
    </w:p>
    <w:p>
      <w:pPr>
        <w:pStyle w:val="BodyText"/>
      </w:pPr>
      <w:r>
        <w:t xml:space="preserve">La literatura disponible sobre XR en arquitectura se concentra en las posibilidades técnicas de los entornos inmersivos y en su aplicación para la visualización y exploración del proyecto, pero presenta una brecha significativa: la ausencia de modelos metodológicos que orienten el diseño de estos entornos desde una perspectiva inclusiva, específicamente considerando las necesidades de estudiantes neurodivergentes. No se han identificado propuestas que articulen de manera sistemática los hallazgos del proceso de co-creación con usuarios neurodivergentes para derivar criterios de diseño transferibles a otros contextos educativos.</w:t>
      </w:r>
    </w:p>
    <w:p>
      <w:pPr>
        <w:pStyle w:val="BodyText"/>
      </w:pPr>
      <w:r>
        <w:t xml:space="preserve">A partir de esta brecha, el presente estudio plantea la siguiente hipótesis: un proceso de co-creación basado en la metodología de experiencia de usuario (UX), desarrollado de manera cíclica e iterativa con la participación directa de estudiantes neurodivergentes, permite identificar criterios de diseño específicos para entornos XR que favorecen la inclusión y el aprendizaje de la composición arquitectónica. El objetivo general es proponer un modelo metodológico para el diseño de entornos XR inclusivos dirigidos a estudiantes neurodivergentes en formación de arquitectura y diseño, derivado de los hallazgos empíricos del proyecto DirexLab. La pregunta que guía esta investigación es: ¿qué criterios de diseño emergen de un proceso de co-creación con estudiantes neurodivergentes para el desarrollo de entornos XR que apoyen el aprendizaje de la composición arquitectónica?</w:t>
      </w:r>
    </w:p>
    <w:p>
      <w:pPr>
        <w:pStyle w:val="BodyText"/>
      </w:pPr>
      <w:r>
        <w:t xml:space="preserve">La contribución de este artículo trasciende la descripción de un caso de estudio particular. Se propone un modelo metodológico transferible que articula el flujo desde la metodología UX hacia los hallazgos, de estos hacia criterios de diseño, y finalmente hacia la implementación de entornos XR orientados al aprendizaje compositivo. Este modelo constituye un aporte para investigadores y docentes interesados en el diseño de tecnologías inmersivas inclusivas en disciplinas creativas.</w:t>
      </w:r>
    </w:p>
    <w:bookmarkEnd w:id="23"/>
    <w:bookmarkStart w:id="24" w:name="marco-teórico"/>
    <w:p>
      <w:pPr>
        <w:pStyle w:val="Ttulo2"/>
      </w:pPr>
      <w:r>
        <w:t xml:space="preserve">Marco teórico</w:t>
      </w:r>
    </w:p>
    <w:p>
      <w:pPr>
        <w:pStyle w:val="FirstParagraph"/>
      </w:pPr>
      <w:r>
        <w:t xml:space="preserve">La comprensión de la neurodivergencia como variación legítima del funcionamiento neurológico, y no como déficit, constituye el punto de partida conceptual de este trabajo. Baron-Cohen (2017) propone el término neurodiversidad para designar la variabilidad natural en los modos de procesamiento cognitivo, incluyendo condiciones como el trastorno del espectro autista (TEA) y el trastorno por déficit atencional con hiperactividad (TDAH). Esta perspectiva desplaza el foco desde la patología hacia el reconocimiento de diferencias funcionales que, en contextos adecuados, pueden expresarse como fortalezas. Gonzales-Otarola et al. (2023) documentan cómo, en el ámbito educativo chileno, las percepciones de docentes y estudiantes sobre la neurodivergencia oscilan entre el desconocimiento y la voluntad de inclusión, evidenciando una brecha entre el discurso institucional y las prácticas pedagógicas efectivas.</w:t>
      </w:r>
    </w:p>
    <w:p>
      <w:pPr>
        <w:pStyle w:val="BodyText"/>
      </w:pPr>
      <w:r>
        <w:t xml:space="preserve">Esta brecha adquiere particular relevancia cuando se examina desde el diseño de experiencias de usuario (UX). La metodología UX, centrada en comprender las necesidades, comportamientos y contextos de uso de las personas, ofrece un marco operativo para abordar la diversidad cognitiva de manera sistemática. Sin embargo, su aplicación en entornos educativos inmersivos ha tendido a asumir perfiles de usuario homogéneos, sin incorporar las especificidades perceptuales y atencionales de estudiantes neurodivergentes. Brandenburger y Janneck (2024) señalan que las preferencias de diseño varían significativamente entre usuarios, lo que exige interfaces adaptativas capaces de responder a necesidades diferenciadas. Este planteamiento resulta especialmente pertinente para las tecnologías de realidad extendida (XR), donde la inmersión sensorial amplifica tanto las oportunidades de aprendizaje como los riesgos de sobrecarga o exclusión.</w:t>
      </w:r>
    </w:p>
    <w:p>
      <w:pPr>
        <w:pStyle w:val="BodyText"/>
      </w:pPr>
      <w:r>
        <w:t xml:space="preserve">Las tecnologías XR han demostrado potencial para enriquecer la enseñanza en arquitectura al permitir la exploración interactiva de relaciones espaciales, materialidades y escalas (Bustos-Lopez et al., 2024). No obstante, este potencial no se traduce automáticamente en inclusión: la inmersión genera respuestas diversas según el perfil cognitivo del usuario, desde la concentración prolongada hasta la saturación sensorial. La XR no es inclusiva per se, sino que requiere una mediación metodológica que articule las decisiones de diseño con las necesidades específicas de los usuarios.</w:t>
      </w:r>
    </w:p>
    <w:p>
      <w:pPr>
        <w:pStyle w:val="BodyText"/>
      </w:pPr>
      <w:r>
        <w:t xml:space="preserve">Es en este punto donde la co-creación emerge como estrategia central. A diferencia de los enfoques donde los participantes son consultados pero no intervienen en las decisiones de diseño, la co-creación sitúa a los stakeholders —investigadores, docentes y estudiantes— como agentes que contribuyen a la definición de requerimientos y la evaluación de prototipos. Aguirre-Villalobos et al. (2023) documentan la efectividad de metodologías participativas como el design thinking en la enseñanza universitaria de arquitectura, mostrando cómo la iteración con usuarios favorece tanto el aprendizaje como la pertinencia de los resultados. Aplicada al diseño de entornos XR con estudiantes neurodivergentes, la co-creación permite revelar criterios de diseño que no serían identificables mediante aproximaciones exclusivamente técnicas o teóricas.</w:t>
      </w:r>
    </w:p>
    <w:p>
      <w:pPr>
        <w:pStyle w:val="BodyText"/>
      </w:pPr>
      <w:r>
        <w:t xml:space="preserve">Desde el campo de la intervención educativa, Siervo Briones (2026) aporta evidencia sobre la importancia de la predictibilidad, la estructura visual y la autonomía como condiciones que favorecen la participación y el aprendizaje de personas autistas. Las señales visuales que organizan secuencias de actividades y la reducción de distractores permiten anticipar lo que ocurrirá y actuar con mayor independencia. Estos principios resultan transferibles al diseño de entornos inmersivos cuando se integran como criterios derivados del proceso de co-creación.</w:t>
      </w:r>
    </w:p>
    <w:p>
      <w:pPr>
        <w:pStyle w:val="BodyText"/>
      </w:pPr>
      <w:r>
        <w:t xml:space="preserve">El arte funciona como un eje articulador en esta convergencia. En la formación en arquitectura y diseño, la composición —entendida como la organización deliberada de elementos en el espacio— constituye una competencia central. Las prácticas artísticas ofrecen un lenguaje visual compartido que media entre la experiencia subjetiva del estudiante y los principios compositivos formales. Referentes artísticos como moodboards, paletas cromáticas y formas orgánicas permiten a estudiantes neurodivergentes comunicar preferencias sensoriales que de otro modo permanecerían inarticuladas, estableciendo un puente entre la percepción individual y la producción compositiva en el entorno XR.</w:t>
      </w:r>
    </w:p>
    <w:p>
      <w:pPr>
        <w:pStyle w:val="BodyText"/>
      </w:pPr>
      <w:r>
        <w:t xml:space="preserve">La revisión de estos ejes revela una convergencia insuficientemente explorada en la literatura: si bien existen estudios sobre XR en educación, sobre neurodivergencia en contextos universitarios y sobre co-creación en diseño, no se han identificado investigaciones que articulen estos campos para proponer un modelo metodológico que derive criterios de diseño para entornos inmersivos inclusivos a partir de la participación directa de estudiantes neurodivergentes. Esta brecha fundamenta la necesidad del enfoque metodológico que se describe a continuación.</w:t>
      </w:r>
    </w:p>
    <w:bookmarkEnd w:id="24"/>
    <w:bookmarkStart w:id="25" w:name="metodología"/>
    <w:p>
      <w:pPr>
        <w:pStyle w:val="Ttulo2"/>
      </w:pPr>
      <w:r>
        <w:t xml:space="preserve">Metodología</w:t>
      </w:r>
    </w:p>
    <w:p>
      <w:pPr>
        <w:pStyle w:val="FirstParagraph"/>
      </w:pPr>
      <w:r>
        <w:t xml:space="preserve">Este estudio se enmarca en una investigación aplicada desarrollada en el contexto de DirexLab, un laboratorio de experimentación con realidad extendida perteneciente a una universidad pública estatal de Chile. El proyecto se implementó a lo largo de dos años en la carrera de Arquitectura, involucrando aproximadamente 52 estudiantes distribuidos en dos secciones del taller de composición. La selección de este caso responde a la necesidad de generar conocimiento situado sobre el diseño de entornos inmersivos inclusivos, en un contexto donde la neurodivergencia de los estudiantes constituye una variable relevante pero habitualmente desatendida en las decisiones de diseño tecnológico.</w:t>
      </w:r>
    </w:p>
    <w:p>
      <w:pPr>
        <w:pStyle w:val="BodyText"/>
      </w:pPr>
      <w:r>
        <w:t xml:space="preserve">El enfoque metodológico adoptado articula la co-creación situada con la metodología de experiencia de usuario (UX), operando bajo el principio de que los usuarios no son receptores pasivos de soluciones tecnológicas, sino agentes que participan activamente en la definición de requerimientos y la evaluación de prototipos. El proceso se estructuró en torno a las cinco etapas de la metodología UX —empatizar, definir, idear, prototipar y testear—, ejecutadas de manera cíclica e iterativa a lo largo del periodo de implementación (véase Figura 1).</w:t>
      </w:r>
    </w:p>
    <w:p>
      <w:pPr>
        <w:pStyle w:val="BodyText"/>
      </w:pPr>
      <w:r>
        <w:t xml:space="preserve">En la etapa de empatizar, se realizaron instancias de acercamiento con los estudiantes orientadas a comprender sus experiencias, modos de percepción y formas de interacción con entornos espaciales e inmersivos. La etapa de definir permitió sistematizar las necesidades identificadas y formular requerimientos de diseño que incorporaran las especificidades cognitivas y sensoriales observadas. Durante la ideación, se exploraron alternativas de diseño mediante herramientas como moodboards, referentes artísticos y paletas cromáticas, generando un lenguaje visual compartido entre el equipo de investigación y los estudiantes. La etapa de prototipado tradujo estos requerimientos en configuraciones espaciales dentro del entorno XR, que fueron sometidas a evaluación en la etapa de testeo mediante la interacción directa de los estudiantes con los prototipos. Los resultados de cada ciclo de testeo retroalimentaron las etapas anteriores, generando ajustes progresivos en las decisiones de diseño.</w:t>
      </w:r>
    </w:p>
    <w:p>
      <w:pPr>
        <w:pStyle w:val="BodyText"/>
      </w:pPr>
      <w:r>
        <w:t xml:space="preserve">La investigación involucró tres grupos de stakeholders con roles diferenciados. Los investigadores cumplieron funciones de diseño metodológico, recolección de datos y análisis de hallazgos. Los docentes del taller actuaron como mediadores entre los objetivos pedagógicos del curso y las dinámicas de co-creación, facilitando la integración del proceso en las actividades curriculares. Los estudiantes participaron como co-creadores, aportando retroalimentación sobre sus experiencias perceptuales y compositivas en los entornos inmersivos, e interviniendo en las decisiones de diseño a través de las instancias iterativas del proceso UX.</w:t>
      </w:r>
    </w:p>
    <w:p>
      <w:pPr>
        <w:pStyle w:val="BodyText"/>
      </w:pPr>
      <w:r>
        <w:t xml:space="preserve">Es necesario reconocer los límites metodológicos inherentes a este enfoque. La construcción de perfiles de usuario, herramienta habitual en la metodología UX, presenta restricciones cuando se aplica a la neurodivergencia, ya que las categorías diagnósticas no capturan la complejidad ni la variabilidad de las experiencias individuales. Como señalan Aguirre-Villalobos et al. (2026), los perfiles tienden a simplificar realidades que son heterogéneas incluso dentro de una misma condición, generando tensiones entre la necesidad de sistematización del proceso de diseño y la singularidad de cada usuario. Esta tensión se abordó mediante la iteración continua y la incorporación de mecanismos de retroalimentación directa que permitieron ajustar las decisiones de diseño sin depender exclusivamente de categorizaciones predefinidas.</w:t>
      </w:r>
    </w:p>
    <w:p>
      <w:pPr>
        <w:pStyle w:val="BodyText"/>
      </w:pPr>
      <w:r>
        <w:t xml:space="preserve">Adicionalmente, el carácter situado de la investigación implica que los hallazgos están vinculados a un contexto institucional, disciplinar y cultural específico, lo que demanda cautela al extrapolar los resultados. No obstante, el modelo metodológico propuesto —cuyo flujo se representa en la Figura 1— se concibe como un marco transferible cuyos principios pueden adaptarse a otros contextos educativos donde la inclusión de estudiantes neurodivergentes constituya un objetivo de diseño.</w:t>
      </w:r>
    </w:p>
    <w:bookmarkEnd w:id="25"/>
    <w:bookmarkStart w:id="36" w:name="resultados"/>
    <w:p>
      <w:pPr>
        <w:pStyle w:val="Ttulo2"/>
      </w:pPr>
      <w:r>
        <w:t xml:space="preserve">Resultados</w:t>
      </w:r>
    </w:p>
    <w:p>
      <w:pPr>
        <w:pStyle w:val="FirstParagraph"/>
      </w:pPr>
      <w:r>
        <w:t xml:space="preserve">El proceso de co-creación desarrollado a lo largo de dos años permitió identificar un conjunto de hallazgos empíricos que trascienden la descripción del entorno XR construido y se constituyen como insumos para la formulación de criterios de diseño transferibles. A continuación se presentan los hallazgos organizados temáticamente, derivados de las iteraciones cíclicas del proceso UX con los estudiantes participantes.</w:t>
      </w:r>
    </w:p>
    <w:bookmarkStart w:id="26" w:name="tipos-de-neurodivergencias-identificadas"/>
    <w:p>
      <w:pPr>
        <w:pStyle w:val="Ttulo3"/>
      </w:pPr>
      <w:r>
        <w:t xml:space="preserve">Tipos de neurodivergencias identificadas</w:t>
      </w:r>
    </w:p>
    <w:p>
      <w:pPr>
        <w:pStyle w:val="FirstParagraph"/>
      </w:pPr>
      <w:r>
        <w:t xml:space="preserve">El levantamiento realizado durante las etapas de empatizar y definir reveló la presencia de estudiantes con TDAH, estudiantes en el espectro autista (TEA) y estudiantes neurotípicos dentro de las secciones del taller. Esta composición heterogénea resultó determinante para el proceso de diseño: los estudiantes con TDAH tendieron a explorar los entornos de manera fragmentaria, alternando entre focos de atención, mientras que los estudiantes con TEA mostraron inclinación hacia la exploración sostenida cuando el entorno favorecía la predictibilidad. Los estudiantes neurotípicos presentaron respuestas más homogéneas, lo que permitió establecer contrastes que evidenciaron las necesidades diferenciadas de los perfiles neurodivergentes.</w:t>
      </w:r>
    </w:p>
    <w:bookmarkEnd w:id="26"/>
    <w:bookmarkStart w:id="27" w:name="el-hiperfoco-como-criterio-de-diseño"/>
    <w:p>
      <w:pPr>
        <w:pStyle w:val="Ttulo3"/>
      </w:pPr>
      <w:r>
        <w:t xml:space="preserve">El hiperfoco como criterio de diseño</w:t>
      </w:r>
    </w:p>
    <w:p>
      <w:pPr>
        <w:pStyle w:val="FirstParagraph"/>
      </w:pPr>
      <w:r>
        <w:t xml:space="preserve">La identificación del hiperfoco como característica aprovechable constituyó uno de los hallazgos más relevantes. La capacidad de concentración prolongada observada en estudiantes con TDAH y TEA indicó que las actividades secuenciales, con objetivos claros y progresión definida, facilitaban la inmersión productiva. Este hallazgo condujo a diseñar secuencias de exploración compositiva que canalizaran el hiperfoco hacia el aprendizaje, estructurando las tareas de modo que cada paso condujera al siguiente.</w:t>
      </w:r>
    </w:p>
    <w:bookmarkEnd w:id="27"/>
    <w:bookmarkStart w:id="28" w:name="X86b4617009d5f334d2b5a3d2653c6bfa0ac607f"/>
    <w:p>
      <w:pPr>
        <w:pStyle w:val="Ttulo3"/>
      </w:pPr>
      <w:r>
        <w:t xml:space="preserve">Preferencias sensoriales y lenguaje visual</w:t>
      </w:r>
    </w:p>
    <w:p>
      <w:pPr>
        <w:pStyle w:val="FirstParagraph"/>
      </w:pPr>
      <w:r>
        <w:t xml:space="preserve">Las iteraciones evidenciaron preferencias sensoriales diferenciadas que incidieron directamente en las decisiones de diseño. Los estudiantes neurodivergentes expresaron mayor comodidad ante formas orgánicas, transiciones suaves y paletas cromáticas de baja saturación, en contraste con configuraciones geométricas rígidas o estímulos intensos que generaban sobrecarga. Estas preferencias, identificadas durante la etapa de definir y confirmadas en el testeo, se tradujeron en criterios concretos: privilegiar curvas sobre ángulos abruptos, emplear gradientes cromáticos sutiles y reducir los elementos visuales simultáneos.</w:t>
      </w:r>
    </w:p>
    <w:bookmarkEnd w:id="28"/>
    <w:bookmarkStart w:id="29" w:name="la-anticipación-mediante-señalética"/>
    <w:p>
      <w:pPr>
        <w:pStyle w:val="Ttulo3"/>
      </w:pPr>
      <w:r>
        <w:t xml:space="preserve">La anticipación mediante señalética</w:t>
      </w:r>
    </w:p>
    <w:p>
      <w:pPr>
        <w:pStyle w:val="FirstParagraph"/>
      </w:pPr>
      <w:r>
        <w:t xml:space="preserve">La necesidad de anticipación emergió como hallazgo transversal, especialmente relevante para los estudiantes en el espectro autista. La incorporación de señalética e introducciones visuales antes de cada experiencia inmersiva redujo significativamente las respuestas de incertidumbre. Este hallazgo encuentra respaldo en Siervo Briones (2026), quien documenta que la predictibilidad y la claridad favorecen una conducta más tranquila y colaboradora en personas autistas, y que las señales visuales que organizan secuencias de actividades permiten comprender qué se espera y actuar con mayor autonomía. En el entorno XR, este principio se operacionalizó mediante indicadores visuales que anticipaban las transiciones entre espacios y actividades.</w:t>
      </w:r>
    </w:p>
    <w:bookmarkEnd w:id="29"/>
    <w:bookmarkStart w:id="30" w:name="moodboard-como-herramienta-metodológica"/>
    <w:p>
      <w:pPr>
        <w:pStyle w:val="Ttulo3"/>
      </w:pPr>
      <w:r>
        <w:t xml:space="preserve">Moodboard como herramienta metodológica</w:t>
      </w:r>
    </w:p>
    <w:p>
      <w:pPr>
        <w:pStyle w:val="FirstParagraph"/>
      </w:pPr>
      <w:r>
        <w:t xml:space="preserve">Durante la etapa de idear, el moodboard se consolidó como una herramienta de comunicación entre el equipo de investigación y los estudiantes. Más allá de su función habitual como recurso de inspiración visual, el moodboard operó como un dispositivo metodológico que permitió a los estudiantes neurodivergentes articular preferencias sensoriales y compositivas que de otro modo habrían permanecido tácitas. La selección colaborativa de referentes visuales —texturas, paletas, formas, atmósferas— generó un lenguaje compartido que medió entre la experiencia subjetiva de cada participante y las decisiones de diseño del entorno XR.</w:t>
      </w:r>
    </w:p>
    <w:bookmarkEnd w:id="30"/>
    <w:bookmarkStart w:id="31" w:name="Xf4961407c31e26e820dcd018db0dd7160e01857"/>
    <w:p>
      <w:pPr>
        <w:pStyle w:val="Ttulo3"/>
      </w:pPr>
      <w:r>
        <w:t xml:space="preserve">El arte como mediador de la composición arquitectónica</w:t>
      </w:r>
    </w:p>
    <w:p>
      <w:pPr>
        <w:pStyle w:val="FirstParagraph"/>
      </w:pPr>
      <w:r>
        <w:t xml:space="preserve">Los referentes artísticos cumplieron una función mediadora entre la percepción individual de los estudiantes y los principios formales de la composición arquitectónica. La inclusión de obras y recursos visuales del campo artístico facilitó que los estudiantes comprendieran conceptos como ritmo, proporción, equilibrio y jerarquía espacial a través de experiencias estéticas concretas, en lugar de abstracciones teóricas. Este hallazgo indica que el arte no solo enriquece el entorno XR como contenido, sino que funciona como un puente cognitivo que conecta la experiencia sensorial con el aprendizaje compositivo, particularmente para estudiantes cuyas formas de procesamiento favorecen lo visual y lo experiencial por sobre lo verbal.</w:t>
      </w:r>
    </w:p>
    <w:bookmarkEnd w:id="31"/>
    <w:bookmarkStart w:id="35" w:name="Xaff3d22d9c0abe726708607f7fc83e64965213e"/>
    <w:p>
      <w:pPr>
        <w:pStyle w:val="Ttulo3"/>
      </w:pPr>
      <w:r>
        <w:t xml:space="preserve">Criterios emergentes para el diseño de entornos XR inclusivos</w:t>
      </w:r>
    </w:p>
    <w:p>
      <w:pPr>
        <w:pStyle w:val="FirstParagraph"/>
      </w:pPr>
      <w:r>
        <w:t xml:space="preserve">La síntesis de los hallazgos anteriores permite formular un conjunto de criterios de diseño emergentes para entornos XR dirigidos a estudiantes neurodivergentes. Estos criterios no constituyen prescripciones universales, sino orientaciones derivadas empíricamente que requieren adaptación contextual. La Tabla 1 sintetiza la relación entre las etapas del proceso UX, los hallazgos obtenidos, las decisiones de diseño adoptadas y los resultados observados, articulando la contribución metodológica del estudio. El modelo propuesto (véase Figura 1) representa el flujo completo desde la metodología UX hacia el aprendizaje de la composición arquitectónica, mediado por los hallazgos, los criterios de diseño y la implementación en el entorno XR.</w:t>
      </w:r>
    </w:p>
    <w:p>
      <w:pPr>
        <w:pStyle w:val="BodyText"/>
      </w:pPr>
      <w:r>
        <w:rPr>
          <w:b/>
          <w:bCs/>
        </w:rPr>
        <w:t xml:space="preserve">Tabla 1.</w:t>
      </w:r>
      <w:r>
        <w:t xml:space="preserve"> </w:t>
      </w:r>
      <w:r>
        <w:t xml:space="preserve">Síntesis de hallazgos UX y criterios de diseño</w:t>
      </w:r>
    </w:p>
    <w:tbl>
      <w:tblPr>
        <w:tblStyle w:val="Table"/>
        <w:tblW w:type="pct" w:w="5000"/>
        <w:tblLayout w:type="fixed"/>
        <w:tblLook w:firstRow="1" w:lastRow="0" w:firstColumn="0" w:lastColumn="0" w:noHBand="0" w:noVBand="0" w:val="0020"/>
      </w:tblPr>
      <w:tblGrid>
        <w:gridCol w:w="1584"/>
        <w:gridCol w:w="1584"/>
        <w:gridCol w:w="3009"/>
        <w:gridCol w:w="1742"/>
      </w:tblGrid>
      <w:tr>
        <w:trPr>
          <w:tblHeader w:val="on"/>
        </w:trPr>
        <w:tc>
          <w:tcPr/>
          <w:p>
            <w:pPr>
              <w:pStyle w:val="Compact"/>
            </w:pPr>
            <w:r>
              <w:t xml:space="preserve">Etapa UX</w:t>
            </w:r>
          </w:p>
        </w:tc>
        <w:tc>
          <w:tcPr/>
          <w:p>
            <w:pPr>
              <w:pStyle w:val="Compact"/>
            </w:pPr>
            <w:r>
              <w:t xml:space="preserve">Hallazgo</w:t>
            </w:r>
          </w:p>
        </w:tc>
        <w:tc>
          <w:tcPr/>
          <w:p>
            <w:pPr>
              <w:pStyle w:val="Compact"/>
            </w:pPr>
            <w:r>
              <w:t xml:space="preserve">Decisión de diseño</w:t>
            </w:r>
          </w:p>
        </w:tc>
        <w:tc>
          <w:tcPr/>
          <w:p>
            <w:pPr>
              <w:pStyle w:val="Compact"/>
            </w:pPr>
            <w:r>
              <w:t xml:space="preserve">Resultado</w:t>
            </w:r>
          </w:p>
        </w:tc>
      </w:tr>
      <w:tr>
        <w:tc>
          <w:tcPr/>
          <w:p>
            <w:pPr>
              <w:pStyle w:val="Compact"/>
            </w:pPr>
            <w:r>
              <w:t xml:space="preserve">Empatizar</w:t>
            </w:r>
          </w:p>
        </w:tc>
        <w:tc>
          <w:tcPr/>
          <w:p>
            <w:pPr>
              <w:pStyle w:val="Compact"/>
            </w:pPr>
            <w:r>
              <w:t xml:space="preserve">Necesidad de anticipación</w:t>
            </w:r>
          </w:p>
        </w:tc>
        <w:tc>
          <w:tcPr/>
          <w:p>
            <w:pPr>
              <w:pStyle w:val="Compact"/>
            </w:pPr>
            <w:r>
              <w:t xml:space="preserve">Señalética e introducciones visuales</w:t>
            </w:r>
          </w:p>
        </w:tc>
        <w:tc>
          <w:tcPr/>
          <w:p>
            <w:pPr>
              <w:pStyle w:val="Compact"/>
            </w:pPr>
            <w:r>
              <w:t xml:space="preserve">Menor incertidumbre y mayor autonomía</w:t>
            </w:r>
          </w:p>
        </w:tc>
      </w:tr>
      <w:tr>
        <w:tc>
          <w:tcPr/>
          <w:p>
            <w:pPr>
              <w:pStyle w:val="Compact"/>
            </w:pPr>
            <w:r>
              <w:t xml:space="preserve">Definir</w:t>
            </w:r>
          </w:p>
        </w:tc>
        <w:tc>
          <w:tcPr/>
          <w:p>
            <w:pPr>
              <w:pStyle w:val="Compact"/>
            </w:pPr>
            <w:r>
              <w:t xml:space="preserve">Preferencias sensoriales diferenciadas</w:t>
            </w:r>
          </w:p>
        </w:tc>
        <w:tc>
          <w:tcPr/>
          <w:p>
            <w:pPr>
              <w:pStyle w:val="Compact"/>
            </w:pPr>
            <w:r>
              <w:t xml:space="preserve">Formas orgánicas y paletas de baja saturación</w:t>
            </w:r>
          </w:p>
        </w:tc>
        <w:tc>
          <w:tcPr/>
          <w:p>
            <w:pPr>
              <w:pStyle w:val="Compact"/>
            </w:pPr>
            <w:r>
              <w:t xml:space="preserve">Mayor comodidad e inmersión productiva</w:t>
            </w:r>
          </w:p>
        </w:tc>
      </w:tr>
      <w:tr>
        <w:tc>
          <w:tcPr/>
          <w:p>
            <w:pPr>
              <w:pStyle w:val="Compact"/>
            </w:pPr>
            <w:r>
              <w:t xml:space="preserve">Idear</w:t>
            </w:r>
          </w:p>
        </w:tc>
        <w:tc>
          <w:tcPr/>
          <w:p>
            <w:pPr>
              <w:pStyle w:val="Compact"/>
            </w:pPr>
            <w:r>
              <w:t xml:space="preserve">Referentes artísticos como lenguaje compartido</w:t>
            </w:r>
          </w:p>
        </w:tc>
        <w:tc>
          <w:tcPr/>
          <w:p>
            <w:pPr>
              <w:pStyle w:val="Compact"/>
            </w:pPr>
            <w:r>
              <w:t xml:space="preserve">Moodboard colaborativo</w:t>
            </w:r>
          </w:p>
        </w:tc>
        <w:tc>
          <w:tcPr/>
          <w:p>
            <w:pPr>
              <w:pStyle w:val="Compact"/>
            </w:pPr>
            <w:r>
              <w:t xml:space="preserve">Lenguaje visual común entre investigación y producción</w:t>
            </w:r>
          </w:p>
        </w:tc>
      </w:tr>
      <w:tr>
        <w:tc>
          <w:tcPr/>
          <w:p>
            <w:pPr>
              <w:pStyle w:val="Compact"/>
            </w:pPr>
            <w:r>
              <w:t xml:space="preserve">Prototipar</w:t>
            </w:r>
          </w:p>
        </w:tc>
        <w:tc>
          <w:tcPr/>
          <w:p>
            <w:pPr>
              <w:pStyle w:val="Compact"/>
            </w:pPr>
            <w:r>
              <w:t xml:space="preserve">Hiperfoco como capacidad aprovechable</w:t>
            </w:r>
          </w:p>
        </w:tc>
        <w:tc>
          <w:tcPr/>
          <w:p>
            <w:pPr>
              <w:pStyle w:val="Compact"/>
            </w:pPr>
            <w:r>
              <w:t xml:space="preserve">Actividades secuenciales con progresión definida</w:t>
            </w:r>
          </w:p>
        </w:tc>
        <w:tc>
          <w:tcPr/>
          <w:p>
            <w:pPr>
              <w:pStyle w:val="Compact"/>
            </w:pPr>
            <w:r>
              <w:t xml:space="preserve">Concentración prolongada y aprendizaje compositivo</w:t>
            </w:r>
          </w:p>
        </w:tc>
      </w:tr>
      <w:tr>
        <w:tc>
          <w:tcPr/>
          <w:p>
            <w:pPr>
              <w:pStyle w:val="Compact"/>
            </w:pPr>
            <w:r>
              <w:t xml:space="preserve">Testear</w:t>
            </w:r>
          </w:p>
        </w:tc>
        <w:tc>
          <w:tcPr/>
          <w:p>
            <w:pPr>
              <w:pStyle w:val="Compact"/>
            </w:pPr>
            <w:r>
              <w:t xml:space="preserve">Retroalimentación diferenciada por perfil</w:t>
            </w:r>
          </w:p>
        </w:tc>
        <w:tc>
          <w:tcPr/>
          <w:p>
            <w:pPr>
              <w:pStyle w:val="Compact"/>
            </w:pPr>
            <w:r>
              <w:t xml:space="preserve">Refinamiento continuo mediante ciclos iterativos</w:t>
            </w:r>
          </w:p>
        </w:tc>
        <w:tc>
          <w:tcPr/>
          <w:p>
            <w:pPr>
              <w:pStyle w:val="Compact"/>
            </w:pPr>
            <w:r>
              <w:t xml:space="preserve">Criterios de diseño validados empíricamente</w:t>
            </w:r>
          </w:p>
        </w:tc>
      </w:tr>
    </w:tbl>
    <w:p>
      <w:pPr>
        <w:pStyle w:val="CaptionedFigure"/>
      </w:pPr>
      <w:r>
        <w:drawing>
          <wp:inline>
            <wp:extent cx="3515360" cy="4423123"/>
            <wp:effectExtent b="0" l="0" r="0" t="0"/>
            <wp:docPr descr="Figura 1. Modelo metodológico propuesto: flujo secuencial desde la metodología UX (empatizar, definir, idear, prototipar, testear) hacia hallazgos empíricos, criterios de diseño, implementación XR y aprendizaje de composición arquitectónica, con retroalimentación iterativa." title="" id="33" name="Picture"/>
            <a:graphic>
              <a:graphicData uri="http://schemas.openxmlformats.org/drawingml/2006/picture">
                <pic:pic>
                  <pic:nvPicPr>
                    <pic:cNvPr descr="figures/figura1-modelo-metodologico.png" id="34" name="Picture"/>
                    <pic:cNvPicPr>
                      <a:picLocks noChangeArrowheads="1" noChangeAspect="1"/>
                    </pic:cNvPicPr>
                  </pic:nvPicPr>
                  <pic:blipFill>
                    <a:blip r:embed="rId32"/>
                    <a:stretch>
                      <a:fillRect/>
                    </a:stretch>
                  </pic:blipFill>
                  <pic:spPr bwMode="auto">
                    <a:xfrm>
                      <a:off x="0" y="0"/>
                      <a:ext cx="3515360" cy="4423123"/>
                    </a:xfrm>
                    <a:prstGeom prst="rect">
                      <a:avLst/>
                    </a:prstGeom>
                    <a:noFill/>
                    <a:ln w="9525">
                      <a:noFill/>
                      <a:headEnd/>
                      <a:tailEnd/>
                    </a:ln>
                  </pic:spPr>
                </pic:pic>
              </a:graphicData>
            </a:graphic>
          </wp:inline>
        </w:drawing>
      </w:r>
    </w:p>
    <w:p>
      <w:pPr>
        <w:pStyle w:val="ImageCaption"/>
      </w:pPr>
      <w:r>
        <w:t xml:space="preserve">Figura 1. Modelo metodológico propuesto: flujo secuencial desde la metodología UX (empatizar, definir, idear, prototipar, testear) hacia hallazgos empíricos, criterios de diseño, implementación XR y aprendizaje de composición arquitectónica, con retroalimentación iterativa.</w:t>
      </w:r>
    </w:p>
    <w:bookmarkEnd w:id="35"/>
    <w:bookmarkEnd w:id="36"/>
    <w:bookmarkStart w:id="37" w:name="discusión"/>
    <w:p>
      <w:pPr>
        <w:pStyle w:val="Ttulo2"/>
      </w:pPr>
      <w:r>
        <w:t xml:space="preserve">Discusión</w:t>
      </w:r>
    </w:p>
    <w:p>
      <w:pPr>
        <w:pStyle w:val="FirstParagraph"/>
      </w:pPr>
      <w:r>
        <w:t xml:space="preserve">Los hallazgos de este estudio dialogan con una literatura creciente sobre el potencial de las tecnologías XR para la educación inclusiva, al tiempo que revelan contribuciones específicas que no han sido abordadas por investigaciones previas. La revisión sistemática de Valverde Olivares et al. (2025) confirma que las tecnologías XR ofrecen ventajas para estudiantes neurodivergentes al proporcionar entornos predecibles y personalizables que pueden adaptarse a preferencias sensoriales individuales. Los resultados del presente estudio refuerzan esta conclusión, pero aportan un matiz ausente en la literatura revisada: la predictibilidad del entorno no es suficiente si no se articula mediante un proceso metodológico que involucre directamente a los usuarios en la identificación de los criterios de diseño que la hacen efectiva. En nuestro caso, la señalética anticipatoria no fue una decisión a priori, sino un criterio emergente del proceso de co-creación con estudiantes en el espectro autista.</w:t>
      </w:r>
    </w:p>
    <w:p>
      <w:pPr>
        <w:pStyle w:val="BodyText"/>
      </w:pPr>
      <w:r>
        <w:t xml:space="preserve">La co-creación como enfoque metodológico encuentra respaldo en estudios recientes. Maun et al. (2023), en su revisión sistemática sobre métodos participativos con personas autistas, documentan que el co-diseño favorece resultados más pertinentes cuando incorpora múltiples modalidades de participación adaptadas a las necesidades comunicativas de los usuarios. Maye y Hansen (2025) profundizan este hallazgo al señalar que los proyectos que incluyen a adultos autistas en el diseño participativo emplean infraestructuras específicas para facilitar la participación. El proceso UX de DirexLab refleja esta orientación: moodboards, referentes visuales y ciclos iterativos constituyeron una infraestructura metodológica que permitió articular preferencias que habrían permanecido inaccesibles mediante métodos convencionales.</w:t>
      </w:r>
    </w:p>
    <w:p>
      <w:pPr>
        <w:pStyle w:val="BodyText"/>
      </w:pPr>
      <w:r>
        <w:t xml:space="preserve">Sin embargo, a diferencia de los estudios citados, que se centran predominantemente en el diseño de interfaces digitales o aplicaciones de propósito general, el presente trabajo sitúa la co-creación en el contexto específico de la enseñanza de la composición arquitectónica. Dahlstrom-Hakki et al. (2025) reportan un proceso de co-diseño inclusivo para entornos VR con aprendices neurodiversos, pero su enfoque se orienta hacia la accesibilidad del entorno inmersivo como producto final. Nuestro estudio, en cambio, propone un modelo donde el proceso de co-creación no solo genera un entorno XR más inclusivo, sino que simultáneamente produce conocimiento transferible en forma de criterios de diseño derivados empíricamente. Esta doble función —producción de entorno y producción de conocimiento metodológico— constituye la contribución diferencial del trabajo.</w:t>
      </w:r>
    </w:p>
    <w:p>
      <w:pPr>
        <w:pStyle w:val="BodyText"/>
      </w:pPr>
      <w:r>
        <w:t xml:space="preserve">Es necesario reconocer las limitaciones del estudio. Los hallazgos están condicionados por el contexto institucional de una universidad pública chilena, lo que demanda cautela en su generalización. La accesibilidad a las tecnologías XR sigue siendo una barrera significativa: costos, brechas digitales e infraestructura limitan la escalabilidad del modelo. La construcción de perfiles de usuario basada en categorías diagnósticas simplifica una realidad heterogénea, como se reconoció en la sección metodológica. Finalmente, la muestra de 52 estudiantes, adecuada para investigación cualitativa, no permite generalizaciones estadísticas sobre poblaciones más amplias.</w:t>
      </w:r>
    </w:p>
    <w:bookmarkEnd w:id="37"/>
    <w:bookmarkStart w:id="38" w:name="conclusiones"/>
    <w:p>
      <w:pPr>
        <w:pStyle w:val="Ttulo2"/>
      </w:pPr>
      <w:r>
        <w:t xml:space="preserve">Conclusiones</w:t>
      </w:r>
    </w:p>
    <w:p>
      <w:pPr>
        <w:pStyle w:val="FirstParagraph"/>
      </w:pPr>
      <w:r>
        <w:t xml:space="preserve">Este estudio demuestra que un proceso de co-creación basado en la metodología UX, desarrollado de manera cíclica con la participación directa de estudiantes neurodivergentes, permite identificar criterios de diseño específicos para entornos XR que no serían accesibles mediante aproximaciones exclusivamente técnicas o teóricas. El conocimiento generado se articula en torno a tres aportes centrales. En primer lugar, la neurodivergencia opera como un revelador de necesidades de diseño que benefician al conjunto de los usuarios: criterios como la anticipación mediante señalética, las secuencias que canalizan el hiperfoco y las paletas de baja saturación mejoran la experiencia inmersiva tanto para estudiantes con TDAH o TEA como para los neurotípicos. En segundo lugar, la co-creación produce simultáneamente un entorno XR más inclusivo y un cuerpo de conocimiento metodológico transferible, expresado en el modelo que vincula etapas UX, hallazgos, criterios de diseño, implementación y aprendizaje compositivo. En tercer lugar, el arte cumple una función mediadora al proporcionar un lenguaje visual compartido que conecta la percepción sensorial individual con los principios formales de la composición arquitectónica.</w:t>
      </w:r>
    </w:p>
    <w:p>
      <w:pPr>
        <w:pStyle w:val="BodyText"/>
      </w:pPr>
      <w:r>
        <w:t xml:space="preserve">Estos aportes abren líneas de investigación que requieren desarrollo: examinar cómo los criterios se comportan en contextos institucionales y culturales diferentes, lo que permitiría evaluar la transferibilidad del modelo; incorporar métricas cuantitativas de interacción que complementen la evidencia cualitativa; y explorar neurodivergencias no representadas en la muestra, como la dislexia o la discalculia, cuyas necesidades podrían ampliar el repertorio de criterios.</w:t>
      </w:r>
    </w:p>
    <w:p>
      <w:pPr>
        <w:pStyle w:val="BodyText"/>
      </w:pPr>
      <w:r>
        <w:t xml:space="preserve">Desde una perspectiva práctica, los criterios propuestos ofrecen orientaciones concretas para equipos docentes y de investigación: implementar señalética anticipatoria, estructurar actividades secuenciales con progresión definida, privilegiar formas orgánicas y paletas cromáticas suaves, e incorporar referentes artísticos como dispositivos de mediación compositiva. Estas orientaciones constituyen un marco adaptable que reconoce la singularidad de cada contexto educativo y de cada estudiante.</w:t>
      </w:r>
    </w:p>
    <w:bookmarkEnd w:id="38"/>
    <w:bookmarkStart w:id="39" w:name="referencias"/>
    <w:p>
      <w:pPr>
        <w:pStyle w:val="Ttulo2"/>
      </w:pPr>
      <w:r>
        <w:t xml:space="preserve">Referencias</w:t>
      </w:r>
    </w:p>
    <w:p>
      <w:pPr>
        <w:pStyle w:val="FirstParagraph"/>
      </w:pPr>
      <w:r>
        <w:t xml:space="preserve">Acosta-Silva, A., Ganga-Contreras, F. y Rama-Vitale, C. (2021). Gobernanza universitaria: enfoques y alcances conceptuales.</w:t>
      </w:r>
      <w:r>
        <w:t xml:space="preserve"> </w:t>
      </w:r>
      <w:r>
        <w:rPr>
          <w:i/>
          <w:iCs/>
        </w:rPr>
        <w:t xml:space="preserve">Revista Iberoamericana de Educación Superior</w:t>
      </w:r>
      <w:r>
        <w:t xml:space="preserve">,</w:t>
      </w:r>
      <w:r>
        <w:t xml:space="preserve"> </w:t>
      </w:r>
      <w:r>
        <w:rPr>
          <w:i/>
          <w:iCs/>
        </w:rPr>
        <w:t xml:space="preserve">12</w:t>
      </w:r>
      <w:r>
        <w:t xml:space="preserve">(33), 3–17. https://doi.org/10.22201/iisue.20072872e.2021.33.854</w:t>
      </w:r>
    </w:p>
    <w:p>
      <w:pPr>
        <w:pStyle w:val="BodyText"/>
      </w:pPr>
      <w:r>
        <w:t xml:space="preserve">Aguirre-Villalobos, E. R., Guzmán, C. y González, L. (2023). Metodología Design Thinking en la enseñanza universitaria para el desarrollo y logros de aprendizaje en arquitectura.</w:t>
      </w:r>
      <w:r>
        <w:t xml:space="preserve"> </w:t>
      </w:r>
      <w:r>
        <w:rPr>
          <w:i/>
          <w:iCs/>
        </w:rPr>
        <w:t xml:space="preserve">Revista de Ciencias Sociales</w:t>
      </w:r>
      <w:r>
        <w:t xml:space="preserve">,</w:t>
      </w:r>
      <w:r>
        <w:t xml:space="preserve"> </w:t>
      </w:r>
      <w:r>
        <w:rPr>
          <w:i/>
          <w:iCs/>
        </w:rPr>
        <w:t xml:space="preserve">29</w:t>
      </w:r>
      <w:r>
        <w:t xml:space="preserve">(2), 509–525. https://doi.org/10.31876/rcs.v29i2.39992</w:t>
      </w:r>
    </w:p>
    <w:p>
      <w:pPr>
        <w:pStyle w:val="BodyText"/>
      </w:pPr>
      <w:r>
        <w:t xml:space="preserve">Aguirre-Villalobos, E. R., Godoy-Donoso, D. P., González-Otárola, L. y Ferrer-Mavárez, M. A. (2026). The listening classroom: Professor and cultural change in inclusion for students on the autism spectrum.</w:t>
      </w:r>
      <w:r>
        <w:t xml:space="preserve"> </w:t>
      </w:r>
      <w:r>
        <w:rPr>
          <w:i/>
          <w:iCs/>
        </w:rPr>
        <w:t xml:space="preserve">Social Inclusion</w:t>
      </w:r>
      <w:r>
        <w:t xml:space="preserve">,</w:t>
      </w:r>
      <w:r>
        <w:t xml:space="preserve"> </w:t>
      </w:r>
      <w:r>
        <w:rPr>
          <w:i/>
          <w:iCs/>
        </w:rPr>
        <w:t xml:space="preserve">14</w:t>
      </w:r>
      <w:r>
        <w:t xml:space="preserve">. https://doi.org/10.17645/si.11675</w:t>
      </w:r>
    </w:p>
    <w:p>
      <w:pPr>
        <w:pStyle w:val="BodyText"/>
      </w:pPr>
      <w:r>
        <w:t xml:space="preserve">Baron-Cohen, S. (2017). Editorial Perspective: Neurodiversity – a revolutionary concept for autism and psychiatry.</w:t>
      </w:r>
      <w:r>
        <w:t xml:space="preserve"> </w:t>
      </w:r>
      <w:r>
        <w:rPr>
          <w:i/>
          <w:iCs/>
        </w:rPr>
        <w:t xml:space="preserve">The Journal of Child Psychology and Psychiatry</w:t>
      </w:r>
      <w:r>
        <w:t xml:space="preserve">,</w:t>
      </w:r>
      <w:r>
        <w:t xml:space="preserve"> </w:t>
      </w:r>
      <w:r>
        <w:rPr>
          <w:i/>
          <w:iCs/>
        </w:rPr>
        <w:t xml:space="preserve">58</w:t>
      </w:r>
      <w:r>
        <w:t xml:space="preserve">(6), 744–747. https://doi.org/10.1111/jcpp.12703</w:t>
      </w:r>
    </w:p>
    <w:p>
      <w:pPr>
        <w:pStyle w:val="BodyText"/>
      </w:pPr>
      <w:r>
        <w:t xml:space="preserve">Brandenburger, J. y Janneck, M. (2024). Consideration of people’s design preferences for the development of adaptive user interfaces.</w:t>
      </w:r>
      <w:r>
        <w:t xml:space="preserve"> </w:t>
      </w:r>
      <w:r>
        <w:rPr>
          <w:i/>
          <w:iCs/>
        </w:rPr>
        <w:t xml:space="preserve">i-com</w:t>
      </w:r>
      <w:r>
        <w:t xml:space="preserve">,</w:t>
      </w:r>
      <w:r>
        <w:t xml:space="preserve"> </w:t>
      </w:r>
      <w:r>
        <w:rPr>
          <w:i/>
          <w:iCs/>
        </w:rPr>
        <w:t xml:space="preserve">23</w:t>
      </w:r>
      <w:r>
        <w:t xml:space="preserve">(3), 321–334. https://doi.org/10.1515/icom-2024-0029</w:t>
      </w:r>
    </w:p>
    <w:p>
      <w:pPr>
        <w:pStyle w:val="BodyText"/>
      </w:pPr>
      <w:r>
        <w:t xml:space="preserve">Brunner, J. J. y Ganga-Contreras, F. (2016). Dinámicas de transformación en la educación superior latinoamericana: Desafíos para la gobernanza.</w:t>
      </w:r>
      <w:r>
        <w:t xml:space="preserve"> </w:t>
      </w:r>
      <w:r>
        <w:rPr>
          <w:i/>
          <w:iCs/>
        </w:rPr>
        <w:t xml:space="preserve">Revista Opción</w:t>
      </w:r>
      <w:r>
        <w:t xml:space="preserve">,</w:t>
      </w:r>
      <w:r>
        <w:t xml:space="preserve"> </w:t>
      </w:r>
      <w:r>
        <w:rPr>
          <w:i/>
          <w:iCs/>
        </w:rPr>
        <w:t xml:space="preserve">3</w:t>
      </w:r>
      <w:r>
        <w:t xml:space="preserve">(80), 12–35.</w:t>
      </w:r>
    </w:p>
    <w:p>
      <w:pPr>
        <w:pStyle w:val="BodyText"/>
      </w:pPr>
      <w:r>
        <w:t xml:space="preserve">Bustos-Lopez, G., Aguirre-Villalobos, E. R. y Meingast, K. (2024). XR for transformable and interactive design.</w:t>
      </w:r>
      <w:r>
        <w:t xml:space="preserve"> </w:t>
      </w:r>
      <w:r>
        <w:rPr>
          <w:i/>
          <w:iCs/>
        </w:rPr>
        <w:t xml:space="preserve">Media and Communication</w:t>
      </w:r>
      <w:r>
        <w:t xml:space="preserve">,</w:t>
      </w:r>
      <w:r>
        <w:t xml:space="preserve"> </w:t>
      </w:r>
      <w:r>
        <w:rPr>
          <w:i/>
          <w:iCs/>
        </w:rPr>
        <w:t xml:space="preserve">12</w:t>
      </w:r>
      <w:r>
        <w:t xml:space="preserve">. https://doi.org/10.17645/mac.8603</w:t>
      </w:r>
    </w:p>
    <w:p>
      <w:pPr>
        <w:pStyle w:val="BodyText"/>
      </w:pPr>
      <w:r>
        <w:t xml:space="preserve">Dahlstrom-Hakki, I., Edwards, T., Larsen, J., Alstad, Z., Belton, G., Lougen, D. y Santana, D. (2025). Inclusive VR through inclusive co-design with neurodiverse learners.</w:t>
      </w:r>
      <w:r>
        <w:t xml:space="preserve"> </w:t>
      </w:r>
      <w:r>
        <w:rPr>
          <w:i/>
          <w:iCs/>
        </w:rPr>
        <w:t xml:space="preserve">Immersive Learning Research – Academic</w:t>
      </w:r>
      <w:r>
        <w:t xml:space="preserve">,</w:t>
      </w:r>
      <w:r>
        <w:t xml:space="preserve"> </w:t>
      </w:r>
      <w:r>
        <w:rPr>
          <w:i/>
          <w:iCs/>
        </w:rPr>
        <w:t xml:space="preserve">1</w:t>
      </w:r>
      <w:r>
        <w:t xml:space="preserve">(1), 61–65. https://doi.org/10.56198/ysgp7045</w:t>
      </w:r>
    </w:p>
    <w:p>
      <w:pPr>
        <w:pStyle w:val="BodyText"/>
      </w:pPr>
      <w:r>
        <w:t xml:space="preserve">Gonzales-Otárola, L., Aguirre-Villalobos, E. R. y Ganga-Contreras, F. (2023). Apreciaciones sobre la neurodivergencia de docentes y estudiantes de una entidad educativa pública chilena.</w:t>
      </w:r>
      <w:r>
        <w:t xml:space="preserve"> </w:t>
      </w:r>
      <w:r>
        <w:rPr>
          <w:i/>
          <w:iCs/>
        </w:rPr>
        <w:t xml:space="preserve">Journal of the Academy</w:t>
      </w:r>
      <w:r>
        <w:t xml:space="preserve">,</w:t>
      </w:r>
      <w:r>
        <w:t xml:space="preserve"> </w:t>
      </w:r>
      <w:r>
        <w:rPr>
          <w:i/>
          <w:iCs/>
        </w:rPr>
        <w:t xml:space="preserve">8</w:t>
      </w:r>
      <w:r>
        <w:t xml:space="preserve">, 5–26. https://doi.org/10.47058/joa8.2</w:t>
      </w:r>
    </w:p>
    <w:p>
      <w:pPr>
        <w:pStyle w:val="BodyText"/>
      </w:pPr>
      <w:r>
        <w:t xml:space="preserve">Maun, R., Fabri, M. y Trevorrow, P. (2023). Participatory methods to engage autistic people in the design of digital technology: A systematic literature review.</w:t>
      </w:r>
      <w:r>
        <w:t xml:space="preserve"> </w:t>
      </w:r>
      <w:r>
        <w:rPr>
          <w:i/>
          <w:iCs/>
        </w:rPr>
        <w:t xml:space="preserve">Journal of Autism and Developmental Disorders</w:t>
      </w:r>
      <w:r>
        <w:t xml:space="preserve">,</w:t>
      </w:r>
      <w:r>
        <w:t xml:space="preserve"> </w:t>
      </w:r>
      <w:r>
        <w:rPr>
          <w:i/>
          <w:iCs/>
        </w:rPr>
        <w:t xml:space="preserve">54</w:t>
      </w:r>
      <w:r>
        <w:t xml:space="preserve">(8), 2960–2971. https://doi.org/10.1007/s10803-023-06015-5</w:t>
      </w:r>
    </w:p>
    <w:p>
      <w:pPr>
        <w:pStyle w:val="BodyText"/>
      </w:pPr>
      <w:r>
        <w:t xml:space="preserve">Maye, L. y Hansen, N. B. (2025). Involvement of autistic adults in the participatory design of technology: A scoping review. En</w:t>
      </w:r>
      <w:r>
        <w:t xml:space="preserve"> </w:t>
      </w:r>
      <w:r>
        <w:rPr>
          <w:i/>
          <w:iCs/>
        </w:rPr>
        <w:t xml:space="preserve">Proceedings of the 2025 CHI Conference on Human Factors in Computing Systems</w:t>
      </w:r>
      <w:r>
        <w:t xml:space="preserve"> </w:t>
      </w:r>
      <w:r>
        <w:t xml:space="preserve">(pp. 1–17). ACM. https://doi.org/10.1145/3706598.3713961</w:t>
      </w:r>
    </w:p>
    <w:p>
      <w:pPr>
        <w:pStyle w:val="BodyText"/>
      </w:pPr>
      <w:r>
        <w:t xml:space="preserve">Siervo Briones, L. (2026).</w:t>
      </w:r>
      <w:r>
        <w:t xml:space="preserve"> </w:t>
      </w:r>
      <w:r>
        <w:rPr>
          <w:i/>
          <w:iCs/>
        </w:rPr>
        <w:t xml:space="preserve">Autismo: una nueva forma de mirar: Para familias, profesionales, y todos quienes nos sentimos atraídos por las diferencias</w:t>
      </w:r>
      <w:r>
        <w:t xml:space="preserve">. Ediciones Urano.</w:t>
      </w:r>
    </w:p>
    <w:p>
      <w:pPr>
        <w:pStyle w:val="BodyText"/>
      </w:pPr>
      <w:r>
        <w:t xml:space="preserve">Valverde Olivares, B., Muñoz Araya, L., Valín, J. L., Jarpa Azagra, M., Hidalgo Escobar, R., Cuevas Quezada, I. y Galleguillos Ketterer, C. (2025). XR technologies in inclusive education for neurodivergent children: A systematic review 2020–2024.</w:t>
      </w:r>
      <w:r>
        <w:t xml:space="preserve"> </w:t>
      </w:r>
      <w:r>
        <w:rPr>
          <w:i/>
          <w:iCs/>
        </w:rPr>
        <w:t xml:space="preserve">Children</w:t>
      </w:r>
      <w:r>
        <w:t xml:space="preserve">,</w:t>
      </w:r>
      <w:r>
        <w:t xml:space="preserve"> </w:t>
      </w:r>
      <w:r>
        <w:rPr>
          <w:i/>
          <w:iCs/>
        </w:rPr>
        <w:t xml:space="preserve">12</w:t>
      </w:r>
      <w:r>
        <w:t xml:space="preserve">(11), 1474. https://doi.org/10.3390/children12111474</w:t>
      </w:r>
    </w:p>
    <w:bookmarkEnd w:id="39"/>
    <w:bookmarkEnd w:id="40"/>
    <w:sectPr w:rsidR="00BA7C09" w:rsidRPr="00FA005B" w:rsidSect="002B3F07">
      <w:headerReference r:id="rId13" w:type="default"/>
      <w:headerReference r:id="rId14" w:type="first"/>
      <w:pgSz w:h="16838" w:w="11906"/>
      <w:pgMar w:bottom="2952" w:footer="619" w:gutter="0" w:header="0" w:left="2491" w:right="2491" w:top="2981"/>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E62A" w14:textId="0D9EF369" w:rsidR="002B3F07" w:rsidRDefault="002B3F07">
    <w:pPr>
      <w:spacing w:line="240" w:lineRule="auto"/>
      <w:ind w:left="-2490" w:firstLine="0"/>
      <w:rPr>
        <w:noProof/>
      </w:rPr>
    </w:pPr>
  </w:p>
  <w:p w14:paraId="6BFF1EDA" w14:textId="0390A9D5" w:rsidR="00942169" w:rsidRDefault="00942169" w:rsidP="00942169">
    <w:pPr>
      <w:tabs>
        <w:tab w:val="left" w:pos="4253"/>
      </w:tabs>
      <w:spacing w:line="240" w:lineRule="auto"/>
      <w:ind w:firstLine="0"/>
      <w:rPr>
        <w:rFonts w:ascii="Arial Black" w:eastAsia="Arial Black" w:hAnsi="Arial Black" w:cs="Arial Black"/>
        <w:sz w:val="16"/>
        <w:szCs w:val="16"/>
      </w:rPr>
    </w:pPr>
    <w:r>
      <w:rPr>
        <w:rFonts w:ascii="Arial Black" w:eastAsia="Arial Black" w:hAnsi="Arial Black" w:cs="Arial Black"/>
        <w:sz w:val="16"/>
        <w:szCs w:val="16"/>
      </w:rPr>
      <w:tab/>
    </w:r>
  </w:p>
  <w:p w14:paraId="44429926" w14:textId="6CA8AB54" w:rsidR="00942169" w:rsidRDefault="00942169" w:rsidP="00942169">
    <w:pPr>
      <w:spacing w:line="240" w:lineRule="auto"/>
      <w:ind w:firstLine="0"/>
      <w:rPr>
        <w:rFonts w:ascii="Arial Black" w:eastAsia="Arial Black" w:hAnsi="Arial Black" w:cs="Arial Black"/>
        <w:sz w:val="16"/>
        <w:szCs w:val="16"/>
      </w:rPr>
    </w:pPr>
  </w:p>
  <w:p w14:paraId="1D5E391F" w14:textId="02B9DB90" w:rsidR="00942169" w:rsidRDefault="00942169" w:rsidP="00942169">
    <w:pPr>
      <w:spacing w:line="240" w:lineRule="auto"/>
      <w:ind w:firstLine="0"/>
      <w:rPr>
        <w:rFonts w:ascii="Arial Black" w:eastAsia="Arial Black" w:hAnsi="Arial Black" w:cs="Arial Black"/>
        <w:sz w:val="16"/>
        <w:szCs w:val="16"/>
      </w:rPr>
    </w:pPr>
  </w:p>
  <w:p w14:paraId="2D3093D2" w14:textId="2F28C8DA" w:rsidR="00942169" w:rsidRDefault="00985B81" w:rsidP="00942169">
    <w:pPr>
      <w:spacing w:line="240" w:lineRule="auto"/>
      <w:ind w:firstLine="0"/>
      <w:rPr>
        <w:rFonts w:ascii="Arial Black" w:eastAsia="Arial Black" w:hAnsi="Arial Black" w:cs="Arial Black"/>
        <w:sz w:val="16"/>
        <w:szCs w:val="16"/>
      </w:rPr>
    </w:pPr>
    <w:r>
      <w:rPr>
        <w:noProof/>
      </w:rPr>
      <w:drawing>
        <wp:anchor distT="114300" distB="114300" distL="114300" distR="114300" simplePos="0" relativeHeight="251662336" behindDoc="1" locked="0" layoutInCell="1" hidden="0" allowOverlap="1" wp14:anchorId="56A314E0" wp14:editId="6432306D">
          <wp:simplePos x="0" y="0"/>
          <wp:positionH relativeFrom="column">
            <wp:posOffset>3330575</wp:posOffset>
          </wp:positionH>
          <wp:positionV relativeFrom="paragraph">
            <wp:posOffset>28575</wp:posOffset>
          </wp:positionV>
          <wp:extent cx="991060" cy="633046"/>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991060" cy="633046"/>
                  </a:xfrm>
                  <a:prstGeom prst="rect">
                    <a:avLst/>
                  </a:prstGeom>
                  <a:ln/>
                </pic:spPr>
              </pic:pic>
            </a:graphicData>
          </a:graphic>
          <wp14:sizeRelH relativeFrom="margin">
            <wp14:pctWidth>0</wp14:pctWidth>
          </wp14:sizeRelH>
          <wp14:sizeRelV relativeFrom="margin">
            <wp14:pctHeight>0</wp14:pctHeight>
          </wp14:sizeRelV>
        </wp:anchor>
      </w:drawing>
    </w:r>
  </w:p>
  <w:p w14:paraId="102AB962" w14:textId="003A1572" w:rsidR="00942169" w:rsidRDefault="00985B81" w:rsidP="00942169">
    <w:pPr>
      <w:spacing w:line="240" w:lineRule="auto"/>
      <w:ind w:firstLine="0"/>
      <w:rPr>
        <w:rFonts w:ascii="Arial Black" w:eastAsia="Arial Black" w:hAnsi="Arial Black" w:cs="Arial Black"/>
        <w:sz w:val="16"/>
        <w:szCs w:val="16"/>
      </w:rPr>
    </w:pPr>
    <w:r>
      <w:rPr>
        <w:noProof/>
      </w:rPr>
      <w:drawing>
        <wp:anchor distT="0" distB="0" distL="114300" distR="114300" simplePos="0" relativeHeight="251663360" behindDoc="1" locked="0" layoutInCell="1" allowOverlap="1" wp14:anchorId="5720944D" wp14:editId="6AFCB9D7">
          <wp:simplePos x="0" y="0"/>
          <wp:positionH relativeFrom="column">
            <wp:posOffset>-1270</wp:posOffset>
          </wp:positionH>
          <wp:positionV relativeFrom="paragraph">
            <wp:posOffset>74930</wp:posOffset>
          </wp:positionV>
          <wp:extent cx="1368505" cy="447968"/>
          <wp:effectExtent l="0" t="0" r="3175" b="9525"/>
          <wp:wrapNone/>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368505" cy="447968"/>
                  </a:xfrm>
                  <a:prstGeom prst="rect">
                    <a:avLst/>
                  </a:prstGeom>
                  <a:ln/>
                </pic:spPr>
              </pic:pic>
            </a:graphicData>
          </a:graphic>
          <wp14:sizeRelH relativeFrom="page">
            <wp14:pctWidth>0</wp14:pctWidth>
          </wp14:sizeRelH>
          <wp14:sizeRelV relativeFrom="page">
            <wp14:pctHeight>0</wp14:pctHeight>
          </wp14:sizeRelV>
        </wp:anchor>
      </w:drawing>
    </w:r>
  </w:p>
  <w:p w14:paraId="48C95DF2" w14:textId="1AF842C3" w:rsidR="00942169" w:rsidRDefault="002579D7" w:rsidP="002579D7">
    <w:pPr>
      <w:tabs>
        <w:tab w:val="left" w:pos="6000"/>
      </w:tabs>
      <w:spacing w:line="240" w:lineRule="auto"/>
      <w:ind w:firstLine="0"/>
      <w:rPr>
        <w:rFonts w:ascii="Arial Black" w:eastAsia="Arial Black" w:hAnsi="Arial Black" w:cs="Arial Black"/>
        <w:sz w:val="16"/>
        <w:szCs w:val="16"/>
      </w:rPr>
    </w:pPr>
    <w:r>
      <w:rPr>
        <w:rFonts w:ascii="Arial Black" w:eastAsia="Arial Black" w:hAnsi="Arial Black" w:cs="Arial Black"/>
        <w:sz w:val="16"/>
        <w:szCs w:val="16"/>
      </w:rPr>
      <w:tab/>
    </w:r>
  </w:p>
  <w:p w14:paraId="6F848683" w14:textId="77777777" w:rsidR="00942169" w:rsidRDefault="00942169" w:rsidP="000E3CE2">
    <w:pPr>
      <w:spacing w:line="240" w:lineRule="auto"/>
      <w:ind w:firstLine="720"/>
      <w:rPr>
        <w:rFonts w:ascii="Arial Black" w:eastAsia="Arial Black" w:hAnsi="Arial Black" w:cs="Arial Black"/>
        <w:sz w:val="16"/>
        <w:szCs w:val="16"/>
      </w:rPr>
    </w:pPr>
  </w:p>
  <w:p w14:paraId="0716FFE7" w14:textId="6A05B8BB" w:rsidR="00BA7C09" w:rsidRDefault="00942169" w:rsidP="00942169">
    <w:pPr>
      <w:spacing w:line="240" w:lineRule="auto"/>
      <w:ind w:firstLine="0"/>
    </w:pPr>
    <w:r>
      <w:rPr>
        <w:sz w:val="12"/>
        <w:szCs w:val="12"/>
      </w:rPr>
      <w:t xml:space="preserve">                                                                                  </w: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13C4E" w14:textId="25F159BC" w:rsidR="00BA7C09" w:rsidRDefault="00BA7C09" w:rsidP="00FE64ED"/>
  <w:p w14:paraId="5BA4DE0A" w14:textId="370C38E5" w:rsidR="002B3F07" w:rsidRDefault="002B3F07" w:rsidP="00FE64ED">
    <w:r>
      <w:rPr>
        <w:noProof/>
      </w:rPr>
      <w:drawing>
        <wp:anchor distT="0" distB="0" distL="114300" distR="114300" simplePos="0" relativeHeight="251658240" behindDoc="0" locked="0" layoutInCell="1" allowOverlap="1" wp14:anchorId="46E581DD" wp14:editId="6DD6670E">
          <wp:simplePos x="0" y="0"/>
          <wp:positionH relativeFrom="margin">
            <wp:posOffset>1278255</wp:posOffset>
          </wp:positionH>
          <wp:positionV relativeFrom="paragraph">
            <wp:posOffset>74559</wp:posOffset>
          </wp:positionV>
          <wp:extent cx="1841157" cy="1420639"/>
          <wp:effectExtent l="0" t="0" r="0" b="0"/>
          <wp:wrapNone/>
          <wp:docPr id="8539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157" cy="14206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DCBA5C" w14:textId="77777777" w:rsidR="002B3F07" w:rsidRDefault="002B3F07" w:rsidP="00FE64ED"/>
  <w:p w14:paraId="09B4055A" w14:textId="52B96DD0" w:rsidR="00FE64ED" w:rsidRDefault="00FE64ED" w:rsidP="00FE64ED">
    <w:pPr>
      <w:ind w:firstLine="0"/>
      <w:jc w:val="left"/>
      <w:rPr>
        <w:sz w:val="18"/>
        <w:szCs w:val="18"/>
      </w:rPr>
    </w:pPr>
  </w:p>
  <w:p w14:paraId="1A7D271A" w14:textId="32B7C366" w:rsidR="00FE64ED" w:rsidRDefault="00FE64ED" w:rsidP="00FE64ED">
    <w:pPr>
      <w:ind w:firstLine="0"/>
      <w:jc w:val="left"/>
      <w:rPr>
        <w:sz w:val="18"/>
        <w:szCs w:val="18"/>
      </w:rPr>
    </w:pPr>
  </w:p>
  <w:p w14:paraId="364E12EF" w14:textId="77777777" w:rsidR="00FE64ED" w:rsidRDefault="00FE64ED" w:rsidP="00FE64ED">
    <w:pPr>
      <w:ind w:firstLine="0"/>
      <w:jc w:val="left"/>
      <w:rPr>
        <w:sz w:val="18"/>
        <w:szCs w:val="18"/>
      </w:rPr>
    </w:pPr>
  </w:p>
  <w:p w14:paraId="6AFF1FE9" w14:textId="77777777" w:rsidR="00FE64ED" w:rsidRDefault="00FE64ED" w:rsidP="00FE64ED">
    <w:pPr>
      <w:ind w:firstLine="0"/>
      <w:jc w:val="left"/>
      <w:rPr>
        <w:sz w:val="18"/>
        <w:szCs w:val="18"/>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3"/>
    <w:multiLevelType w:val="singleLevel"/>
    <w:tmpl w:val="7684001A"/>
    <w:lvl w:ilvl="0">
      <w:start w:val="1"/>
      <w:numFmt w:val="bullet"/>
      <w:lvlText w:val=""/>
      <w:lvlJc w:val="left"/>
      <w:pPr>
        <w:tabs>
          <w:tab w:pos="643" w:val="num"/>
        </w:tabs>
        <w:ind w:hanging="360" w:left="643"/>
      </w:pPr>
      <w:rPr>
        <w:rFonts w:ascii="Symbol" w:hAnsi="Symbol" w:hint="default"/>
      </w:rPr>
    </w:lvl>
  </w:abstractNum>
  <w:abstractNum w15:restartNumberingAfterBreak="0" w:abstractNumId="1">
    <w:nsid w:val="0C927D3F"/>
    <w:multiLevelType w:val="multilevel"/>
    <w:tmpl w:val="5EB2344C"/>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
    <w:nsid w:val="11791526"/>
    <w:multiLevelType w:val="multilevel"/>
    <w:tmpl w:val="7C78AD4E"/>
    <w:lvl w:ilvl="0">
      <w:start w:val="1"/>
      <w:numFmt w:val="decimal"/>
      <w:pStyle w:val="07BodyTitle1"/>
      <w:lvlText w:val="%1"/>
      <w:lvlJc w:val="left"/>
      <w:pPr>
        <w:ind w:hanging="567" w:left="567"/>
      </w:pPr>
    </w:lvl>
    <w:lvl w:ilvl="1">
      <w:start w:val="1"/>
      <w:numFmt w:val="decimal"/>
      <w:pStyle w:val="09Title2"/>
      <w:lvlText w:val="%1.%2"/>
      <w:lvlJc w:val="left"/>
      <w:pPr>
        <w:ind w:hanging="567" w:left="567"/>
      </w:pPr>
    </w:lvl>
    <w:lvl w:ilvl="2">
      <w:start w:val="1"/>
      <w:numFmt w:val="decimal"/>
      <w:lvlText w:val="%1.%2.%3"/>
      <w:lvlJc w:val="left"/>
      <w:pPr>
        <w:ind w:hanging="851" w:left="851"/>
      </w:pPr>
    </w:lvl>
    <w:lvl w:ilvl="3">
      <w:start w:val="1"/>
      <w:numFmt w:val="decimal"/>
      <w:lvlText w:val="%1.%2.%3.%4"/>
      <w:lvlJc w:val="left"/>
      <w:pPr>
        <w:ind w:hanging="851" w:left="851"/>
      </w:pPr>
    </w:lvl>
    <w:lvl w:ilvl="4">
      <w:start w:val="1"/>
      <w:numFmt w:val="decimal"/>
      <w:lvlText w:val="%1.%2.%3.%4.%5"/>
      <w:lvlJc w:val="left"/>
      <w:pPr>
        <w:ind w:hanging="964" w:left="964"/>
      </w:pPr>
      <w:rPr>
        <w:rFonts w:ascii="Times New Roman" w:cs="Times New Roman" w:eastAsia="Times New Roman" w:hAnsi="Times New Roman"/>
        <w:b w:val="0"/>
        <w:i/>
        <w:sz w:val="20"/>
        <w:szCs w:val="20"/>
      </w:r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24236394" w:numId="1">
    <w:abstractNumId w:val="2"/>
  </w:num>
  <w:num w16cid:durableId="1757241686" w:numId="2">
    <w:abstractNumId w:val="1"/>
  </w:num>
  <w:num w16cid:durableId="1056053892"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EyMDAxNTOxNDa0NDNQ0lEKTi0uzszPAykwqgUAnfeMJywAAAA="/>
  </w:docVars>
  <w:rsids>
    <w:rsidRoot w:val="00BA7C09"/>
    <w:rsid w:val="00013230"/>
    <w:rsid w:val="00040639"/>
    <w:rsid w:val="00057FFA"/>
    <w:rsid w:val="00096D23"/>
    <w:rsid w:val="000C73F8"/>
    <w:rsid w:val="000E3CE2"/>
    <w:rsid w:val="000F232F"/>
    <w:rsid w:val="000F4B24"/>
    <w:rsid w:val="00100B49"/>
    <w:rsid w:val="00117DB7"/>
    <w:rsid w:val="00132E9A"/>
    <w:rsid w:val="00156124"/>
    <w:rsid w:val="00156BEC"/>
    <w:rsid w:val="00163580"/>
    <w:rsid w:val="00164F92"/>
    <w:rsid w:val="00195EBD"/>
    <w:rsid w:val="001E3F9D"/>
    <w:rsid w:val="001F565E"/>
    <w:rsid w:val="001F6193"/>
    <w:rsid w:val="00223A8A"/>
    <w:rsid w:val="0025445E"/>
    <w:rsid w:val="002579D7"/>
    <w:rsid w:val="00257C05"/>
    <w:rsid w:val="00282C8C"/>
    <w:rsid w:val="00284303"/>
    <w:rsid w:val="0028624A"/>
    <w:rsid w:val="002A4EE3"/>
    <w:rsid w:val="002B3F07"/>
    <w:rsid w:val="002B6475"/>
    <w:rsid w:val="002B76BD"/>
    <w:rsid w:val="002D2673"/>
    <w:rsid w:val="002D6AB5"/>
    <w:rsid w:val="002E13A3"/>
    <w:rsid w:val="002F597C"/>
    <w:rsid w:val="002F7D15"/>
    <w:rsid w:val="00300263"/>
    <w:rsid w:val="00312EE7"/>
    <w:rsid w:val="00332B18"/>
    <w:rsid w:val="003449E9"/>
    <w:rsid w:val="003666E4"/>
    <w:rsid w:val="00383572"/>
    <w:rsid w:val="00386B4B"/>
    <w:rsid w:val="003905A1"/>
    <w:rsid w:val="003C0BB3"/>
    <w:rsid w:val="003C2BE9"/>
    <w:rsid w:val="003E3A27"/>
    <w:rsid w:val="003E5A94"/>
    <w:rsid w:val="003F0416"/>
    <w:rsid w:val="00404466"/>
    <w:rsid w:val="00433CED"/>
    <w:rsid w:val="00472A93"/>
    <w:rsid w:val="00476471"/>
    <w:rsid w:val="00481E6A"/>
    <w:rsid w:val="00482B36"/>
    <w:rsid w:val="004C11A4"/>
    <w:rsid w:val="004F23F2"/>
    <w:rsid w:val="004F4E22"/>
    <w:rsid w:val="00502E33"/>
    <w:rsid w:val="00510F46"/>
    <w:rsid w:val="00517972"/>
    <w:rsid w:val="00574EFA"/>
    <w:rsid w:val="00585658"/>
    <w:rsid w:val="005A05CD"/>
    <w:rsid w:val="005A3BFD"/>
    <w:rsid w:val="005B1F63"/>
    <w:rsid w:val="005C3A27"/>
    <w:rsid w:val="005D299B"/>
    <w:rsid w:val="00601109"/>
    <w:rsid w:val="00613B32"/>
    <w:rsid w:val="00660148"/>
    <w:rsid w:val="006C43CD"/>
    <w:rsid w:val="006C50F7"/>
    <w:rsid w:val="006C53FF"/>
    <w:rsid w:val="006C7F28"/>
    <w:rsid w:val="006D2004"/>
    <w:rsid w:val="006E1388"/>
    <w:rsid w:val="006E2A61"/>
    <w:rsid w:val="006E3F1D"/>
    <w:rsid w:val="006E4425"/>
    <w:rsid w:val="006F22BC"/>
    <w:rsid w:val="0070129B"/>
    <w:rsid w:val="00712142"/>
    <w:rsid w:val="007334C8"/>
    <w:rsid w:val="007364A7"/>
    <w:rsid w:val="007420A9"/>
    <w:rsid w:val="007642EC"/>
    <w:rsid w:val="00783F03"/>
    <w:rsid w:val="00790D11"/>
    <w:rsid w:val="007A559A"/>
    <w:rsid w:val="007A6A3E"/>
    <w:rsid w:val="007A7FED"/>
    <w:rsid w:val="007B06ED"/>
    <w:rsid w:val="007B4556"/>
    <w:rsid w:val="007C1E57"/>
    <w:rsid w:val="007F6ADA"/>
    <w:rsid w:val="0081780C"/>
    <w:rsid w:val="00817E80"/>
    <w:rsid w:val="008278BD"/>
    <w:rsid w:val="00840811"/>
    <w:rsid w:val="00842F93"/>
    <w:rsid w:val="00873E3A"/>
    <w:rsid w:val="008808F6"/>
    <w:rsid w:val="00893C19"/>
    <w:rsid w:val="008D1EB4"/>
    <w:rsid w:val="008E2ED3"/>
    <w:rsid w:val="008E6679"/>
    <w:rsid w:val="008E7667"/>
    <w:rsid w:val="008F4870"/>
    <w:rsid w:val="00942169"/>
    <w:rsid w:val="00961122"/>
    <w:rsid w:val="0098018A"/>
    <w:rsid w:val="00985B81"/>
    <w:rsid w:val="009B31A9"/>
    <w:rsid w:val="009D1E3B"/>
    <w:rsid w:val="00A30D46"/>
    <w:rsid w:val="00A31EEE"/>
    <w:rsid w:val="00A45667"/>
    <w:rsid w:val="00A473E1"/>
    <w:rsid w:val="00AB11D1"/>
    <w:rsid w:val="00B02843"/>
    <w:rsid w:val="00B400E2"/>
    <w:rsid w:val="00B52F78"/>
    <w:rsid w:val="00B64690"/>
    <w:rsid w:val="00B65069"/>
    <w:rsid w:val="00B723CC"/>
    <w:rsid w:val="00B84DCB"/>
    <w:rsid w:val="00BA7C09"/>
    <w:rsid w:val="00BB472D"/>
    <w:rsid w:val="00BE2D09"/>
    <w:rsid w:val="00BE2EC9"/>
    <w:rsid w:val="00BF794A"/>
    <w:rsid w:val="00C0316C"/>
    <w:rsid w:val="00C13465"/>
    <w:rsid w:val="00C1422C"/>
    <w:rsid w:val="00C2728C"/>
    <w:rsid w:val="00C733E5"/>
    <w:rsid w:val="00C75F84"/>
    <w:rsid w:val="00CA65A5"/>
    <w:rsid w:val="00CB0A73"/>
    <w:rsid w:val="00CB0E2E"/>
    <w:rsid w:val="00CB25BE"/>
    <w:rsid w:val="00CE1027"/>
    <w:rsid w:val="00CF1B48"/>
    <w:rsid w:val="00CF1F8A"/>
    <w:rsid w:val="00D04A3D"/>
    <w:rsid w:val="00D3049E"/>
    <w:rsid w:val="00D33E05"/>
    <w:rsid w:val="00D35B41"/>
    <w:rsid w:val="00D521D3"/>
    <w:rsid w:val="00D62A65"/>
    <w:rsid w:val="00D646C1"/>
    <w:rsid w:val="00D7481C"/>
    <w:rsid w:val="00D9152E"/>
    <w:rsid w:val="00D967C3"/>
    <w:rsid w:val="00DA59FC"/>
    <w:rsid w:val="00DC3A17"/>
    <w:rsid w:val="00DC5AE1"/>
    <w:rsid w:val="00DE42C0"/>
    <w:rsid w:val="00DF0349"/>
    <w:rsid w:val="00DF1984"/>
    <w:rsid w:val="00E10782"/>
    <w:rsid w:val="00E127EF"/>
    <w:rsid w:val="00E867D0"/>
    <w:rsid w:val="00E876F5"/>
    <w:rsid w:val="00EA6587"/>
    <w:rsid w:val="00EE1CA7"/>
    <w:rsid w:val="00EF2BE0"/>
    <w:rsid w:val="00EF4B29"/>
    <w:rsid w:val="00F0340D"/>
    <w:rsid w:val="00F041AE"/>
    <w:rsid w:val="00F5616C"/>
    <w:rsid w:val="00F626AD"/>
    <w:rsid w:val="00F6405D"/>
    <w:rsid w:val="00F64C7B"/>
    <w:rsid w:val="00F809EE"/>
    <w:rsid w:val="00FA005B"/>
    <w:rsid w:val="00FA4829"/>
    <w:rsid w:val="00FB2C30"/>
    <w:rsid w:val="00FD47C2"/>
    <w:rsid w:val="00FE11D5"/>
    <w:rsid w:val="00FE64ED"/>
    <w:rsid w:val="00FF160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US"/>
      </w:rPr>
    </w:rPrDefault>
    <w:pPrDefault>
      <w:pPr>
        <w:spacing w:line="276" w:lineRule="auto"/>
      </w:pPr>
    </w:pPrDefault>
  </w:docDefaults>
  <w:latentStyles w:count="376" w:defLockedState="0" w:defQFormat="0" w:defSemiHidden="0" w:defUIPriority="99" w:defUnhideWhenUsed="0">
    <w:lsdException w:name="Normal" w:uiPriority="0"/>
    <w:lsdException w:name="heading 1" w:uiPriority="9"/>
    <w:lsdException w:name="heading 2" w:semiHidden="1" w:uiPriority="9" w:unhideWhenUsed="1"/>
    <w:lsdException w:name="heading 3"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F809EE"/>
    <w:pPr>
      <w:overflowPunct w:val="0"/>
      <w:autoSpaceDE w:val="0"/>
      <w:autoSpaceDN w:val="0"/>
      <w:adjustRightInd w:val="0"/>
      <w:spacing w:line="240" w:lineRule="atLeast"/>
      <w:ind w:firstLine="227"/>
      <w:jc w:val="both"/>
      <w:textAlignment w:val="baseline"/>
    </w:pPr>
    <w:rPr>
      <w:rFonts w:eastAsia="Times New Roman"/>
      <w:lang w:eastAsia="de-DE"/>
    </w:rPr>
  </w:style>
  <w:style w:styleId="Ttulo1" w:type="paragraph">
    <w:name w:val="heading 1"/>
    <w:basedOn w:val="Normal"/>
    <w:next w:val="Normal"/>
    <w:link w:val="Ttulo1Car"/>
    <w:uiPriority w:val="9"/>
    <w:rsid w:val="00D14AEF"/>
    <w:pPr>
      <w:keepNext/>
      <w:keepLines/>
      <w:spacing w:before="480"/>
      <w:outlineLvl w:val="0"/>
    </w:pPr>
    <w:rPr>
      <w:rFonts w:ascii="Cambria" w:hAnsi="Cambria"/>
      <w:b/>
      <w:bCs/>
      <w:color w:val="365F91"/>
      <w:sz w:val="28"/>
      <w:szCs w:val="28"/>
    </w:rPr>
  </w:style>
  <w:style w:styleId="Ttulo2" w:type="paragraph">
    <w:name w:val="heading 2"/>
    <w:basedOn w:val="Normal"/>
    <w:next w:val="Normal"/>
    <w:link w:val="Ttulo2Car"/>
    <w:uiPriority w:val="9"/>
    <w:rsid w:val="00D14AEF"/>
    <w:pPr>
      <w:keepNext/>
      <w:keepLines/>
      <w:spacing w:before="200"/>
      <w:outlineLvl w:val="1"/>
    </w:pPr>
    <w:rPr>
      <w:rFonts w:ascii="Cambria" w:hAnsi="Cambria"/>
      <w:b/>
      <w:bCs/>
      <w:color w:val="4F81BD"/>
      <w:sz w:val="26"/>
      <w:szCs w:val="26"/>
    </w:rPr>
  </w:style>
  <w:style w:styleId="Ttulo3" w:type="paragraph">
    <w:name w:val="heading 3"/>
    <w:basedOn w:val="Normal"/>
    <w:next w:val="Normal"/>
    <w:link w:val="Ttulo3Car"/>
    <w:rsid w:val="00D14AEF"/>
    <w:pPr>
      <w:spacing w:before="360"/>
      <w:ind w:firstLine="0"/>
      <w:outlineLvl w:val="2"/>
    </w:pPr>
  </w:style>
  <w:style w:styleId="Ttulo4" w:type="paragraph">
    <w:name w:val="heading 4"/>
    <w:basedOn w:val="Normal"/>
    <w:next w:val="Normal"/>
    <w:pPr>
      <w:keepNext/>
      <w:keepLines/>
      <w:spacing w:after="80" w:before="280"/>
      <w:outlineLvl w:val="3"/>
    </w:pPr>
    <w:rPr>
      <w:color w:val="666666"/>
      <w:sz w:val="24"/>
      <w:szCs w:val="24"/>
    </w:rPr>
  </w:style>
  <w:style w:styleId="Ttulo5" w:type="paragraph">
    <w:name w:val="heading 5"/>
    <w:basedOn w:val="Normal"/>
    <w:next w:val="Normal"/>
    <w:pPr>
      <w:keepNext/>
      <w:keepLines/>
      <w:spacing w:after="80" w:before="240"/>
      <w:outlineLvl w:val="4"/>
    </w:pPr>
    <w:rPr>
      <w:color w:val="666666"/>
    </w:rPr>
  </w:style>
  <w:style w:styleId="Ttulo6" w:type="paragraph">
    <w:name w:val="heading 6"/>
    <w:basedOn w:val="Normal"/>
    <w:next w:val="Normal"/>
    <w:pPr>
      <w:keepNext/>
      <w:keepLines/>
      <w:spacing w:after="80" w:before="240"/>
      <w:outlineLvl w:val="5"/>
    </w:pPr>
    <w:rPr>
      <w:i/>
      <w:color w:val="666666"/>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10Figure" w:type="paragraph">
    <w:name w:val="10_Figure"/>
    <w:basedOn w:val="Normal"/>
    <w:link w:val="10FigureCar"/>
    <w:qFormat/>
    <w:rsid w:val="006E4425"/>
    <w:pPr>
      <w:keepLines/>
      <w:spacing w:after="240" w:before="120" w:line="240" w:lineRule="auto"/>
      <w:jc w:val="center"/>
    </w:pPr>
    <w:rPr>
      <w:rFonts w:eastAsia="Arial"/>
      <w:b/>
      <w:sz w:val="18"/>
      <w:szCs w:val="18"/>
    </w:rPr>
  </w:style>
  <w:style w:customStyle="1" w:styleId="Ttulo3Car" w:type="character">
    <w:name w:val="Título 3 Car"/>
    <w:link w:val="Ttulo3"/>
    <w:rsid w:val="00D14AEF"/>
    <w:rPr>
      <w:rFonts w:ascii="Times New Roman" w:cs="Times New Roman" w:eastAsia="Times New Roman" w:hAnsi="Times New Roman"/>
      <w:sz w:val="20"/>
      <w:szCs w:val="20"/>
      <w:lang w:eastAsia="de-DE" w:val="en-US"/>
    </w:rPr>
  </w:style>
  <w:style w:customStyle="1" w:styleId="13ReferenceBody" w:type="paragraph">
    <w:name w:val="13_Reference_Body"/>
    <w:basedOn w:val="Normal"/>
    <w:link w:val="13ReferenceBodyCar"/>
    <w:qFormat/>
    <w:rsid w:val="002A4EE3"/>
    <w:pPr>
      <w:pBdr>
        <w:top w:val="nil"/>
        <w:left w:val="nil"/>
        <w:bottom w:val="nil"/>
        <w:right w:val="nil"/>
        <w:between w:val="nil"/>
      </w:pBdr>
      <w:spacing w:after="144" w:line="240" w:lineRule="auto"/>
      <w:ind w:hanging="360" w:left="360"/>
    </w:pPr>
    <w:rPr>
      <w:sz w:val="18"/>
      <w:szCs w:val="18"/>
    </w:rPr>
  </w:style>
  <w:style w:customStyle="1" w:styleId="10FigureCar" w:type="character">
    <w:name w:val="10_Figure Car"/>
    <w:basedOn w:val="Fuentedeprrafopredeter"/>
    <w:link w:val="10Figure"/>
    <w:rsid w:val="006E4425"/>
    <w:rPr>
      <w:b/>
      <w:sz w:val="18"/>
      <w:szCs w:val="18"/>
      <w:lang w:eastAsia="de-DE"/>
    </w:rPr>
  </w:style>
  <w:style w:customStyle="1" w:styleId="11Table" w:type="paragraph">
    <w:name w:val="11_Table"/>
    <w:basedOn w:val="Normal"/>
    <w:link w:val="11TableCar"/>
    <w:qFormat/>
    <w:rsid w:val="002A4EE3"/>
    <w:pPr>
      <w:keepLines/>
      <w:pBdr>
        <w:top w:val="nil"/>
        <w:left w:val="nil"/>
        <w:bottom w:val="nil"/>
        <w:right w:val="nil"/>
        <w:between w:val="nil"/>
      </w:pBdr>
      <w:spacing w:after="240" w:before="120" w:line="240" w:lineRule="auto"/>
      <w:ind w:firstLine="0"/>
      <w:jc w:val="center"/>
    </w:pPr>
    <w:rPr>
      <w:rFonts w:eastAsia="Arial"/>
      <w:b/>
      <w:sz w:val="18"/>
      <w:szCs w:val="18"/>
    </w:rPr>
  </w:style>
  <w:style w:customStyle="1" w:styleId="13ReferenceBodyCar" w:type="character">
    <w:name w:val="13_Reference_Body Car"/>
    <w:basedOn w:val="Fuentedeprrafopredeter"/>
    <w:link w:val="13ReferenceBody"/>
    <w:rsid w:val="002A4EE3"/>
    <w:rPr>
      <w:rFonts w:eastAsia="Times New Roman"/>
      <w:sz w:val="18"/>
      <w:szCs w:val="18"/>
      <w:lang w:eastAsia="de-DE"/>
    </w:rPr>
  </w:style>
  <w:style w:customStyle="1" w:styleId="11TableCar" w:type="character">
    <w:name w:val="11_Table Car"/>
    <w:basedOn w:val="Fuentedeprrafopredeter"/>
    <w:link w:val="11Table"/>
    <w:rsid w:val="002A4EE3"/>
    <w:rPr>
      <w:b/>
      <w:sz w:val="18"/>
      <w:szCs w:val="18"/>
      <w:lang w:eastAsia="de-DE"/>
    </w:rPr>
  </w:style>
  <w:style w:styleId="Refdecomentario" w:type="character">
    <w:name w:val="annotation reference"/>
    <w:basedOn w:val="Fuentedeprrafopredeter"/>
    <w:uiPriority w:val="99"/>
    <w:semiHidden/>
    <w:unhideWhenUsed/>
    <w:rsid w:val="00FA005B"/>
    <w:rPr>
      <w:sz w:val="16"/>
      <w:szCs w:val="16"/>
    </w:rPr>
  </w:style>
  <w:style w:styleId="Textocomentario" w:type="paragraph">
    <w:name w:val="annotation text"/>
    <w:basedOn w:val="Normal"/>
    <w:link w:val="TextocomentarioCar"/>
    <w:uiPriority w:val="99"/>
    <w:semiHidden/>
    <w:unhideWhenUsed/>
    <w:rsid w:val="00FA005B"/>
    <w:pPr>
      <w:spacing w:line="240" w:lineRule="auto"/>
    </w:pPr>
    <w:rPr>
      <w:sz w:val="20"/>
      <w:szCs w:val="20"/>
    </w:rPr>
  </w:style>
  <w:style w:customStyle="1" w:styleId="Ttulo1Car" w:type="character">
    <w:name w:val="Título 1 Car"/>
    <w:link w:val="Ttulo1"/>
    <w:uiPriority w:val="9"/>
    <w:rsid w:val="00D14AEF"/>
    <w:rPr>
      <w:rFonts w:ascii="Cambria" w:cs="Times New Roman" w:eastAsia="Times New Roman" w:hAnsi="Cambria"/>
      <w:b/>
      <w:bCs/>
      <w:color w:val="365F91"/>
      <w:sz w:val="28"/>
      <w:szCs w:val="28"/>
      <w:lang w:eastAsia="de-DE" w:val="en-US"/>
    </w:rPr>
  </w:style>
  <w:style w:customStyle="1" w:styleId="Ttulo2Car" w:type="character">
    <w:name w:val="Título 2 Car"/>
    <w:link w:val="Ttulo2"/>
    <w:uiPriority w:val="9"/>
    <w:semiHidden/>
    <w:rsid w:val="00D14AEF"/>
    <w:rPr>
      <w:rFonts w:ascii="Cambria" w:cs="Times New Roman" w:eastAsia="Times New Roman" w:hAnsi="Cambria"/>
      <w:b/>
      <w:bCs/>
      <w:color w:val="4F81BD"/>
      <w:sz w:val="26"/>
      <w:szCs w:val="26"/>
      <w:lang w:eastAsia="de-DE" w:val="en-US"/>
    </w:rPr>
  </w:style>
  <w:style w:styleId="Mapadeldocumento" w:type="paragraph">
    <w:name w:val="Document Map"/>
    <w:basedOn w:val="Normal"/>
    <w:link w:val="MapadeldocumentoCar"/>
    <w:uiPriority w:val="99"/>
    <w:semiHidden/>
    <w:unhideWhenUsed/>
    <w:rsid w:val="00D14AEF"/>
    <w:pPr>
      <w:spacing w:line="240" w:lineRule="auto"/>
    </w:pPr>
    <w:rPr>
      <w:rFonts w:ascii="Tahoma" w:cs="Tahoma" w:hAnsi="Tahoma"/>
      <w:sz w:val="16"/>
      <w:szCs w:val="16"/>
    </w:rPr>
  </w:style>
  <w:style w:customStyle="1" w:styleId="MapadeldocumentoCar" w:type="character">
    <w:name w:val="Mapa del documento Car"/>
    <w:link w:val="Mapadeldocumento"/>
    <w:uiPriority w:val="99"/>
    <w:semiHidden/>
    <w:rsid w:val="00D14AEF"/>
    <w:rPr>
      <w:rFonts w:ascii="Tahoma" w:cs="Tahoma" w:eastAsia="Times New Roman" w:hAnsi="Tahoma"/>
      <w:sz w:val="16"/>
      <w:szCs w:val="16"/>
      <w:lang w:eastAsia="de-DE" w:val="en-US"/>
    </w:rPr>
  </w:style>
  <w:style w:styleId="Textodeglobo" w:type="paragraph">
    <w:name w:val="Balloon Text"/>
    <w:basedOn w:val="Normal"/>
    <w:link w:val="TextodegloboCar"/>
    <w:uiPriority w:val="99"/>
    <w:semiHidden/>
    <w:unhideWhenUsed/>
    <w:rsid w:val="00D14AEF"/>
    <w:pPr>
      <w:spacing w:line="240" w:lineRule="auto"/>
    </w:pPr>
    <w:rPr>
      <w:rFonts w:ascii="Tahoma" w:cs="Tahoma" w:hAnsi="Tahoma"/>
      <w:sz w:val="16"/>
      <w:szCs w:val="16"/>
    </w:rPr>
  </w:style>
  <w:style w:customStyle="1" w:styleId="TextodegloboCar" w:type="character">
    <w:name w:val="Texto de globo Car"/>
    <w:link w:val="Textodeglobo"/>
    <w:uiPriority w:val="99"/>
    <w:semiHidden/>
    <w:rsid w:val="00D14AEF"/>
    <w:rPr>
      <w:rFonts w:ascii="Tahoma" w:cs="Tahoma" w:eastAsia="Times New Roman" w:hAnsi="Tahoma"/>
      <w:sz w:val="16"/>
      <w:szCs w:val="16"/>
      <w:lang w:eastAsia="de-DE" w:val="en-US"/>
    </w:rPr>
  </w:style>
  <w:style w:styleId="Textonotapie" w:type="paragraph">
    <w:name w:val="footnote text"/>
    <w:basedOn w:val="Normal"/>
    <w:link w:val="TextonotapieCar"/>
    <w:uiPriority w:val="99"/>
    <w:semiHidden/>
    <w:unhideWhenUsed/>
    <w:rsid w:val="005C69E1"/>
    <w:pPr>
      <w:spacing w:line="240" w:lineRule="auto"/>
    </w:pPr>
  </w:style>
  <w:style w:customStyle="1" w:styleId="TextonotapieCar" w:type="character">
    <w:name w:val="Texto nota pie Car"/>
    <w:link w:val="Textonotapie"/>
    <w:uiPriority w:val="99"/>
    <w:semiHidden/>
    <w:rsid w:val="005C69E1"/>
    <w:rPr>
      <w:rFonts w:ascii="Times New Roman" w:cs="Times New Roman" w:eastAsia="Times New Roman" w:hAnsi="Times New Roman"/>
      <w:sz w:val="20"/>
      <w:szCs w:val="20"/>
      <w:lang w:eastAsia="de-DE" w:val="en-US"/>
    </w:rPr>
  </w:style>
  <w:style w:styleId="Refdenotaalpie" w:type="character">
    <w:name w:val="footnote reference"/>
    <w:uiPriority w:val="99"/>
    <w:semiHidden/>
    <w:unhideWhenUsed/>
    <w:rsid w:val="005C69E1"/>
    <w:rPr>
      <w:vertAlign w:val="superscript"/>
    </w:rPr>
  </w:style>
  <w:style w:customStyle="1" w:styleId="2" w:type="table">
    <w:name w:val="2"/>
    <w:basedOn w:val="Tablanormal"/>
    <w:tblPr>
      <w:tblStyleRowBandSize w:val="1"/>
      <w:tblStyleColBandSize w:val="1"/>
      <w:tblCellMar>
        <w:top w:type="dxa" w:w="100"/>
        <w:left w:type="dxa" w:w="100"/>
        <w:bottom w:type="dxa" w:w="100"/>
        <w:right w:type="dxa" w:w="100"/>
      </w:tblCellMar>
    </w:tblPr>
  </w:style>
  <w:style w:customStyle="1" w:styleId="1" w:type="table">
    <w:name w:val="1"/>
    <w:basedOn w:val="Tablanormal"/>
    <w:tblPr>
      <w:tblStyleRowBandSize w:val="1"/>
      <w:tblStyleColBandSize w:val="1"/>
      <w:tblCellMar>
        <w:top w:type="dxa" w:w="100"/>
        <w:left w:type="dxa" w:w="100"/>
        <w:bottom w:type="dxa" w:w="100"/>
        <w:right w:type="dxa" w:w="100"/>
      </w:tblCellMar>
    </w:tblPr>
  </w:style>
  <w:style w:customStyle="1" w:styleId="UnresolvedMention1" w:type="character">
    <w:name w:val="Unresolved Mention1"/>
    <w:basedOn w:val="Fuentedeprrafopredeter"/>
    <w:uiPriority w:val="99"/>
    <w:semiHidden/>
    <w:unhideWhenUsed/>
    <w:rsid w:val="008E7667"/>
    <w:rPr>
      <w:color w:val="605E5C"/>
      <w:shd w:color="auto" w:fill="E1DFDD" w:val="clear"/>
    </w:rPr>
  </w:style>
  <w:style w:customStyle="1" w:styleId="TextocomentarioCar" w:type="character">
    <w:name w:val="Texto comentario Car"/>
    <w:basedOn w:val="Fuentedeprrafopredeter"/>
    <w:link w:val="Textocomentario"/>
    <w:uiPriority w:val="99"/>
    <w:semiHidden/>
    <w:rsid w:val="00FA005B"/>
    <w:rPr>
      <w:rFonts w:ascii="Times New Roman" w:eastAsia="Times New Roman" w:hAnsi="Times New Roman"/>
      <w:sz w:val="20"/>
      <w:szCs w:val="20"/>
      <w:lang w:eastAsia="de-DE"/>
    </w:rPr>
  </w:style>
  <w:style w:styleId="Asuntodelcomentario" w:type="paragraph">
    <w:name w:val="annotation subject"/>
    <w:basedOn w:val="Textocomentario"/>
    <w:next w:val="Textocomentario"/>
    <w:link w:val="AsuntodelcomentarioCar"/>
    <w:uiPriority w:val="99"/>
    <w:semiHidden/>
    <w:unhideWhenUsed/>
    <w:rsid w:val="00FA005B"/>
    <w:rPr>
      <w:b/>
      <w:bCs/>
    </w:rPr>
  </w:style>
  <w:style w:customStyle="1" w:styleId="AsuntodelcomentarioCar" w:type="character">
    <w:name w:val="Asunto del comentario Car"/>
    <w:basedOn w:val="TextocomentarioCar"/>
    <w:link w:val="Asuntodelcomentario"/>
    <w:uiPriority w:val="99"/>
    <w:semiHidden/>
    <w:rsid w:val="00FA005B"/>
    <w:rPr>
      <w:rFonts w:ascii="Times New Roman" w:eastAsia="Times New Roman" w:hAnsi="Times New Roman"/>
      <w:b/>
      <w:bCs/>
      <w:sz w:val="20"/>
      <w:szCs w:val="20"/>
      <w:lang w:eastAsia="de-DE"/>
    </w:rPr>
  </w:style>
  <w:style w:customStyle="1" w:styleId="00PaperTitle" w:type="paragraph">
    <w:name w:val="00_Paper_Title"/>
    <w:basedOn w:val="Normal"/>
    <w:link w:val="00PaperTitleChar"/>
    <w:qFormat/>
    <w:rsid w:val="00CB0A73"/>
    <w:pPr>
      <w:pBdr>
        <w:top w:val="nil"/>
        <w:left w:val="nil"/>
        <w:bottom w:val="nil"/>
        <w:right w:val="nil"/>
        <w:between w:val="nil"/>
      </w:pBdr>
      <w:spacing w:after="1200" w:line="240" w:lineRule="auto"/>
      <w:ind w:firstLine="0"/>
      <w:jc w:val="center"/>
    </w:pPr>
    <w:rPr>
      <w:rFonts w:eastAsia="Arial"/>
      <w:b/>
      <w:sz w:val="28"/>
      <w:szCs w:val="28"/>
    </w:rPr>
  </w:style>
  <w:style w:customStyle="1" w:styleId="02AuthorName" w:type="paragraph">
    <w:name w:val="02_Author_Name"/>
    <w:basedOn w:val="Normal"/>
    <w:link w:val="02AuthorNameCar"/>
    <w:qFormat/>
    <w:locked/>
    <w:rsid w:val="00CB0A73"/>
    <w:pPr>
      <w:pBdr>
        <w:top w:val="nil"/>
        <w:left w:val="nil"/>
        <w:bottom w:val="nil"/>
        <w:right w:val="nil"/>
        <w:between w:val="nil"/>
      </w:pBdr>
      <w:spacing w:after="360" w:line="240" w:lineRule="auto"/>
      <w:ind w:firstLine="0"/>
      <w:jc w:val="center"/>
    </w:pPr>
    <w:rPr>
      <w:rFonts w:eastAsia="Arial"/>
      <w:sz w:val="20"/>
      <w:szCs w:val="20"/>
    </w:rPr>
  </w:style>
  <w:style w:customStyle="1" w:styleId="00PaperTitleChar" w:type="character">
    <w:name w:val="00_Paper_Title Char"/>
    <w:basedOn w:val="Fuentedeprrafopredeter"/>
    <w:link w:val="00PaperTitle"/>
    <w:rsid w:val="00CB0A73"/>
    <w:rPr>
      <w:b/>
      <w:sz w:val="28"/>
      <w:szCs w:val="28"/>
      <w:lang w:eastAsia="de-DE"/>
    </w:rPr>
  </w:style>
  <w:style w:customStyle="1" w:styleId="03InstitutionName" w:type="paragraph">
    <w:name w:val="03_Institution_Name"/>
    <w:basedOn w:val="02AuthorName"/>
    <w:link w:val="03InstitutionNameCar"/>
    <w:autoRedefine/>
    <w:qFormat/>
    <w:locked/>
    <w:rsid w:val="004C11A4"/>
    <w:pPr>
      <w:spacing w:after="0"/>
    </w:pPr>
    <w:rPr>
      <w:sz w:val="18"/>
      <w:szCs w:val="18"/>
    </w:rPr>
  </w:style>
  <w:style w:customStyle="1" w:styleId="02AuthorNameCar" w:type="character">
    <w:name w:val="02_Author_Name Car"/>
    <w:basedOn w:val="Fuentedeprrafopredeter"/>
    <w:link w:val="02AuthorName"/>
    <w:rsid w:val="00CB0A73"/>
    <w:rPr>
      <w:sz w:val="20"/>
      <w:szCs w:val="20"/>
      <w:lang w:eastAsia="de-DE"/>
    </w:rPr>
  </w:style>
  <w:style w:customStyle="1" w:styleId="05Abstract" w:type="paragraph">
    <w:name w:val="05_Abstract"/>
    <w:basedOn w:val="Normal"/>
    <w:link w:val="05AbstractCar"/>
    <w:qFormat/>
    <w:rsid w:val="004C11A4"/>
    <w:pPr>
      <w:pBdr>
        <w:top w:val="nil"/>
        <w:left w:val="nil"/>
        <w:bottom w:val="nil"/>
        <w:right w:val="nil"/>
        <w:between w:val="nil"/>
      </w:pBdr>
      <w:tabs>
        <w:tab w:pos="6300" w:val="left"/>
      </w:tabs>
      <w:spacing w:after="360" w:before="600" w:line="240" w:lineRule="auto"/>
      <w:ind w:firstLine="0"/>
    </w:pPr>
    <w:rPr>
      <w:rFonts w:eastAsia="Arial"/>
      <w:b/>
      <w:color w:val="000000"/>
      <w:sz w:val="18"/>
      <w:szCs w:val="18"/>
    </w:rPr>
  </w:style>
  <w:style w:customStyle="1" w:styleId="03InstitutionNameCar" w:type="character">
    <w:name w:val="03_Institution_Name Car"/>
    <w:basedOn w:val="Fuentedeprrafopredeter"/>
    <w:link w:val="03InstitutionName"/>
    <w:rsid w:val="004C11A4"/>
    <w:rPr>
      <w:sz w:val="18"/>
      <w:szCs w:val="18"/>
      <w:lang w:eastAsia="de-DE"/>
    </w:rPr>
  </w:style>
  <w:style w:customStyle="1" w:styleId="07BodyTitle1" w:type="paragraph">
    <w:name w:val="07_Body_Title_1"/>
    <w:basedOn w:val="Normal"/>
    <w:link w:val="07BodyTitle1Car"/>
    <w:qFormat/>
    <w:rsid w:val="004C11A4"/>
    <w:pPr>
      <w:keepNext/>
      <w:keepLines/>
      <w:numPr>
        <w:numId w:val="1"/>
      </w:numPr>
      <w:pBdr>
        <w:top w:val="nil"/>
        <w:left w:val="nil"/>
        <w:bottom w:val="nil"/>
        <w:right w:val="nil"/>
        <w:between w:val="nil"/>
      </w:pBdr>
      <w:spacing w:after="240" w:before="600" w:line="240" w:lineRule="auto"/>
    </w:pPr>
    <w:rPr>
      <w:rFonts w:eastAsia="Arial"/>
      <w:b/>
      <w:color w:val="000000"/>
      <w:sz w:val="24"/>
      <w:szCs w:val="24"/>
    </w:rPr>
  </w:style>
  <w:style w:customStyle="1" w:styleId="05AbstractCar" w:type="character">
    <w:name w:val="05_Abstract Car"/>
    <w:basedOn w:val="Fuentedeprrafopredeter"/>
    <w:link w:val="05Abstract"/>
    <w:rsid w:val="004C11A4"/>
    <w:rPr>
      <w:b/>
      <w:color w:val="000000"/>
      <w:sz w:val="18"/>
      <w:szCs w:val="18"/>
      <w:lang w:eastAsia="de-DE"/>
    </w:rPr>
  </w:style>
  <w:style w:customStyle="1" w:styleId="08Body" w:type="paragraph">
    <w:name w:val="08_Body"/>
    <w:basedOn w:val="Normal"/>
    <w:link w:val="08BodyCar"/>
    <w:autoRedefine/>
    <w:qFormat/>
    <w:rsid w:val="00117DB7"/>
    <w:pPr>
      <w:pBdr>
        <w:top w:val="nil"/>
        <w:left w:val="nil"/>
        <w:bottom w:val="nil"/>
        <w:right w:val="nil"/>
        <w:between w:val="nil"/>
      </w:pBdr>
      <w:ind w:firstLine="284"/>
      <w:contextualSpacing/>
    </w:pPr>
    <w:rPr>
      <w:rFonts w:eastAsia="Arial"/>
      <w:sz w:val="20"/>
      <w:szCs w:val="20"/>
    </w:rPr>
  </w:style>
  <w:style w:customStyle="1" w:styleId="07BodyTitle1Car" w:type="character">
    <w:name w:val="07_Body_Title_1 Car"/>
    <w:basedOn w:val="Fuentedeprrafopredeter"/>
    <w:link w:val="07BodyTitle1"/>
    <w:rsid w:val="004C11A4"/>
    <w:rPr>
      <w:b/>
      <w:color w:val="000000"/>
      <w:sz w:val="24"/>
      <w:szCs w:val="24"/>
      <w:lang w:eastAsia="de-DE"/>
    </w:rPr>
  </w:style>
  <w:style w:customStyle="1" w:styleId="09Title2" w:type="paragraph">
    <w:name w:val="09_Title_2"/>
    <w:basedOn w:val="Normal"/>
    <w:link w:val="09Title2Car"/>
    <w:qFormat/>
    <w:rsid w:val="007A6A3E"/>
    <w:pPr>
      <w:keepNext/>
      <w:keepLines/>
      <w:numPr>
        <w:ilvl w:val="1"/>
        <w:numId w:val="1"/>
      </w:numPr>
      <w:pBdr>
        <w:top w:val="nil"/>
        <w:left w:val="nil"/>
        <w:bottom w:val="nil"/>
        <w:right w:val="nil"/>
        <w:between w:val="nil"/>
      </w:pBdr>
      <w:spacing w:after="160" w:before="360" w:line="240" w:lineRule="auto"/>
    </w:pPr>
    <w:rPr>
      <w:rFonts w:eastAsia="Arial"/>
      <w:b/>
      <w:sz w:val="20"/>
      <w:szCs w:val="20"/>
    </w:rPr>
  </w:style>
  <w:style w:customStyle="1" w:styleId="08BodyCar" w:type="character">
    <w:name w:val="08_Body Car"/>
    <w:basedOn w:val="Fuentedeprrafopredeter"/>
    <w:link w:val="08Body"/>
    <w:rsid w:val="00117DB7"/>
    <w:rPr>
      <w:sz w:val="20"/>
      <w:szCs w:val="20"/>
      <w:lang w:eastAsia="de-DE"/>
    </w:rPr>
  </w:style>
  <w:style w:customStyle="1" w:styleId="12ReferencesTitle" w:type="paragraph">
    <w:name w:val="12_References_Title"/>
    <w:basedOn w:val="Normal"/>
    <w:link w:val="12ReferencesTitleCar"/>
    <w:qFormat/>
    <w:rsid w:val="00873E3A"/>
    <w:pPr>
      <w:ind w:firstLine="0"/>
    </w:pPr>
    <w:rPr>
      <w:rFonts w:eastAsia="Arial"/>
      <w:b/>
      <w:color w:val="000000"/>
      <w:sz w:val="24"/>
      <w:szCs w:val="24"/>
    </w:rPr>
  </w:style>
  <w:style w:customStyle="1" w:styleId="09Title2Car" w:type="character">
    <w:name w:val="09_Title_2 Car"/>
    <w:basedOn w:val="Fuentedeprrafopredeter"/>
    <w:link w:val="09Title2"/>
    <w:rsid w:val="007A6A3E"/>
    <w:rPr>
      <w:b/>
      <w:sz w:val="20"/>
      <w:szCs w:val="20"/>
      <w:lang w:eastAsia="de-DE"/>
    </w:rPr>
  </w:style>
  <w:style w:customStyle="1" w:styleId="12ReferencesTitleCar" w:type="character">
    <w:name w:val="12_References_Title Car"/>
    <w:basedOn w:val="Fuentedeprrafopredeter"/>
    <w:link w:val="12ReferencesTitle"/>
    <w:rsid w:val="00873E3A"/>
    <w:rPr>
      <w:b/>
      <w:color w:val="000000"/>
      <w:sz w:val="24"/>
      <w:szCs w:val="24"/>
      <w:lang w:eastAsia="de-DE"/>
    </w:rPr>
  </w:style>
  <w:style w:styleId="Encabezado" w:type="paragraph">
    <w:name w:val="header"/>
    <w:basedOn w:val="Normal"/>
    <w:link w:val="EncabezadoCar"/>
    <w:uiPriority w:val="99"/>
    <w:unhideWhenUsed/>
    <w:rsid w:val="005D299B"/>
    <w:pPr>
      <w:tabs>
        <w:tab w:pos="4513" w:val="center"/>
        <w:tab w:pos="9026" w:val="right"/>
      </w:tabs>
      <w:spacing w:line="240" w:lineRule="auto"/>
    </w:pPr>
  </w:style>
  <w:style w:customStyle="1" w:styleId="EncabezadoCar" w:type="character">
    <w:name w:val="Encabezado Car"/>
    <w:basedOn w:val="Fuentedeprrafopredeter"/>
    <w:link w:val="Encabezado"/>
    <w:uiPriority w:val="99"/>
    <w:rsid w:val="005D299B"/>
    <w:rPr>
      <w:rFonts w:eastAsia="Times New Roman"/>
      <w:lang w:eastAsia="de-DE"/>
    </w:rPr>
  </w:style>
  <w:style w:styleId="Piedepgina" w:type="paragraph">
    <w:name w:val="footer"/>
    <w:basedOn w:val="Normal"/>
    <w:link w:val="PiedepginaCar"/>
    <w:uiPriority w:val="99"/>
    <w:unhideWhenUsed/>
    <w:rsid w:val="005D299B"/>
    <w:pPr>
      <w:tabs>
        <w:tab w:pos="4513" w:val="center"/>
        <w:tab w:pos="9026" w:val="right"/>
      </w:tabs>
      <w:spacing w:line="240" w:lineRule="auto"/>
    </w:pPr>
  </w:style>
  <w:style w:customStyle="1" w:styleId="PiedepginaCar" w:type="character">
    <w:name w:val="Pie de página Car"/>
    <w:basedOn w:val="Fuentedeprrafopredeter"/>
    <w:link w:val="Piedepgina"/>
    <w:uiPriority w:val="99"/>
    <w:rsid w:val="005D299B"/>
    <w:rPr>
      <w:rFonts w:eastAsia="Times New Roman"/>
      <w:lang w:eastAsia="de-DE"/>
    </w:rPr>
  </w:style>
  <w:style w:customStyle="1" w:styleId="04e-Mails" w:type="paragraph">
    <w:name w:val="04_e-Mails"/>
    <w:basedOn w:val="02AuthorName"/>
    <w:rsid w:val="00E10782"/>
    <w:rPr>
      <w:sz w:val="18"/>
      <w:lang w:val="en-GB"/>
    </w:rPr>
  </w:style>
  <w:style w:styleId="Hipervnculo" w:type="character">
    <w:name w:val="Hyperlink"/>
    <w:basedOn w:val="Fuentedeprrafopredeter"/>
    <w:uiPriority w:val="99"/>
    <w:unhideWhenUsed/>
    <w:rsid w:val="00F626AD"/>
    <w:rPr>
      <w:color w:themeColor="hyperlink" w:val="0563C1"/>
      <w:u w:val="single"/>
    </w:rPr>
  </w:style>
  <w:style w:styleId="Mencinsinresolver" w:type="character">
    <w:name w:val="Unresolved Mention"/>
    <w:basedOn w:val="Fuentedeprrafopredeter"/>
    <w:uiPriority w:val="99"/>
    <w:semiHidden/>
    <w:unhideWhenUsed/>
    <w:rsid w:val="00F626AD"/>
    <w:rPr>
      <w:color w:val="605E5C"/>
      <w:shd w:color="auto" w:fill="E1DFDD" w:val="clear"/>
    </w:rPr>
  </w:style>
  <w:style w:customStyle="1" w:styleId="06Keywords" w:type="paragraph">
    <w:name w:val="06_Keywords"/>
    <w:basedOn w:val="05Abstract"/>
    <w:rsid w:val="00C733E5"/>
    <w:rPr>
      <w:b w:val="0"/>
      <w:bCs/>
    </w:rPr>
  </w:style>
  <w:style w:customStyle="1" w:styleId="10Figurementionedintext" w:type="paragraph">
    <w:name w:val="10_Figure mentioned in text"/>
    <w:basedOn w:val="08Body"/>
    <w:link w:val="10FigurementionedintextChar"/>
    <w:qFormat/>
    <w:rsid w:val="00040639"/>
  </w:style>
  <w:style w:customStyle="1" w:styleId="01PaperSubtitle" w:type="paragraph">
    <w:name w:val="01_Paper_Subtitle"/>
    <w:basedOn w:val="00PaperTitle"/>
    <w:link w:val="01PaperSubtitleChar"/>
    <w:qFormat/>
    <w:rsid w:val="00FD47C2"/>
  </w:style>
  <w:style w:customStyle="1" w:styleId="01PaperSubtitleChar" w:type="character">
    <w:name w:val="01_Paper_Subtitle Char"/>
    <w:basedOn w:val="00PaperTitleChar"/>
    <w:link w:val="01PaperSubtitle"/>
    <w:rsid w:val="00FD47C2"/>
    <w:rPr>
      <w:b/>
      <w:sz w:val="28"/>
      <w:szCs w:val="28"/>
      <w:lang w:eastAsia="de-DE"/>
    </w:rPr>
  </w:style>
  <w:style w:customStyle="1" w:styleId="11Tablementionedintext" w:type="paragraph">
    <w:name w:val="11_Table mentioned in text"/>
    <w:basedOn w:val="10Figurementionedintext"/>
    <w:link w:val="11TablementionedintextChar"/>
    <w:qFormat/>
    <w:rsid w:val="006C50F7"/>
  </w:style>
  <w:style w:customStyle="1" w:styleId="10FigurementionedintextChar" w:type="character">
    <w:name w:val="10_Figure mentioned in text Char"/>
    <w:basedOn w:val="08BodyCar"/>
    <w:link w:val="10Figurementionedintext"/>
    <w:rsid w:val="006C50F7"/>
    <w:rPr>
      <w:sz w:val="20"/>
      <w:szCs w:val="20"/>
      <w:lang w:eastAsia="de-DE"/>
    </w:rPr>
  </w:style>
  <w:style w:customStyle="1" w:styleId="11TablementionedintextChar" w:type="character">
    <w:name w:val="11_Table mentioned in text Char"/>
    <w:basedOn w:val="10FigurementionedintextChar"/>
    <w:link w:val="11Tablementionedintext"/>
    <w:rsid w:val="006C50F7"/>
    <w:rPr>
      <w:sz w:val="20"/>
      <w:szCs w:val="20"/>
      <w:lang w:eastAsia="de-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1.xml" Type="http://schemas.openxmlformats.org/officeDocument/2006/relationships/header" /><Relationship Id="rId9" Target="media/image1.png" Type="http://schemas.openxmlformats.org/officeDocument/2006/relationships/image" /><Relationship Id="rId14" Target="header2.xml" Type="http://schemas.openxmlformats.org/officeDocument/2006/relationships/header"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1432</Words>
  <Characters>8166</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2026-06-30T00:12:26Z</dcterms:created>
  <dcterms:modified xsi:type="dcterms:W3CDTF">2026-06-30T00:12:26Z</dcterms:modified>
</cp:coreProperties>
</file>

<file path=docProps/custom.xml><?xml version="1.0" encoding="utf-8"?>
<Properties xmlns="http://schemas.openxmlformats.org/officeDocument/2006/custom-properties" xmlns:vt="http://schemas.openxmlformats.org/officeDocument/2006/docPropsVTypes"/>
</file>