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64" w:rsidRPr="00437064" w:rsidRDefault="00437064" w:rsidP="004370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  <w:t>Medical Costs Analysis — Exploratory Data Analysis, Preprocessing, and Insights</w:t>
      </w:r>
    </w:p>
    <w:p w:rsidR="00437064" w:rsidRPr="007A707E" w:rsidRDefault="00437064" w:rsidP="007A7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Dataset: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Medical Cost Personal Datasets (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insurance.csv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br/>
      </w:r>
      <w:r w:rsidR="004A3378" w:rsidRPr="004A3378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pict>
          <v:rect id="_x0000_i1025" style="width:0;height:1.5pt" o:hralign="center" o:hrstd="t" o:hr="t" fillcolor="#a0a0a0" stroked="f"/>
        </w:pict>
      </w:r>
    </w:p>
    <w:p w:rsidR="007A707E" w:rsidRPr="007A707E" w:rsidRDefault="007A707E" w:rsidP="007A7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7A70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Planned idea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 xml:space="preserve"> and goal</w:t>
      </w:r>
      <w:r w:rsidRPr="007A70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:</w:t>
      </w:r>
    </w:p>
    <w:p w:rsidR="007A707E" w:rsidRPr="007A707E" w:rsidRDefault="007A707E" w:rsidP="007A7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 main idea of this project is </w:t>
      </w:r>
      <w:r w:rsidRPr="007A707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analyzing medical insurance costs based on various factors such as age, gender, BMI, number of dependents, smoking habits, and residential region.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The</w:t>
      </w:r>
      <w:r w:rsidRPr="007A707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goal is to explore the “Medical Cost Personal Datasets” to uncover patterns and insights that could inform pricing strategies, risk assessment, and personalized health care planning.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Executive Summary</w:t>
      </w:r>
    </w:p>
    <w:p w:rsidR="004D5EDC" w:rsidRPr="002A5ED9" w:rsidRDefault="00437064" w:rsidP="002A5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This report summarizes an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expl</w:t>
      </w:r>
      <w:r w:rsidR="002A5ED9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O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ratory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data analysis (EDA) and preprocessing pipeline performed on the Medical Cost Personal dataset. The objective was to understand how demographic and health-related features (age, sex, BMI, children, smoking status, </w:t>
      </w: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region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 relate to annual insurance charges</w:t>
      </w:r>
      <w:r w:rsidR="00C43650" w:rsidRPr="0098265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4D5EDC" w:rsidRPr="00B0503F" w:rsidRDefault="004D5EDC" w:rsidP="004D5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Our Solution and Technology</w:t>
      </w:r>
    </w:p>
    <w:p w:rsidR="004D5EDC" w:rsidRPr="00B0503F" w:rsidRDefault="004D5EDC" w:rsidP="00536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We analyzed the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Medical Cost Personal Dataset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using advanced data analytics and preprocessing techniques. The solution leverages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Python (Pandas,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NumPy</w:t>
      </w:r>
      <w:proofErr w:type="spellEnd"/>
      <w:r w:rsidR="005366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, </w:t>
      </w:r>
      <w:proofErr w:type="spellStart"/>
      <w:proofErr w:type="gram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Matplotlib</w:t>
      </w:r>
      <w:proofErr w:type="spellEnd"/>
      <w:proofErr w:type="gram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)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="0098265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in order 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to:</w:t>
      </w:r>
    </w:p>
    <w:p w:rsidR="004D5EDC" w:rsidRPr="00B0503F" w:rsidRDefault="004D5EDC" w:rsidP="004D5E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Explore the dataset (EDA):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Identified cost drivers and patterns.</w:t>
      </w:r>
    </w:p>
    <w:p w:rsidR="00536696" w:rsidRDefault="004D5EDC" w:rsidP="00C74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366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Preprocess the data:</w:t>
      </w:r>
      <w:r w:rsidRPr="00536696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Encoded categorical features (sex, smoker, </w:t>
      </w:r>
      <w:proofErr w:type="gramStart"/>
      <w:r w:rsidRPr="00536696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region</w:t>
      </w:r>
      <w:proofErr w:type="gramEnd"/>
      <w:r w:rsidRPr="00536696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), standardized continuous variables (age, BMI, charges).</w:t>
      </w:r>
    </w:p>
    <w:p w:rsidR="00982653" w:rsidRPr="00EC12F4" w:rsidRDefault="004D5EDC" w:rsidP="0043706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EC12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Visualization:</w:t>
      </w:r>
      <w:r w:rsidRPr="00EC12F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Created clear charts to communicate insights (e.g., smokers’ charges </w:t>
      </w:r>
      <w:proofErr w:type="spellStart"/>
      <w:r w:rsidRPr="00EC12F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vs</w:t>
      </w:r>
      <w:proofErr w:type="spellEnd"/>
      <w:r w:rsidRPr="00EC12F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non-smokers, BMI impact by smoker status).</w:t>
      </w:r>
    </w:p>
    <w:p w:rsidR="00437064" w:rsidRPr="00437064" w:rsidRDefault="004A3378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A337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1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1.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Data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Overview</w:t>
      </w:r>
      <w:proofErr w:type="spellEnd"/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Rows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:</w:t>
      </w:r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1,338</w:t>
      </w:r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Columns: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7 —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children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Types: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numeric (age,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, children, charges), categorical (sex, smoker, region)</w:t>
      </w:r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Missing values: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none detected (0 missing entries in all columns)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The dataset is clean in terms of completeness but contains categorical text columns that require encoding before modeling.</w:t>
      </w:r>
    </w:p>
    <w:p w:rsidR="00437064" w:rsidRPr="00437064" w:rsidRDefault="004A3378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A337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2. Exploratory Data Analysis (EDA)</w:t>
      </w:r>
    </w:p>
    <w:p w:rsid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lastRenderedPageBreak/>
        <w:t>2.1 Descriptive statistics (numerical)</w:t>
      </w:r>
    </w:p>
    <w:p w:rsidR="00437064" w:rsidRPr="00437064" w:rsidRDefault="00437064" w:rsidP="004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distribution across adult ages, mean and spread showing typical insurance-age distribution.</w:t>
      </w:r>
    </w:p>
    <w:p w:rsidR="00437064" w:rsidRPr="00437064" w:rsidRDefault="00437064" w:rsidP="004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distribution with many observations in the overweight range; presence of higher BMI outliers.</w:t>
      </w:r>
    </w:p>
    <w:p w:rsidR="00437064" w:rsidRDefault="00437064" w:rsidP="004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strongly right-skewed with a small set of high-cost outliers (large medical expenses).</w:t>
      </w:r>
    </w:p>
    <w:p w:rsidR="00A33E26" w:rsidRPr="00EC12F4" w:rsidRDefault="00EC12F4" w:rsidP="00EC12F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V</w:t>
      </w:r>
      <w:r w:rsidRPr="00EC12F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isualization</w:t>
      </w:r>
    </w:p>
    <w:p w:rsidR="00A33E26" w:rsidRPr="00F14C8D" w:rsidRDefault="00A33E26" w:rsidP="00A33E26">
      <w:pPr>
        <w:pStyle w:val="a3"/>
        <w:numPr>
          <w:ilvl w:val="0"/>
          <w:numId w:val="3"/>
        </w:numPr>
        <w:rPr>
          <w:lang w:val="en-US"/>
        </w:rPr>
      </w:pPr>
      <w:r w:rsidRPr="00F14C8D">
        <w:rPr>
          <w:lang w:val="en-US"/>
        </w:rPr>
        <w:t xml:space="preserve">A </w:t>
      </w:r>
      <w:r w:rsidRPr="00F14C8D">
        <w:rPr>
          <w:rStyle w:val="a4"/>
          <w:lang w:val="en-US"/>
        </w:rPr>
        <w:t>histogram for each numeric column</w:t>
      </w:r>
      <w:r w:rsidRPr="00F14C8D">
        <w:rPr>
          <w:lang w:val="en-US"/>
        </w:rPr>
        <w:t xml:space="preserve"> (</w:t>
      </w:r>
      <w:r w:rsidRPr="00F14C8D">
        <w:rPr>
          <w:rStyle w:val="HTML"/>
          <w:lang w:val="en-US"/>
        </w:rPr>
        <w:t>age</w:t>
      </w:r>
      <w:r w:rsidRPr="00F14C8D">
        <w:rPr>
          <w:lang w:val="en-US"/>
        </w:rPr>
        <w:t xml:space="preserve">, </w:t>
      </w:r>
      <w:proofErr w:type="spellStart"/>
      <w:r w:rsidRPr="00F14C8D">
        <w:rPr>
          <w:rStyle w:val="HTML"/>
          <w:lang w:val="en-US"/>
        </w:rPr>
        <w:t>bmi</w:t>
      </w:r>
      <w:proofErr w:type="spellEnd"/>
      <w:r w:rsidRPr="00F14C8D">
        <w:rPr>
          <w:lang w:val="en-US"/>
        </w:rPr>
        <w:t xml:space="preserve">, </w:t>
      </w:r>
      <w:r w:rsidRPr="00F14C8D">
        <w:rPr>
          <w:rStyle w:val="HTML"/>
          <w:lang w:val="en-US"/>
        </w:rPr>
        <w:t>charges</w:t>
      </w:r>
      <w:r w:rsidRPr="00F14C8D">
        <w:rPr>
          <w:lang w:val="en-US"/>
        </w:rPr>
        <w:t>).</w:t>
      </w:r>
    </w:p>
    <w:p w:rsidR="00A33E26" w:rsidRPr="00F14C8D" w:rsidRDefault="00A33E26" w:rsidP="00A33E26">
      <w:pPr>
        <w:pStyle w:val="a3"/>
        <w:numPr>
          <w:ilvl w:val="0"/>
          <w:numId w:val="3"/>
        </w:numPr>
        <w:rPr>
          <w:lang w:val="en-US"/>
        </w:rPr>
      </w:pPr>
      <w:r w:rsidRPr="00F14C8D">
        <w:rPr>
          <w:lang w:val="en-US"/>
        </w:rPr>
        <w:t xml:space="preserve">Helps you </w:t>
      </w:r>
      <w:r w:rsidRPr="00F14C8D">
        <w:rPr>
          <w:rStyle w:val="a4"/>
          <w:lang w:val="en-US"/>
        </w:rPr>
        <w:t>see the distribution</w:t>
      </w:r>
      <w:r w:rsidRPr="00F14C8D">
        <w:rPr>
          <w:lang w:val="en-US"/>
        </w:rPr>
        <w:t>:</w:t>
      </w:r>
    </w:p>
    <w:p w:rsidR="00A33E26" w:rsidRPr="00F14C8D" w:rsidRDefault="00A33E26" w:rsidP="00A33E26">
      <w:pPr>
        <w:pStyle w:val="a3"/>
        <w:numPr>
          <w:ilvl w:val="1"/>
          <w:numId w:val="3"/>
        </w:numPr>
        <w:rPr>
          <w:lang w:val="en-US"/>
        </w:rPr>
      </w:pPr>
      <w:r w:rsidRPr="00F14C8D">
        <w:rPr>
          <w:lang w:val="en-US"/>
        </w:rPr>
        <w:t xml:space="preserve">Is </w:t>
      </w:r>
      <w:r w:rsidRPr="00F14C8D">
        <w:rPr>
          <w:rStyle w:val="HTML"/>
          <w:lang w:val="en-US"/>
        </w:rPr>
        <w:t>age</w:t>
      </w:r>
      <w:r w:rsidRPr="00F14C8D">
        <w:rPr>
          <w:lang w:val="en-US"/>
        </w:rPr>
        <w:t xml:space="preserve"> evenly distributed or skewed?</w:t>
      </w:r>
    </w:p>
    <w:p w:rsidR="00A33E26" w:rsidRPr="00F14C8D" w:rsidRDefault="00A33E26" w:rsidP="00A33E26">
      <w:pPr>
        <w:pStyle w:val="a3"/>
        <w:numPr>
          <w:ilvl w:val="1"/>
          <w:numId w:val="3"/>
        </w:numPr>
        <w:rPr>
          <w:lang w:val="en-US"/>
        </w:rPr>
      </w:pPr>
      <w:r w:rsidRPr="00F14C8D">
        <w:rPr>
          <w:lang w:val="en-US"/>
        </w:rPr>
        <w:t xml:space="preserve">Does </w:t>
      </w:r>
      <w:proofErr w:type="spellStart"/>
      <w:r w:rsidRPr="00F14C8D">
        <w:rPr>
          <w:rStyle w:val="HTML"/>
          <w:lang w:val="en-US"/>
        </w:rPr>
        <w:t>bmi</w:t>
      </w:r>
      <w:proofErr w:type="spellEnd"/>
      <w:r w:rsidRPr="00F14C8D">
        <w:rPr>
          <w:lang w:val="en-US"/>
        </w:rPr>
        <w:t xml:space="preserve"> look normal or have outliers?</w:t>
      </w:r>
    </w:p>
    <w:p w:rsidR="00A33E26" w:rsidRPr="00F14C8D" w:rsidRDefault="00A33E26" w:rsidP="00A33E26">
      <w:pPr>
        <w:pStyle w:val="a3"/>
        <w:numPr>
          <w:ilvl w:val="1"/>
          <w:numId w:val="3"/>
        </w:numPr>
        <w:rPr>
          <w:lang w:val="en-US"/>
        </w:rPr>
      </w:pPr>
      <w:r w:rsidRPr="00F14C8D">
        <w:rPr>
          <w:lang w:val="en-US"/>
        </w:rPr>
        <w:t xml:space="preserve">Are </w:t>
      </w:r>
      <w:r w:rsidRPr="00F14C8D">
        <w:rPr>
          <w:rStyle w:val="HTML"/>
          <w:lang w:val="en-US"/>
        </w:rPr>
        <w:t>charges</w:t>
      </w:r>
      <w:r w:rsidRPr="00F14C8D">
        <w:rPr>
          <w:lang w:val="en-US"/>
        </w:rPr>
        <w:t xml:space="preserve"> concentrated at lower values or spread out?</w:t>
      </w:r>
    </w:p>
    <w:p w:rsidR="00A33E26" w:rsidRDefault="00A33E26" w:rsidP="00A33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</w:p>
    <w:p w:rsidR="00524FF1" w:rsidRDefault="00524FF1" w:rsidP="0052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</w:p>
    <w:p w:rsidR="00524FF1" w:rsidRPr="00437064" w:rsidRDefault="00524FF1" w:rsidP="0052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2.2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Categorical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summaries</w:t>
      </w:r>
      <w:proofErr w:type="spellEnd"/>
    </w:p>
    <w:p w:rsidR="00524FF1" w:rsidRPr="00437064" w:rsidRDefault="00524FF1" w:rsidP="00524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roughly balanced between male and female.</w:t>
      </w:r>
    </w:p>
    <w:p w:rsidR="00524FF1" w:rsidRPr="00437064" w:rsidRDefault="00524FF1" w:rsidP="00524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minority are smokers, but they account for a disproportionate share of high charges.</w:t>
      </w:r>
    </w:p>
    <w:p w:rsidR="00524FF1" w:rsidRPr="00437064" w:rsidRDefault="00524FF1" w:rsidP="00524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four categorical regions with similar row counts (northeast, northwest, southeast, southwest).</w:t>
      </w:r>
    </w:p>
    <w:p w:rsidR="00524FF1" w:rsidRDefault="00524FF1" w:rsidP="0052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</w:p>
    <w:p w:rsidR="00F14C8D" w:rsidRPr="00F14C8D" w:rsidRDefault="00F14C8D" w:rsidP="00F14C8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proofErr w:type="spellStart"/>
      <w:r w:rsidRPr="00F14C8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What</w:t>
      </w:r>
      <w:proofErr w:type="spellEnd"/>
      <w:r w:rsidRPr="00F14C8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F14C8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this</w:t>
      </w:r>
      <w:proofErr w:type="spellEnd"/>
      <w:r w:rsidRPr="00F14C8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box</w:t>
      </w:r>
      <w:proofErr w:type="spellStart"/>
      <w:r w:rsidRPr="00F14C8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plot</w:t>
      </w:r>
      <w:proofErr w:type="spellEnd"/>
      <w:r w:rsidRPr="00F14C8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F14C8D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shows</w:t>
      </w:r>
      <w:proofErr w:type="spellEnd"/>
    </w:p>
    <w:p w:rsidR="00F14C8D" w:rsidRPr="00F14C8D" w:rsidRDefault="00F14C8D" w:rsidP="00F14C8D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F14C8D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If smokers have </w:t>
      </w:r>
      <w:r w:rsidRPr="00F14C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higher median charges</w:t>
      </w:r>
      <w:r w:rsidRPr="00F14C8D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than non-smokers.</w:t>
      </w:r>
    </w:p>
    <w:p w:rsidR="00F14C8D" w:rsidRPr="00F14C8D" w:rsidRDefault="00F14C8D" w:rsidP="00F14C8D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F14C8D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How </w:t>
      </w:r>
      <w:r w:rsidRPr="00F14C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spread out</w:t>
      </w:r>
      <w:r w:rsidRPr="00F14C8D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the charges are in each group.</w:t>
      </w:r>
    </w:p>
    <w:p w:rsidR="00F14C8D" w:rsidRPr="00F14C8D" w:rsidRDefault="00F14C8D" w:rsidP="00F14C8D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F14C8D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Whether there are </w:t>
      </w:r>
      <w:r w:rsidRPr="00F14C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extreme outliers</w:t>
      </w:r>
      <w:r w:rsidRPr="00F14C8D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(e.g., very expensive cases).</w:t>
      </w:r>
    </w:p>
    <w:p w:rsidR="00427C33" w:rsidRPr="00427C33" w:rsidRDefault="00427C33" w:rsidP="00427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proofErr w:type="spellStart"/>
      <w:r w:rsidRPr="00427C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What</w:t>
      </w:r>
      <w:proofErr w:type="spellEnd"/>
      <w:r w:rsidRPr="00427C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27C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this</w:t>
      </w:r>
      <w:proofErr w:type="spellEnd"/>
      <w:r w:rsidRPr="00427C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scatter</w:t>
      </w:r>
      <w:proofErr w:type="spellStart"/>
      <w:r w:rsidRPr="00427C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plot</w:t>
      </w:r>
      <w:proofErr w:type="spellEnd"/>
      <w:r w:rsidRPr="00427C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27C3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shows</w:t>
      </w:r>
      <w:proofErr w:type="spellEnd"/>
    </w:p>
    <w:p w:rsidR="00427C33" w:rsidRPr="00427C33" w:rsidRDefault="00427C33" w:rsidP="00427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27C3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 relationship between </w:t>
      </w:r>
      <w:r w:rsidRPr="00427C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BMI</w:t>
      </w:r>
      <w:r w:rsidRPr="00427C3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and </w:t>
      </w:r>
      <w:r w:rsidRPr="00427C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medical costs</w:t>
      </w:r>
      <w:r w:rsidRPr="00427C3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427C33" w:rsidRPr="00427C33" w:rsidRDefault="00427C33" w:rsidP="005641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27C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Smokers (red)</w:t>
      </w:r>
      <w:r w:rsidRPr="00427C3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cluster at </w:t>
      </w:r>
      <w:r w:rsidRPr="00427C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much higher charges</w:t>
      </w:r>
      <w:r w:rsidRPr="00427C3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compared to non-smokers (blue), especially for higher BMI.</w:t>
      </w:r>
    </w:p>
    <w:p w:rsidR="00427C33" w:rsidRDefault="00427C33" w:rsidP="00427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27C3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It helps detect </w:t>
      </w:r>
      <w:r w:rsidRPr="00427C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interaction effects</w:t>
      </w:r>
      <w:r w:rsidRPr="00427C3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e.g., being both overweight and a smoker may greatly increase charges.</w:t>
      </w:r>
    </w:p>
    <w:p w:rsidR="00E713BB" w:rsidRPr="00437064" w:rsidRDefault="00E713BB" w:rsidP="00E713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3.2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Encoding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categorical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variables</w:t>
      </w:r>
      <w:proofErr w:type="spellEnd"/>
    </w:p>
    <w:p w:rsidR="00E713BB" w:rsidRPr="00437064" w:rsidRDefault="00E713BB" w:rsidP="00E71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mapped to binary: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male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1,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female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0.</w:t>
      </w:r>
    </w:p>
    <w:p w:rsidR="00E713BB" w:rsidRPr="00437064" w:rsidRDefault="00E713BB" w:rsidP="00E71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mapped to binary: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yes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1,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no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0.</w:t>
      </w:r>
    </w:p>
    <w:p w:rsidR="00E713BB" w:rsidRPr="00437064" w:rsidRDefault="00E713BB" w:rsidP="00E71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converted via </w:t>
      </w: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one-hot encoding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(four columns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region_northeast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region_northwest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region_southeast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region_southwest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).</w:t>
      </w:r>
    </w:p>
    <w:p w:rsidR="00E713BB" w:rsidRPr="00427C33" w:rsidRDefault="00E713BB" w:rsidP="00E71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2.4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Key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EDA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insights</w:t>
      </w:r>
      <w:proofErr w:type="spellEnd"/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Smoking is the most dominant feature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median and mean charges for smokers are substantially higher than for non-smokers; smokers are frequent among top charge outliers.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BMI matters more for smokers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scatter plots show that as BMI increases, smokers' charges increase steeply, while non-smokers show a milder increase.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Age has a positive relationship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with charges, but less pronounced than smoking and BMI.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Children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little direct visual correlation with charges; small positive or neutral effect.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Sex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small differences after controlling other variables; not a primary driver.</w:t>
      </w:r>
    </w:p>
    <w:p w:rsidR="00437064" w:rsidRPr="00437064" w:rsidRDefault="004A3378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A337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3. Data Preprocessing Steps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These steps were implemented in the pipeline and saved to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insurance_processed.csv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3.1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Missing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values</w:t>
      </w:r>
      <w:proofErr w:type="spellEnd"/>
    </w:p>
    <w:p w:rsidR="00437064" w:rsidRPr="00437064" w:rsidRDefault="00437064" w:rsidP="0043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Checked for missing values. None were present.</w:t>
      </w:r>
    </w:p>
    <w:p w:rsidR="00437064" w:rsidRPr="00437064" w:rsidRDefault="00437064" w:rsidP="0043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If missing values existed, plan: numeric → median imputation; categorical → mode imputation.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3.2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Encoding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categorical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variables</w:t>
      </w:r>
      <w:proofErr w:type="spellEnd"/>
    </w:p>
    <w:p w:rsidR="00437064" w:rsidRPr="00437064" w:rsidRDefault="00437064" w:rsidP="00437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mapped to binary: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male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1,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female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0.</w:t>
      </w:r>
    </w:p>
    <w:p w:rsidR="00437064" w:rsidRPr="00437064" w:rsidRDefault="00437064" w:rsidP="00437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mapped to binary: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yes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1,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no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0.</w:t>
      </w:r>
    </w:p>
    <w:p w:rsidR="00735BBE" w:rsidRPr="00E835B5" w:rsidRDefault="00437064" w:rsidP="00E835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converted via </w:t>
      </w: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one-hot encoding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(four columns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region_northeast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region_northwest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region_southeast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region_southwest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).</w:t>
      </w:r>
      <w:r w:rsidR="00735BBE" w:rsidRPr="00E835B5">
        <w:rPr>
          <w:lang w:val="en-US"/>
        </w:rPr>
        <w:t xml:space="preserve">This command takes the </w:t>
      </w:r>
      <w:r w:rsidR="00735BBE" w:rsidRPr="00E835B5">
        <w:rPr>
          <w:rStyle w:val="a4"/>
          <w:lang w:val="en-US"/>
        </w:rPr>
        <w:t xml:space="preserve">categorical column </w:t>
      </w:r>
      <w:r w:rsidR="00735BBE" w:rsidRPr="00E835B5">
        <w:rPr>
          <w:rStyle w:val="HTML"/>
          <w:rFonts w:eastAsiaTheme="minorHAnsi"/>
          <w:b/>
          <w:bCs/>
          <w:lang w:val="en-US"/>
        </w:rPr>
        <w:t>"region"</w:t>
      </w:r>
      <w:r w:rsidR="00735BBE" w:rsidRPr="00E835B5">
        <w:rPr>
          <w:lang w:val="en-US"/>
        </w:rPr>
        <w:t xml:space="preserve"> and turns it into several </w:t>
      </w:r>
      <w:r w:rsidR="00735BBE" w:rsidRPr="00E835B5">
        <w:rPr>
          <w:rStyle w:val="a4"/>
          <w:lang w:val="en-US"/>
        </w:rPr>
        <w:t>binary columns</w:t>
      </w:r>
      <w:r w:rsidR="00735BBE" w:rsidRPr="00E835B5">
        <w:rPr>
          <w:lang w:val="en-US"/>
        </w:rPr>
        <w:t xml:space="preserve"> (0/1) — one for each region.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Rationale: many models require numeric inputs; one-hot preserves region-specific effects while avoiding implicit ordinal assumptions.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4</w:t>
      </w:r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. </w:t>
      </w:r>
      <w:proofErr w:type="spellStart"/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Feature</w:t>
      </w:r>
      <w:proofErr w:type="spellEnd"/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Exploration</w:t>
      </w:r>
      <w:proofErr w:type="spellEnd"/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4.1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Correlation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analysis</w:t>
      </w:r>
      <w:proofErr w:type="spellEnd"/>
    </w:p>
    <w:p w:rsidR="00437064" w:rsidRPr="00437064" w:rsidRDefault="00437064" w:rsidP="00437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After encoding,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had the highest positive correlation with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437064" w:rsidRPr="00437064" w:rsidRDefault="00437064" w:rsidP="00437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and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had positive correlations too; regional dummies had mild correlations.</w:t>
      </w:r>
    </w:p>
    <w:p w:rsidR="00437064" w:rsidRPr="00437064" w:rsidRDefault="004A3378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A337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5.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Regional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Analysis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(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Bonus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)</w:t>
      </w:r>
    </w:p>
    <w:p w:rsidR="00437064" w:rsidRPr="00437064" w:rsidRDefault="00437064" w:rsidP="004370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Computed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mean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median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and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count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of charges by region.</w:t>
      </w:r>
    </w:p>
    <w:p w:rsidR="00437064" w:rsidRPr="00437064" w:rsidRDefault="00437064" w:rsidP="004370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lastRenderedPageBreak/>
        <w:t>Observed moderate regional variation in mean charges. Differences could reflect: regional pricing differences, demographic composition (age/BMI/smoker concentration), or sample variability.</w:t>
      </w:r>
    </w:p>
    <w:p w:rsidR="00437064" w:rsidRPr="00437064" w:rsidRDefault="004A3378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A3378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6211CE" w:rsidRDefault="006211CE" w:rsidP="00621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Key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Features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&amp;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Insights</w:t>
      </w:r>
      <w:proofErr w:type="spellEnd"/>
    </w:p>
    <w:p w:rsidR="0089167B" w:rsidRPr="00437064" w:rsidRDefault="0089167B" w:rsidP="00891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Key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findings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high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level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):</w:t>
      </w:r>
    </w:p>
    <w:p w:rsidR="0089167B" w:rsidRPr="00437064" w:rsidRDefault="0089167B" w:rsidP="00891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Smoking status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is the strongest predictor of charges — smokers pay substantially higher average charges than non-smokers.</w:t>
      </w:r>
    </w:p>
    <w:p w:rsidR="00F41383" w:rsidRDefault="0089167B" w:rsidP="00891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F4138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BMI correlates with charges, particularly among smokers: higher BMI + smoker → much higher costs. </w:t>
      </w:r>
    </w:p>
    <w:p w:rsidR="0089167B" w:rsidRPr="00F41383" w:rsidRDefault="0089167B" w:rsidP="00891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F413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Age</w:t>
      </w:r>
      <w:r w:rsidRPr="00F4138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shows moderate positive correlation with charges (older individuals tend to have higher charges), but its effect is smaller than smoker status and some regional patterns.</w:t>
      </w:r>
    </w:p>
    <w:p w:rsidR="0089167B" w:rsidRPr="00437064" w:rsidRDefault="0089167B" w:rsidP="00891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Region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shows small-to-moderate differences in mean charges; differences may reflect demographic or healthcare-cost differences in regions.</w:t>
      </w:r>
    </w:p>
    <w:p w:rsidR="006211CE" w:rsidRPr="006211CE" w:rsidRDefault="004A3378" w:rsidP="006211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4D5EDC" w:rsidRPr="00B0503F" w:rsidRDefault="004D5EDC" w:rsidP="004D5E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Conclusion</w:t>
      </w:r>
    </w:p>
    <w:p w:rsidR="00B0503F" w:rsidRPr="00C43650" w:rsidRDefault="004D5EDC" w:rsidP="00C7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Our project demonstrates that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data-driven analysis of medical costs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is not only feasible but highly valuable for insurers and healthcare providers. By applying EDA, preprocessing, and modeling, we have identified key cost drivers, challenges, and actionable insights that can guide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business strategy, pricing, and prevention programs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sectPr w:rsidR="00B0503F" w:rsidRPr="00C43650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362"/>
    <w:multiLevelType w:val="multilevel"/>
    <w:tmpl w:val="AC5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4413F"/>
    <w:multiLevelType w:val="multilevel"/>
    <w:tmpl w:val="C38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02ABA"/>
    <w:multiLevelType w:val="multilevel"/>
    <w:tmpl w:val="D7A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17F75"/>
    <w:multiLevelType w:val="multilevel"/>
    <w:tmpl w:val="20F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72BA9"/>
    <w:multiLevelType w:val="multilevel"/>
    <w:tmpl w:val="521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B0471"/>
    <w:multiLevelType w:val="multilevel"/>
    <w:tmpl w:val="0A70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55063"/>
    <w:multiLevelType w:val="multilevel"/>
    <w:tmpl w:val="3F0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F50B2"/>
    <w:multiLevelType w:val="multilevel"/>
    <w:tmpl w:val="FB6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2E7DF5"/>
    <w:multiLevelType w:val="multilevel"/>
    <w:tmpl w:val="0C6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0F6550"/>
    <w:multiLevelType w:val="multilevel"/>
    <w:tmpl w:val="F99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E55689"/>
    <w:multiLevelType w:val="multilevel"/>
    <w:tmpl w:val="229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612BC9"/>
    <w:multiLevelType w:val="multilevel"/>
    <w:tmpl w:val="13A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092E81"/>
    <w:multiLevelType w:val="multilevel"/>
    <w:tmpl w:val="85A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4214A6"/>
    <w:multiLevelType w:val="multilevel"/>
    <w:tmpl w:val="C3B2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B63A14"/>
    <w:multiLevelType w:val="multilevel"/>
    <w:tmpl w:val="AE7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DC6AD4"/>
    <w:multiLevelType w:val="multilevel"/>
    <w:tmpl w:val="11F6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596AAB"/>
    <w:multiLevelType w:val="multilevel"/>
    <w:tmpl w:val="E73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541D3D"/>
    <w:multiLevelType w:val="multilevel"/>
    <w:tmpl w:val="AB9E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AC50A9"/>
    <w:multiLevelType w:val="multilevel"/>
    <w:tmpl w:val="3BC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C87985"/>
    <w:multiLevelType w:val="multilevel"/>
    <w:tmpl w:val="7B1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396479"/>
    <w:multiLevelType w:val="multilevel"/>
    <w:tmpl w:val="963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4B19EB"/>
    <w:multiLevelType w:val="multilevel"/>
    <w:tmpl w:val="F1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E77052"/>
    <w:multiLevelType w:val="multilevel"/>
    <w:tmpl w:val="AC7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9F09A7"/>
    <w:multiLevelType w:val="multilevel"/>
    <w:tmpl w:val="F53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2F02C8"/>
    <w:multiLevelType w:val="multilevel"/>
    <w:tmpl w:val="C53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540A3C"/>
    <w:multiLevelType w:val="multilevel"/>
    <w:tmpl w:val="921C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5F2A21"/>
    <w:multiLevelType w:val="multilevel"/>
    <w:tmpl w:val="D4C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FA7294"/>
    <w:multiLevelType w:val="multilevel"/>
    <w:tmpl w:val="ED68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A6395F"/>
    <w:multiLevelType w:val="multilevel"/>
    <w:tmpl w:val="733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5561A6"/>
    <w:multiLevelType w:val="multilevel"/>
    <w:tmpl w:val="CBD0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FF7DE9"/>
    <w:multiLevelType w:val="multilevel"/>
    <w:tmpl w:val="540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A86135"/>
    <w:multiLevelType w:val="multilevel"/>
    <w:tmpl w:val="013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B421A9"/>
    <w:multiLevelType w:val="multilevel"/>
    <w:tmpl w:val="2A4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47187B"/>
    <w:multiLevelType w:val="multilevel"/>
    <w:tmpl w:val="98C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8A55E7"/>
    <w:multiLevelType w:val="multilevel"/>
    <w:tmpl w:val="7E4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E730BB"/>
    <w:multiLevelType w:val="multilevel"/>
    <w:tmpl w:val="71E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E71ABF"/>
    <w:multiLevelType w:val="multilevel"/>
    <w:tmpl w:val="A84E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6D27DD"/>
    <w:multiLevelType w:val="multilevel"/>
    <w:tmpl w:val="266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9E0103"/>
    <w:multiLevelType w:val="multilevel"/>
    <w:tmpl w:val="1342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7B156D"/>
    <w:multiLevelType w:val="multilevel"/>
    <w:tmpl w:val="712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A83E2C"/>
    <w:multiLevelType w:val="multilevel"/>
    <w:tmpl w:val="D4B2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7F7A0C"/>
    <w:multiLevelType w:val="multilevel"/>
    <w:tmpl w:val="036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32"/>
  </w:num>
  <w:num w:numId="5">
    <w:abstractNumId w:val="7"/>
  </w:num>
  <w:num w:numId="6">
    <w:abstractNumId w:val="37"/>
  </w:num>
  <w:num w:numId="7">
    <w:abstractNumId w:val="14"/>
  </w:num>
  <w:num w:numId="8">
    <w:abstractNumId w:val="11"/>
  </w:num>
  <w:num w:numId="9">
    <w:abstractNumId w:val="26"/>
  </w:num>
  <w:num w:numId="10">
    <w:abstractNumId w:val="23"/>
  </w:num>
  <w:num w:numId="11">
    <w:abstractNumId w:val="39"/>
  </w:num>
  <w:num w:numId="12">
    <w:abstractNumId w:val="17"/>
  </w:num>
  <w:num w:numId="13">
    <w:abstractNumId w:val="34"/>
  </w:num>
  <w:num w:numId="14">
    <w:abstractNumId w:val="24"/>
  </w:num>
  <w:num w:numId="15">
    <w:abstractNumId w:val="25"/>
  </w:num>
  <w:num w:numId="16">
    <w:abstractNumId w:val="0"/>
  </w:num>
  <w:num w:numId="17">
    <w:abstractNumId w:val="6"/>
  </w:num>
  <w:num w:numId="18">
    <w:abstractNumId w:val="33"/>
  </w:num>
  <w:num w:numId="19">
    <w:abstractNumId w:val="27"/>
  </w:num>
  <w:num w:numId="20">
    <w:abstractNumId w:val="1"/>
  </w:num>
  <w:num w:numId="21">
    <w:abstractNumId w:val="9"/>
  </w:num>
  <w:num w:numId="22">
    <w:abstractNumId w:val="2"/>
  </w:num>
  <w:num w:numId="23">
    <w:abstractNumId w:val="13"/>
  </w:num>
  <w:num w:numId="24">
    <w:abstractNumId w:val="40"/>
  </w:num>
  <w:num w:numId="25">
    <w:abstractNumId w:val="3"/>
  </w:num>
  <w:num w:numId="26">
    <w:abstractNumId w:val="4"/>
  </w:num>
  <w:num w:numId="27">
    <w:abstractNumId w:val="31"/>
  </w:num>
  <w:num w:numId="28">
    <w:abstractNumId w:val="28"/>
  </w:num>
  <w:num w:numId="29">
    <w:abstractNumId w:val="30"/>
  </w:num>
  <w:num w:numId="30">
    <w:abstractNumId w:val="22"/>
  </w:num>
  <w:num w:numId="31">
    <w:abstractNumId w:val="29"/>
  </w:num>
  <w:num w:numId="32">
    <w:abstractNumId w:val="10"/>
  </w:num>
  <w:num w:numId="33">
    <w:abstractNumId w:val="38"/>
  </w:num>
  <w:num w:numId="34">
    <w:abstractNumId w:val="20"/>
  </w:num>
  <w:num w:numId="35">
    <w:abstractNumId w:val="41"/>
  </w:num>
  <w:num w:numId="36">
    <w:abstractNumId w:val="15"/>
  </w:num>
  <w:num w:numId="37">
    <w:abstractNumId w:val="16"/>
  </w:num>
  <w:num w:numId="38">
    <w:abstractNumId w:val="35"/>
  </w:num>
  <w:num w:numId="39">
    <w:abstractNumId w:val="36"/>
  </w:num>
  <w:num w:numId="40">
    <w:abstractNumId w:val="5"/>
  </w:num>
  <w:num w:numId="41">
    <w:abstractNumId w:val="21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37064"/>
    <w:rsid w:val="00056BC9"/>
    <w:rsid w:val="0014234D"/>
    <w:rsid w:val="002A5ED9"/>
    <w:rsid w:val="00427C33"/>
    <w:rsid w:val="00437064"/>
    <w:rsid w:val="00472A20"/>
    <w:rsid w:val="004A3378"/>
    <w:rsid w:val="004D5EDC"/>
    <w:rsid w:val="00507F2E"/>
    <w:rsid w:val="00524FF1"/>
    <w:rsid w:val="00536696"/>
    <w:rsid w:val="00564152"/>
    <w:rsid w:val="006211CE"/>
    <w:rsid w:val="00735BBE"/>
    <w:rsid w:val="007A707E"/>
    <w:rsid w:val="007C0BC8"/>
    <w:rsid w:val="00844111"/>
    <w:rsid w:val="0089167B"/>
    <w:rsid w:val="008B14DC"/>
    <w:rsid w:val="00982653"/>
    <w:rsid w:val="009929E7"/>
    <w:rsid w:val="009E253C"/>
    <w:rsid w:val="009F1D21"/>
    <w:rsid w:val="00A33E26"/>
    <w:rsid w:val="00B0503F"/>
    <w:rsid w:val="00C43650"/>
    <w:rsid w:val="00C747AE"/>
    <w:rsid w:val="00C74C91"/>
    <w:rsid w:val="00CA581C"/>
    <w:rsid w:val="00D769FD"/>
    <w:rsid w:val="00E713BB"/>
    <w:rsid w:val="00E835B5"/>
    <w:rsid w:val="00EC12F4"/>
    <w:rsid w:val="00F14C8D"/>
    <w:rsid w:val="00F4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1">
    <w:name w:val="heading 1"/>
    <w:basedOn w:val="a"/>
    <w:link w:val="10"/>
    <w:uiPriority w:val="9"/>
    <w:qFormat/>
    <w:rsid w:val="00437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paragraph" w:styleId="2">
    <w:name w:val="heading 2"/>
    <w:basedOn w:val="a"/>
    <w:link w:val="20"/>
    <w:uiPriority w:val="9"/>
    <w:qFormat/>
    <w:rsid w:val="00437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3">
    <w:name w:val="heading 3"/>
    <w:basedOn w:val="a"/>
    <w:link w:val="30"/>
    <w:uiPriority w:val="9"/>
    <w:qFormat/>
    <w:rsid w:val="00437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064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character" w:customStyle="1" w:styleId="20">
    <w:name w:val="Заголовок 2 Знак"/>
    <w:basedOn w:val="a0"/>
    <w:link w:val="2"/>
    <w:uiPriority w:val="9"/>
    <w:rsid w:val="00437064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customStyle="1" w:styleId="30">
    <w:name w:val="Заголовок 3 Знак"/>
    <w:basedOn w:val="a0"/>
    <w:link w:val="3"/>
    <w:uiPriority w:val="9"/>
    <w:rsid w:val="00437064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paragraph" w:styleId="a3">
    <w:name w:val="Normal (Web)"/>
    <w:basedOn w:val="a"/>
    <w:uiPriority w:val="99"/>
    <w:semiHidden/>
    <w:unhideWhenUsed/>
    <w:rsid w:val="0043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4">
    <w:name w:val="Strong"/>
    <w:basedOn w:val="a0"/>
    <w:uiPriority w:val="22"/>
    <w:qFormat/>
    <w:rsid w:val="00437064"/>
    <w:rPr>
      <w:b/>
      <w:bCs/>
    </w:rPr>
  </w:style>
  <w:style w:type="character" w:styleId="HTML">
    <w:name w:val="HTML Code"/>
    <w:basedOn w:val="a0"/>
    <w:uiPriority w:val="99"/>
    <w:semiHidden/>
    <w:unhideWhenUsed/>
    <w:rsid w:val="0043706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37064"/>
    <w:rPr>
      <w:i/>
      <w:iCs/>
    </w:rPr>
  </w:style>
  <w:style w:type="character" w:customStyle="1" w:styleId="s">
    <w:name w:val="ͼs"/>
    <w:basedOn w:val="a0"/>
    <w:rsid w:val="00437064"/>
  </w:style>
  <w:style w:type="character" w:customStyle="1" w:styleId="w">
    <w:name w:val="ͼw"/>
    <w:basedOn w:val="a0"/>
    <w:rsid w:val="00437064"/>
  </w:style>
  <w:style w:type="character" w:customStyle="1" w:styleId="v">
    <w:name w:val="ͼv"/>
    <w:basedOn w:val="a0"/>
    <w:rsid w:val="00437064"/>
  </w:style>
  <w:style w:type="character" w:customStyle="1" w:styleId="t">
    <w:name w:val="ͼt"/>
    <w:basedOn w:val="a0"/>
    <w:rsid w:val="00437064"/>
  </w:style>
  <w:style w:type="character" w:customStyle="1" w:styleId="u">
    <w:name w:val="ͼu"/>
    <w:basedOn w:val="a0"/>
    <w:rsid w:val="00437064"/>
  </w:style>
  <w:style w:type="paragraph" w:styleId="a6">
    <w:name w:val="List Paragraph"/>
    <w:basedOn w:val="a"/>
    <w:uiPriority w:val="34"/>
    <w:qFormat/>
    <w:rsid w:val="006211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1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25</cp:revision>
  <dcterms:created xsi:type="dcterms:W3CDTF">2025-09-18T11:23:00Z</dcterms:created>
  <dcterms:modified xsi:type="dcterms:W3CDTF">2025-09-21T13:16:00Z</dcterms:modified>
</cp:coreProperties>
</file>