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7794" w14:textId="77777777" w:rsidR="00E321B3" w:rsidRDefault="00000000">
      <w:pPr>
        <w:pStyle w:val="Heading1"/>
      </w:pPr>
      <w:bookmarkStart w:id="0" w:name="technical-document"/>
      <w:r>
        <w:t>Technical Document</w:t>
      </w:r>
    </w:p>
    <w:p w14:paraId="7CC0B76C" w14:textId="77777777" w:rsidR="00E321B3" w:rsidRDefault="00000000">
      <w:pPr>
        <w:pStyle w:val="Heading2"/>
      </w:pPr>
      <w:bookmarkStart w:id="1" w:name="database-design"/>
      <w:r>
        <w:t>1. Database Design</w:t>
      </w:r>
    </w:p>
    <w:p w14:paraId="0849AA37" w14:textId="77777777" w:rsidR="00E321B3" w:rsidRDefault="00000000">
      <w:pPr>
        <w:pStyle w:val="FirstParagraph"/>
      </w:pPr>
      <w:r>
        <w:t xml:space="preserve">The original partitioned schema failed because unique keys did not include </w:t>
      </w:r>
      <w:r>
        <w:rPr>
          <w:rStyle w:val="VerbatimChar"/>
        </w:rPr>
        <w:t>order_date</w:t>
      </w:r>
      <w:r>
        <w:t xml:space="preserve">. It was rebuilt using nine forward-only, checksummed migrations. </w:t>
      </w:r>
      <w:r>
        <w:rPr>
          <w:rStyle w:val="VerbatimChar"/>
        </w:rPr>
        <w:t>orders</w:t>
      </w:r>
      <w:r>
        <w:t xml:space="preserve"> and </w:t>
      </w:r>
      <w:r>
        <w:rPr>
          <w:rStyle w:val="VerbatimChar"/>
        </w:rPr>
        <w:t>order_items</w:t>
      </w:r>
      <w:r>
        <w:t xml:space="preserve"> are monthly range-partitioned with matching boundaries and a composite foreign key on </w:t>
      </w:r>
      <w:r>
        <w:rPr>
          <w:rStyle w:val="VerbatimChar"/>
        </w:rPr>
        <w:t>(order_id, order_date)</w:t>
      </w:r>
      <w:r>
        <w:t xml:space="preserve">. Partitions are created dynamically. Revenue is enforced through a stored generated column, while timestamps use </w:t>
      </w:r>
      <w:r>
        <w:rPr>
          <w:rStyle w:val="VerbatimChar"/>
        </w:rPr>
        <w:t>TIMESTAMPTZ</w:t>
      </w:r>
      <w:r>
        <w:t xml:space="preserve"> in UTC.</w:t>
      </w:r>
    </w:p>
    <w:p w14:paraId="0D13BCC0" w14:textId="77777777" w:rsidR="00E321B3" w:rsidRDefault="00000000">
      <w:pPr>
        <w:pStyle w:val="Heading2"/>
      </w:pPr>
      <w:bookmarkStart w:id="2" w:name="etl-architecture"/>
      <w:bookmarkEnd w:id="1"/>
      <w:r>
        <w:t>2. ETL Architecture</w:t>
      </w:r>
    </w:p>
    <w:p w14:paraId="493CD124" w14:textId="77777777" w:rsidR="00E321B3" w:rsidRDefault="00000000">
      <w:pPr>
        <w:pStyle w:val="FirstParagraph"/>
      </w:pPr>
      <w:r>
        <w:t>The pipeline follows:</w:t>
      </w:r>
    </w:p>
    <w:p w14:paraId="3D301F2E" w14:textId="77777777" w:rsidR="00E321B3" w:rsidRDefault="00000000">
      <w:pPr>
        <w:pStyle w:val="BodyText"/>
      </w:pPr>
      <w:r>
        <w:rPr>
          <w:b/>
          <w:bCs/>
        </w:rPr>
        <w:t>Chunked extraction → validation → reference resolution → staging COPY → idempotent upsert</w:t>
      </w:r>
    </w:p>
    <w:p w14:paraId="7A28FE06" w14:textId="77777777" w:rsidR="00E321B3" w:rsidRDefault="00000000">
      <w:pPr>
        <w:pStyle w:val="BodyText"/>
      </w:pPr>
      <w:r>
        <w:t>Temporary staging tables inherit target column types. Validation and foreign-key checks occur before insertion so individual invalid rows are quarantined instead of failing an entire batch. CSV values are explicitly typed to avoid pandas inference errors. Transactions run per entity, and watermarks advance only after loading, transformations, and quality checks succeed.</w:t>
      </w:r>
    </w:p>
    <w:p w14:paraId="11A635FA" w14:textId="77777777" w:rsidR="00E321B3" w:rsidRDefault="00000000">
      <w:pPr>
        <w:pStyle w:val="Heading2"/>
      </w:pPr>
      <w:bookmarkStart w:id="3" w:name="query-optimization"/>
      <w:bookmarkEnd w:id="2"/>
      <w:r>
        <w:t>3. Query Optimization</w:t>
      </w:r>
    </w:p>
    <w:p w14:paraId="30716CCC" w14:textId="570E59F0" w:rsidR="00E321B3" w:rsidRDefault="00000000">
      <w:pPr>
        <w:pStyle w:val="FirstParagraph"/>
      </w:pPr>
      <w:r>
        <w:t xml:space="preserve">Analytics queries use </w:t>
      </w:r>
      <w:r>
        <w:rPr>
          <w:rStyle w:val="VerbatimChar"/>
        </w:rPr>
        <w:t>daily_sales_aggregation</w:t>
      </w:r>
      <w:r>
        <w:t xml:space="preserve"> instead of raw fact tables. The six-month top-products query</w:t>
      </w:r>
      <w:r w:rsidR="00BE3BCF">
        <w:t xml:space="preserve"> performance doubled</w:t>
      </w:r>
      <w:r>
        <w:t>. Partition pruning reduced scans to six partitions for six months and one partition for one month. Covering, BRIN, partial, and trigram indexes support key access patterns. GraphQL DataLoaders reduced a 50-row nested request from 101 SQL queries to 3.</w:t>
      </w:r>
    </w:p>
    <w:p w14:paraId="0A6791B3" w14:textId="77777777" w:rsidR="00E321B3" w:rsidRDefault="00000000">
      <w:pPr>
        <w:pStyle w:val="Heading2"/>
      </w:pPr>
      <w:bookmarkStart w:id="4" w:name="scaling"/>
      <w:bookmarkEnd w:id="3"/>
      <w:r>
        <w:t>4. Scaling</w:t>
      </w:r>
    </w:p>
    <w:p w14:paraId="424D2D5C" w14:textId="5C9D2B1F" w:rsidR="00E321B3" w:rsidRDefault="00000000">
      <w:pPr>
        <w:pStyle w:val="FirstParagraph"/>
      </w:pPr>
      <w:r>
        <w:t xml:space="preserve">Large backfills should drop and rebuild secondary indexes, process monthly partitions concurrently through Flyte </w:t>
      </w:r>
      <w:r>
        <w:rPr>
          <w:rStyle w:val="VerbatimChar"/>
        </w:rPr>
        <w:t>map_task</w:t>
      </w:r>
      <w:r>
        <w:t xml:space="preserve">, and route analytics to a read replica. Historical retention uses partition detachment. The primary ingestion bottleneck is per-row foreign-key validation on </w:t>
      </w:r>
      <w:r>
        <w:rPr>
          <w:rStyle w:val="VerbatimChar"/>
        </w:rPr>
        <w:t>order_items</w:t>
      </w:r>
      <w:r>
        <w:t>, measured at approximately 7,000 rows per second.</w:t>
      </w:r>
    </w:p>
    <w:p w14:paraId="25D1F824" w14:textId="77777777" w:rsidR="00E321B3" w:rsidRDefault="00000000">
      <w:pPr>
        <w:pStyle w:val="Heading2"/>
      </w:pPr>
      <w:bookmarkStart w:id="5" w:name="production-deployment"/>
      <w:bookmarkEnd w:id="4"/>
      <w:r>
        <w:t>5. Production Deployment</w:t>
      </w:r>
    </w:p>
    <w:p w14:paraId="03294F21" w14:textId="77777777" w:rsidR="00E321B3" w:rsidRDefault="00000000">
      <w:pPr>
        <w:pStyle w:val="FirstParagraph"/>
      </w:pPr>
      <w:r>
        <w:t xml:space="preserve">Migrations run as a one-shot job before the API starts. Flyte schedules nightly incremental loads with concurrency limited to one to prevent watermark races. Monitoring covers workflow status, ETL history, quality failures, watermark lag, and PostgreSQL performance. Before external exposure, the GraphQL API requires authentication, rate limiting, persisted-query controls, and </w:t>
      </w:r>
      <w:r>
        <w:rPr>
          <w:rStyle w:val="VerbatimChar"/>
        </w:rPr>
        <w:t>pg_stat_statements</w:t>
      </w:r>
      <w:r>
        <w:t xml:space="preserve"> monitoring.</w:t>
      </w:r>
      <w:bookmarkEnd w:id="0"/>
      <w:bookmarkEnd w:id="5"/>
    </w:p>
    <w:sectPr w:rsidR="00E321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0C23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9788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321B3"/>
    <w:rsid w:val="006953DC"/>
    <w:rsid w:val="00BE3BCF"/>
    <w:rsid w:val="00E321B3"/>
    <w:rsid w:val="00EB6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CB8E"/>
  <w15:docId w15:val="{1E6DE2F1-8AE8-4424-98C3-9BE1C0C0B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Midas Quan</cp:lastModifiedBy>
  <cp:revision>3</cp:revision>
  <dcterms:created xsi:type="dcterms:W3CDTF">1970-01-01T00:00:00Z</dcterms:created>
  <dcterms:modified xsi:type="dcterms:W3CDTF">2026-08-06T03:24:00Z</dcterms:modified>
</cp:coreProperties>
</file>