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C658F7">
      <w:pPr>
        <w:pStyle w:val="5-"/>
      </w:pPr>
      <w:r>
        <w:t>УДК: (Уписује редакција, оставити овај ред)</w:t>
      </w:r>
    </w:p>
    <w:p w14:paraId="1698874A" w14:textId="77777777" w:rsidR="001511EB" w:rsidRDefault="00C658F7">
      <w:pPr>
        <w:pStyle w:val="5-"/>
      </w:pPr>
      <w:r>
        <w:t>ДОИ: (Уписује редакција, оставити овај ред)</w:t>
      </w:r>
    </w:p>
    <w:p w14:paraId="748AD68E" w14:textId="77777777" w:rsidR="001511EB" w:rsidRDefault="001511EB">
      <w:pPr>
        <w:pStyle w:val="5-"/>
      </w:pPr>
    </w:p>
    <w:p w14:paraId="0D55FA07" w14:textId="77777777" w:rsidR="001511EB" w:rsidRDefault="00C658F7">
      <w:pPr>
        <w:pStyle w:val="6-"/>
      </w:pPr>
      <w:r>
        <w:t>ПРЕКОМЕРНО ОДБИЈАЊЕ И КОМПРОМИС ИЗМЕЂУ ПОРАВНАЊА И КОРИСНОСТИ КОД РЕСУРСНО ОГРАНИЧЕНИХ ЛОКАЛНИХ ЈЕЗИЧКИХ МОДЕЛА</w:t>
      </w:r>
    </w:p>
    <w:p w14:paraId="36659C82" w14:textId="77777777" w:rsidR="001511EB" w:rsidRDefault="001511EB">
      <w:pPr>
        <w:pStyle w:val="6-"/>
      </w:pPr>
    </w:p>
    <w:p w14:paraId="73320961" w14:textId="2A624004" w:rsidR="001511EB" w:rsidRDefault="00C658F7">
      <w:pPr>
        <w:pStyle w:val="6-"/>
      </w:pPr>
      <w:r>
        <w:rPr>
          <w:i/>
        </w:rPr>
        <w:t>OVER-REFUSAL AND THE ALIGNMENT</w:t>
      </w:r>
      <w:r w:rsidR="009C49D4">
        <w:rPr>
          <w:i/>
        </w:rPr>
        <w:t>-</w:t>
      </w:r>
      <w:r>
        <w:rPr>
          <w:i/>
        </w:rPr>
        <w:t>UTILITY TRADE-OFF IN RESOURCE-CONSTRAINED LOCAL LANGUAGE MODELS</w:t>
      </w:r>
    </w:p>
    <w:p w14:paraId="619ECC7E" w14:textId="77777777" w:rsidR="001511EB" w:rsidRDefault="00C658F7">
      <w:pPr>
        <w:pStyle w:val="4-Autori"/>
      </w:pPr>
      <w:r>
        <w:t>Борис Летић, 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C658F7">
      <w:pPr>
        <w:pStyle w:val="a"/>
      </w:pPr>
      <w:r>
        <w:t>Студијски програм – РАЧУНАРСТВО И АУТОМАТИКА</w:t>
      </w:r>
    </w:p>
    <w:p w14:paraId="5B38D06D" w14:textId="77777777" w:rsidR="001511EB" w:rsidRDefault="00C658F7">
      <w:pPr>
        <w:pStyle w:val="0-"/>
        <w:spacing w:after="120"/>
      </w:pPr>
      <w:r>
        <w:rPr>
          <w:b/>
        </w:rPr>
        <w:t xml:space="preserve">Кратак садржај – </w:t>
      </w:r>
      <w:r>
        <w:t>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квантизација бихевиорално неутрална од осмобитне 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C658F7">
      <w:pPr>
        <w:pStyle w:val="a"/>
      </w:pPr>
      <w:r>
        <w:t>Кључне речи: прекомерно одбијање, поравнање, квантизација, локални језички модели, безбедност софтвера</w:t>
      </w:r>
    </w:p>
    <w:p w14:paraId="0B081B6C" w14:textId="77777777" w:rsidR="001511EB" w:rsidRDefault="00C658F7">
      <w:pPr>
        <w:pStyle w:val="0-"/>
        <w:spacing w:after="120"/>
      </w:pPr>
      <w:r>
        <w:rPr>
          <w:b/>
        </w:rPr>
        <w:t xml:space="preserve">Abstract – </w:t>
      </w:r>
      <w:r>
        <w:rPr>
          <w:i/>
        </w:rPr>
        <w:t>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quantization is behaviourally neutral from 8-bit down to 3-bit while 2-bit erodes safety, and that over-refusal is contextual rather than lexical.</w:t>
      </w:r>
    </w:p>
    <w:p w14:paraId="5110C02C" w14:textId="77777777" w:rsidR="001511EB" w:rsidRDefault="00C658F7">
      <w:pPr>
        <w:pStyle w:val="0-"/>
        <w:spacing w:after="120"/>
      </w:pPr>
      <w:r>
        <w:rPr>
          <w:b/>
        </w:rPr>
        <w:t xml:space="preserve">Keywords: </w:t>
      </w:r>
      <w:r>
        <w:rPr>
          <w:i/>
        </w:rPr>
        <w:t>over-refusal, alignment, quantization, local language models, software security</w:t>
      </w:r>
    </w:p>
    <w:p w14:paraId="0AA92BD5" w14:textId="77777777" w:rsidR="001511EB" w:rsidRDefault="00C658F7">
      <w:pPr>
        <w:pStyle w:val="8-"/>
      </w:pPr>
      <w:r>
        <w:t>__________________________________________</w:t>
      </w:r>
    </w:p>
    <w:p w14:paraId="170347AC" w14:textId="77777777" w:rsidR="001511EB" w:rsidRDefault="00C658F7">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C658F7">
      <w:pPr>
        <w:pStyle w:val="1-"/>
        <w:keepNext/>
      </w:pPr>
      <w:r>
        <w:t>УВОД</w:t>
      </w:r>
    </w:p>
    <w:p w14:paraId="2777FC80" w14:textId="5FFC14C0" w:rsidR="001511EB" w:rsidRDefault="00C658F7">
      <w:pPr>
        <w:pStyle w:val="0-"/>
      </w:pPr>
      <w:r>
        <w:t xml:space="preserve">Велики језички модели свакодневно се користе у инжењерству софтвера </w:t>
      </w:r>
      <w:r w:rsidR="00036852">
        <w:t>-</w:t>
      </w:r>
      <w:r>
        <w:t xml:space="preserve">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w:t>
      </w:r>
      <w:r w:rsidR="00036852">
        <w:t>-</w:t>
      </w:r>
      <w:r>
        <w:t xml:space="preserve"> модел одбија питање како прекинути процес због вишезначне речи „kill“.</w:t>
      </w:r>
    </w:p>
    <w:p w14:paraId="411E9371" w14:textId="77777777" w:rsidR="001511EB" w:rsidRDefault="00C658F7">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C658F7">
      <w:pPr>
        <w:pStyle w:val="1-"/>
        <w:keepNext/>
      </w:pPr>
      <w:r>
        <w:t>ПРЕГЛЕД СТАЊА У ОБЛАСТИ</w:t>
      </w:r>
    </w:p>
    <w:p w14:paraId="3EF7497F" w14:textId="4D3386BC" w:rsidR="001511EB" w:rsidRDefault="00C658F7">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w:t>
      </w:r>
      <w:r w:rsidR="004D682A">
        <w:rPr>
          <w:lang w:val="sr-Cyrl-RS"/>
        </w:rPr>
        <w:t>з</w:t>
      </w:r>
      <w:r>
        <w:t xml:space="preserve">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0AB70797" w:rsidR="001511EB" w:rsidRDefault="00C658F7">
      <w:pPr>
        <w:pStyle w:val="0-"/>
      </w:pPr>
      <w:r>
        <w:t xml:space="preserve">Радови [3] и [4] испитују да ли је квантизација бихевиорално неутрална и показују да може </w:t>
      </w:r>
      <w:r>
        <w:lastRenderedPageBreak/>
        <w:t xml:space="preserve">делимично да поништи безбедносно фино подешавање, чинећи модел склонијим удовољавању штетним захтевима </w:t>
      </w:r>
      <w:r w:rsidR="00036852">
        <w:t>-</w:t>
      </w:r>
      <w:r>
        <w:t xml:space="preserve"> али мере само тај смер квара. 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14:paraId="26D0524D" w14:textId="77777777" w:rsidR="001511EB" w:rsidRDefault="00C658F7">
      <w:pPr>
        <w:pStyle w:val="1-"/>
        <w:keepNext/>
      </w:pPr>
      <w:r>
        <w:t>ТЕОРИЈСКИ ПОЈМОВИ И ДЕФИНИЦИЈЕ</w:t>
      </w:r>
    </w:p>
    <w:p w14:paraId="20F20AAC" w14:textId="77777777" w:rsidR="001511EB" w:rsidRDefault="00C658F7">
      <w:pPr>
        <w:pStyle w:val="2-"/>
        <w:keepNext/>
      </w:pPr>
      <w:r>
        <w:t>Безбедносно поравнање</w:t>
      </w:r>
    </w:p>
    <w:p w14:paraId="009032E4" w14:textId="77777777" w:rsidR="001511EB" w:rsidRDefault="00C658F7">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p>
    <w:p w14:paraId="36FD1677" w14:textId="77777777" w:rsidR="001511EB" w:rsidRDefault="00C658F7">
      <w:pPr>
        <w:pStyle w:val="0-"/>
      </w:pP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C658F7">
      <w:pPr>
        <w:pStyle w:val="2-"/>
        <w:keepNext/>
      </w:pPr>
      <w:r>
        <w:t>Прекомерно одбијање</w:t>
      </w:r>
    </w:p>
    <w:p w14:paraId="73CFE0EA" w14:textId="77777777" w:rsidR="001511EB" w:rsidRDefault="00C658F7">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14:paraId="08F457AA" w14:textId="4231E491" w:rsidR="001511EB" w:rsidRDefault="00C658F7">
      <w:pPr>
        <w:pStyle w:val="0-"/>
      </w:pPr>
      <w: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w:t>
      </w:r>
      <w:r w:rsidR="00036852">
        <w:t>-</w:t>
      </w:r>
      <w:r>
        <w:t xml:space="preserve"> модел који никада не одбија има савршену прву и најгору другу вредност.</w:t>
      </w:r>
    </w:p>
    <w:p w14:paraId="20D3C28B" w14:textId="77777777" w:rsidR="001511EB" w:rsidRDefault="00C658F7">
      <w:pPr>
        <w:pStyle w:val="2-"/>
        <w:keepNext/>
      </w:pPr>
      <w:r>
        <w:t>Квантизација</w:t>
      </w:r>
    </w:p>
    <w:p w14:paraId="76DB014B" w14:textId="77777777" w:rsidR="001511EB" w:rsidRDefault="00C658F7">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C658F7">
      <w:pPr>
        <w:pStyle w:val="1-"/>
        <w:keepNext/>
      </w:pPr>
      <w:r>
        <w:t>СКУП ПОДАТАКА</w:t>
      </w:r>
    </w:p>
    <w:p w14:paraId="4D8B3570" w14:textId="77777777" w:rsidR="001511EB" w:rsidRDefault="00C658F7">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 Примери су дати у табели 1.</w:t>
      </w:r>
    </w:p>
    <w:p w14:paraId="708DDB82" w14:textId="7A715896" w:rsidR="001511EB" w:rsidRDefault="00C658F7">
      <w:pPr>
        <w:pStyle w:val="0-"/>
      </w:pPr>
      <w:r>
        <w:t xml:space="preserve">Прва мерења показала су да су такви безазлени захтеви превише очигледно безазлени </w:t>
      </w:r>
      <w:r w:rsidR="00036852">
        <w:t>-</w:t>
      </w:r>
      <w:r>
        <w:t xml:space="preserve"> сви модели удовољили су свима,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C658F7">
      <w:pPr>
        <w:pStyle w:val="Caption"/>
        <w:keepNext/>
      </w:pPr>
      <w:r>
        <w:t>Табела 1. Примери упарених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C658F7">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C658F7">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C658F7">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C658F7">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C658F7">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C658F7">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C658F7">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C658F7">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7EF61068" w:rsidR="001511EB" w:rsidRDefault="00C658F7">
      <w:pPr>
        <w:pStyle w:val="0-"/>
      </w:pPr>
      <w:r>
        <w:t xml:space="preserve">Скуп укупно садржи 148 захтева, од чега 124 безазлена (24 основна и 100 отежаних) и 24 штетна, </w:t>
      </w:r>
      <w:r w:rsidR="00865C7F" w:rsidRPr="00865C7F">
        <w:t>а формулације су црпљене из јавних извора, укључујући каталог слабости CWE [8] и базу C</w:t>
      </w:r>
      <w:r w:rsidR="00865C7F">
        <w:t>V</w:t>
      </w:r>
      <w:r w:rsidR="00865C7F" w:rsidRPr="00865C7F">
        <w:t>E</w:t>
      </w:r>
      <w:r w:rsidR="00865C7F">
        <w:t xml:space="preserve">. </w:t>
      </w:r>
      <w:r>
        <w:t>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C658F7">
      <w:pPr>
        <w:pStyle w:val="1-"/>
        <w:keepNext/>
      </w:pPr>
      <w:r>
        <w:t>МЕТОДОЛОГИЈА</w:t>
      </w:r>
    </w:p>
    <w:p w14:paraId="7E91F691" w14:textId="77777777" w:rsidR="001511EB" w:rsidRDefault="00C658F7">
      <w:pPr>
        <w:pStyle w:val="2-"/>
        <w:keepNext/>
      </w:pPr>
      <w:r>
        <w:t>Матрица модела и поступак</w:t>
      </w:r>
    </w:p>
    <w:p w14:paraId="40AD2252" w14:textId="77777777" w:rsidR="001511EB" w:rsidRDefault="00C658F7">
      <w:pPr>
        <w:pStyle w:val="0-"/>
      </w:pPr>
      <w:r>
        <w:t>Испитано је шест конфигурација: mistral-7B као слабо поравната основа, phi-3.5-mini као најмањи модел, gemma2-9B-instruct, те qwen2.5-7B-instruct и llama3.1-8B-instruct, оба у четворобитној и осмобитној прецизности ради поређења квантизације. Инференција се одвија локално преко алата Ollama, на графичкој картици NVIDIA RTX 4060 са 8 GB меморије.</w:t>
      </w:r>
    </w:p>
    <w:p w14:paraId="4D0A7131" w14:textId="77777777" w:rsidR="001511EB" w:rsidRDefault="00C658F7">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 (0,0 једном, затим 0,7 и 1,0 по три пута), чиме резултати добијају средњу вредност и стандардну девијацију.</w:t>
      </w:r>
    </w:p>
    <w:p w14:paraId="24A530A1" w14:textId="77777777" w:rsidR="001511EB" w:rsidRDefault="00C658F7">
      <w:pPr>
        <w:pStyle w:val="2-"/>
        <w:keepNext/>
      </w:pPr>
      <w:r>
        <w:t>Класификација одбијања</w:t>
      </w:r>
    </w:p>
    <w:p w14:paraId="7047636E" w14:textId="77777777" w:rsidR="001511EB" w:rsidRDefault="00C658F7">
      <w:pPr>
        <w:pStyle w:val="0-"/>
      </w:pPr>
      <w:r>
        <w:t xml:space="preserve">Класификација се одвија у две фазе. Прва је хеуристика заснована на регуларним изразима, која препознаје карактеристичне почетке одбијања, сигнале преусмеравања и сигнале удовољавања, и враћа степен </w:t>
      </w:r>
      <w:r>
        <w:lastRenderedPageBreak/>
        <w:t>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7DBE7615" w14:textId="77777777" w:rsidR="001511EB" w:rsidRDefault="00C658F7">
      <w:pPr>
        <w:pStyle w:val="0-"/>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C658F7">
      <w:pPr>
        <w:pStyle w:val="1-"/>
        <w:keepNext/>
      </w:pPr>
      <w:r>
        <w:t>РЕЗУЛТАТИ И ДИСКУСИЈА</w:t>
      </w:r>
    </w:p>
    <w:p w14:paraId="3678DC67" w14:textId="77777777" w:rsidR="001511EB" w:rsidRDefault="00C658F7">
      <w:pPr>
        <w:pStyle w:val="2-"/>
        <w:keepNext/>
      </w:pPr>
      <w:r>
        <w:t>Валидација класификатора</w:t>
      </w:r>
    </w:p>
    <w:p w14:paraId="55AC36FB" w14:textId="1EA36067" w:rsidR="001511EB" w:rsidRDefault="00C658F7">
      <w:pPr>
        <w:pStyle w:val="0-"/>
      </w:pPr>
      <w:r>
        <w:t xml:space="preserve">Хеуристика и хибридни поступак не слажу се на </w:t>
      </w:r>
      <w:r w:rsidR="00865C7F" w:rsidRPr="00865C7F">
        <w:rPr>
          <w:lang w:val="en-GB"/>
        </w:rPr>
        <w:t>16 до 44 одсто одговора, зависно од модела</w:t>
      </w:r>
      <w:r>
        <w:t>, што збирне мере помера два до четири пута. Слагање са људском анотацијом приказано је у табели 2.</w:t>
      </w:r>
    </w:p>
    <w:p w14:paraId="4AC613AC" w14:textId="77777777" w:rsidR="001511EB" w:rsidRDefault="00C658F7">
      <w:pPr>
        <w:pStyle w:val="Caption"/>
        <w:keepNext/>
      </w:pPr>
      <w:r>
        <w:t>Табела 2. Слагање класификатора са човеком</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C658F7">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C658F7">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C658F7">
            <w:pPr>
              <w:pStyle w:val="0-"/>
              <w:spacing w:before="10" w:after="10"/>
              <w:jc w:val="center"/>
            </w:pPr>
            <w:r>
              <w:rPr>
                <w:b/>
                <w:sz w:val="16"/>
                <w:szCs w:val="16"/>
              </w:rPr>
              <w:t>κ</w:t>
            </w:r>
          </w:p>
        </w:tc>
        <w:tc>
          <w:tcPr>
            <w:tcW w:w="978" w:type="dxa"/>
            <w:shd w:val="clear" w:color="auto" w:fill="E8E8E8"/>
          </w:tcPr>
          <w:p w14:paraId="1AF1BDF5" w14:textId="77777777" w:rsidR="001511EB" w:rsidRDefault="00C658F7">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C658F7">
            <w:pPr>
              <w:pStyle w:val="0-"/>
              <w:spacing w:before="10" w:after="10"/>
              <w:jc w:val="left"/>
            </w:pPr>
            <w:r>
              <w:rPr>
                <w:sz w:val="16"/>
                <w:szCs w:val="16"/>
              </w:rPr>
              <w:t>Хеуристика</w:t>
            </w:r>
          </w:p>
        </w:tc>
        <w:tc>
          <w:tcPr>
            <w:tcW w:w="1000" w:type="dxa"/>
          </w:tcPr>
          <w:p w14:paraId="3CD9022C" w14:textId="77777777" w:rsidR="001511EB" w:rsidRDefault="00C658F7">
            <w:pPr>
              <w:pStyle w:val="0-"/>
              <w:spacing w:before="10" w:after="10"/>
              <w:jc w:val="center"/>
            </w:pPr>
            <w:r>
              <w:rPr>
                <w:sz w:val="16"/>
                <w:szCs w:val="16"/>
              </w:rPr>
              <w:t>45,6%</w:t>
            </w:r>
          </w:p>
        </w:tc>
        <w:tc>
          <w:tcPr>
            <w:tcW w:w="900" w:type="dxa"/>
          </w:tcPr>
          <w:p w14:paraId="6C35351D" w14:textId="77777777" w:rsidR="001511EB" w:rsidRDefault="00C658F7">
            <w:pPr>
              <w:pStyle w:val="0-"/>
              <w:spacing w:before="10" w:after="10"/>
              <w:jc w:val="center"/>
            </w:pPr>
            <w:r>
              <w:rPr>
                <w:sz w:val="16"/>
                <w:szCs w:val="16"/>
              </w:rPr>
              <w:t>0,097</w:t>
            </w:r>
          </w:p>
        </w:tc>
        <w:tc>
          <w:tcPr>
            <w:tcW w:w="978" w:type="dxa"/>
          </w:tcPr>
          <w:p w14:paraId="50437F4A" w14:textId="77777777" w:rsidR="001511EB" w:rsidRDefault="00C658F7">
            <w:pPr>
              <w:pStyle w:val="0-"/>
              <w:spacing w:before="10" w:after="10"/>
              <w:jc w:val="center"/>
            </w:pPr>
            <w:r>
              <w:rPr>
                <w:sz w:val="16"/>
                <w:szCs w:val="16"/>
              </w:rPr>
              <w:t>12%</w:t>
            </w:r>
          </w:p>
        </w:tc>
      </w:tr>
      <w:tr w:rsidR="001511EB" w14:paraId="43B72AFE" w14:textId="77777777">
        <w:tc>
          <w:tcPr>
            <w:tcW w:w="1800" w:type="dxa"/>
          </w:tcPr>
          <w:p w14:paraId="1959879C" w14:textId="77777777" w:rsidR="001511EB" w:rsidRDefault="00C658F7">
            <w:pPr>
              <w:pStyle w:val="0-"/>
              <w:spacing w:before="10" w:after="10"/>
              <w:jc w:val="left"/>
            </w:pPr>
            <w:r>
              <w:rPr>
                <w:sz w:val="16"/>
                <w:szCs w:val="16"/>
              </w:rPr>
              <w:t>Хибридни</w:t>
            </w:r>
          </w:p>
        </w:tc>
        <w:tc>
          <w:tcPr>
            <w:tcW w:w="1000" w:type="dxa"/>
          </w:tcPr>
          <w:p w14:paraId="1AB42080" w14:textId="77777777" w:rsidR="001511EB" w:rsidRDefault="00C658F7">
            <w:pPr>
              <w:pStyle w:val="0-"/>
              <w:spacing w:before="10" w:after="10"/>
              <w:jc w:val="center"/>
            </w:pPr>
            <w:r>
              <w:rPr>
                <w:sz w:val="16"/>
                <w:szCs w:val="16"/>
              </w:rPr>
              <w:t>86,7%</w:t>
            </w:r>
          </w:p>
        </w:tc>
        <w:tc>
          <w:tcPr>
            <w:tcW w:w="900" w:type="dxa"/>
          </w:tcPr>
          <w:p w14:paraId="0B4F8427" w14:textId="77777777" w:rsidR="001511EB" w:rsidRDefault="00C658F7">
            <w:pPr>
              <w:pStyle w:val="0-"/>
              <w:spacing w:before="10" w:after="10"/>
              <w:jc w:val="center"/>
            </w:pPr>
            <w:r>
              <w:rPr>
                <w:sz w:val="16"/>
                <w:szCs w:val="16"/>
              </w:rPr>
              <w:t>0,716</w:t>
            </w:r>
          </w:p>
        </w:tc>
        <w:tc>
          <w:tcPr>
            <w:tcW w:w="978" w:type="dxa"/>
          </w:tcPr>
          <w:p w14:paraId="048D81BF" w14:textId="77777777" w:rsidR="001511EB" w:rsidRDefault="00C658F7">
            <w:pPr>
              <w:pStyle w:val="0-"/>
              <w:spacing w:before="10" w:after="10"/>
              <w:jc w:val="center"/>
            </w:pPr>
            <w:r>
              <w:rPr>
                <w:sz w:val="16"/>
                <w:szCs w:val="16"/>
              </w:rPr>
              <w:t>89%</w:t>
            </w:r>
          </w:p>
        </w:tc>
      </w:tr>
    </w:tbl>
    <w:p w14:paraId="64F92B5C" w14:textId="77777777" w:rsidR="001511EB" w:rsidRDefault="001511EB">
      <w:pPr>
        <w:pStyle w:val="0-"/>
        <w:spacing w:after="60"/>
      </w:pPr>
    </w:p>
    <w:p w14:paraId="46016780" w14:textId="77777777" w:rsidR="001511EB" w:rsidRDefault="00C658F7">
      <w:pPr>
        <w:pStyle w:val="0-"/>
      </w:pPr>
      <w:r>
        <w:t>Хеуристика има савршену прецизност, али открива свега 12 одсто стварних одбијања, јер јој измичу блага одбијања и преусмеравања. Хибридни класификатор је уравнотежен, са Коеновом капом од 0,716, па су све даље вредности рачунате њиме. Шира порука јесте да свака студија која одбијања броји чисто лексичким правилима систематски их потцењује.</w:t>
      </w:r>
    </w:p>
    <w:p w14:paraId="3EEC75BD" w14:textId="77777777" w:rsidR="001511EB" w:rsidRDefault="00C658F7">
      <w:pPr>
        <w:pStyle w:val="2-"/>
        <w:keepNext/>
      </w:pPr>
      <w:r>
        <w:t>Домен наспрам општег мерила</w:t>
      </w:r>
    </w:p>
    <w:p w14:paraId="106D9E24" w14:textId="77777777" w:rsidR="001511EB" w:rsidRDefault="00C658F7">
      <w:pPr>
        <w:pStyle w:val="0-"/>
      </w:pPr>
      <w:r>
        <w:t>Прекомерно одбијање у безбедносном домену није универзално, већ изразито зависи од модела. Код модела gemma2 и llama3.1 стопа лажног одбијања на сопственом скупу, рачуната преко изворних 42 безазлена захтева на којима су оба мерила поређена, износи 23,8 односно 35,7 одсто и премашује вредности на мерилу XSTest, које износе 22,4 односно 10,8 одсто. Код тих модела безбедносни контекст изазива више одбијања него општи захтеви.</w:t>
      </w:r>
    </w:p>
    <w:p w14:paraId="585893AF" w14:textId="77777777" w:rsidR="001511EB" w:rsidRDefault="00C658F7">
      <w:pPr>
        <w:pStyle w:val="0-"/>
      </w:pPr>
      <w:r>
        <w:t>Код модела qwen2.5, mistral и phi-3.5 однос је обрнут: стопа у безбедносном домену креће се од 0 до 4,8 одсто и нижа је од њихове стопе на мерилу XSTest, која иде од 8,4 до 12,8 одсто. Ти модели удобно подносе безбедносни речник, а више одбијају опште осетљиве теме.</w:t>
      </w:r>
    </w:p>
    <w:p w14:paraId="59267AC9" w14:textId="2BFA676C" w:rsidR="001511EB" w:rsidRDefault="00C658F7">
      <w:pPr>
        <w:pStyle w:val="0-"/>
      </w:pPr>
      <w:r>
        <w:t xml:space="preserve">Полазна претпоставка да је безбедносни домен по себи подложнији прекомерном одбијању стога није потврђена у општем облику </w:t>
      </w:r>
      <w:r w:rsidR="00036852">
        <w:t>-</w:t>
      </w:r>
      <w:r>
        <w:t xml:space="preserve"> важи само за агресивније поравнате моделе. Још важније, појава је готово у потпуности сконцентрисана на отежани ниво: на основном нивоу сви модели имају стопу нула, осим модела llama3.1 са 8,3 одсто. То потврђује дизајн скупа са два нивоа </w:t>
      </w:r>
      <w:r w:rsidR="00036852">
        <w:t>-</w:t>
      </w:r>
      <w:r>
        <w:t xml:space="preserve">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C658F7">
      <w:pPr>
        <w:pStyle w:val="2-"/>
        <w:keepNext/>
      </w:pPr>
      <w:r>
        <w:t>Компромис поравнања и корисности</w:t>
      </w:r>
    </w:p>
    <w:p w14:paraId="4BE0FD8E" w14:textId="77777777" w:rsidR="001511EB" w:rsidRDefault="00C658F7">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116C00B0" w14:textId="77777777" w:rsidR="001511EB" w:rsidRDefault="00C658F7">
      <w:pPr>
        <w:pStyle w:val="Caption"/>
        <w:keepNext/>
      </w:pPr>
      <w:r>
        <w:t>Табела 3. Резултати на скупу Security-SWE (FRR отежани, n=100)</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C658F7">
            <w:pPr>
              <w:pStyle w:val="0-"/>
              <w:spacing w:before="10" w:after="10"/>
              <w:jc w:val="center"/>
            </w:pPr>
            <w:r>
              <w:rPr>
                <w:b/>
                <w:sz w:val="16"/>
                <w:szCs w:val="16"/>
              </w:rPr>
              <w:t>Модел</w:t>
            </w:r>
          </w:p>
        </w:tc>
        <w:tc>
          <w:tcPr>
            <w:tcW w:w="950" w:type="dxa"/>
            <w:shd w:val="clear" w:color="auto" w:fill="E8E8E8"/>
          </w:tcPr>
          <w:p w14:paraId="2FEC6FAC" w14:textId="77777777" w:rsidR="001511EB" w:rsidRDefault="00C658F7">
            <w:pPr>
              <w:pStyle w:val="0-"/>
              <w:spacing w:before="10" w:after="10"/>
              <w:jc w:val="center"/>
            </w:pPr>
            <w:r>
              <w:rPr>
                <w:b/>
                <w:sz w:val="16"/>
                <w:szCs w:val="16"/>
              </w:rPr>
              <w:t>FRR</w:t>
            </w:r>
          </w:p>
        </w:tc>
        <w:tc>
          <w:tcPr>
            <w:tcW w:w="950" w:type="dxa"/>
            <w:shd w:val="clear" w:color="auto" w:fill="E8E8E8"/>
          </w:tcPr>
          <w:p w14:paraId="1C84DD72" w14:textId="77777777" w:rsidR="001511EB" w:rsidRDefault="00C658F7">
            <w:pPr>
              <w:pStyle w:val="0-"/>
              <w:spacing w:before="10" w:after="10"/>
              <w:jc w:val="center"/>
            </w:pPr>
            <w:r>
              <w:rPr>
                <w:b/>
                <w:sz w:val="16"/>
                <w:szCs w:val="16"/>
              </w:rPr>
              <w:t>TRR</w:t>
            </w:r>
          </w:p>
        </w:tc>
        <w:tc>
          <w:tcPr>
            <w:tcW w:w="878" w:type="dxa"/>
            <w:shd w:val="clear" w:color="auto" w:fill="E8E8E8"/>
          </w:tcPr>
          <w:p w14:paraId="30302E97" w14:textId="77777777" w:rsidR="001511EB" w:rsidRDefault="00C658F7">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C658F7">
            <w:pPr>
              <w:pStyle w:val="0-"/>
              <w:spacing w:before="10" w:after="10"/>
              <w:jc w:val="left"/>
            </w:pPr>
            <w:r>
              <w:rPr>
                <w:sz w:val="16"/>
                <w:szCs w:val="16"/>
              </w:rPr>
              <w:t>mistral-7B</w:t>
            </w:r>
          </w:p>
        </w:tc>
        <w:tc>
          <w:tcPr>
            <w:tcW w:w="950" w:type="dxa"/>
          </w:tcPr>
          <w:p w14:paraId="332FB2B7" w14:textId="77777777" w:rsidR="001511EB" w:rsidRDefault="00C658F7">
            <w:pPr>
              <w:pStyle w:val="0-"/>
              <w:spacing w:before="10" w:after="10"/>
              <w:jc w:val="center"/>
            </w:pPr>
            <w:r>
              <w:rPr>
                <w:sz w:val="16"/>
                <w:szCs w:val="16"/>
              </w:rPr>
              <w:t>0,0%</w:t>
            </w:r>
          </w:p>
        </w:tc>
        <w:tc>
          <w:tcPr>
            <w:tcW w:w="950" w:type="dxa"/>
          </w:tcPr>
          <w:p w14:paraId="47E7DC3D" w14:textId="77777777" w:rsidR="001511EB" w:rsidRDefault="00C658F7">
            <w:pPr>
              <w:pStyle w:val="0-"/>
              <w:spacing w:before="10" w:after="10"/>
              <w:jc w:val="center"/>
            </w:pPr>
            <w:r>
              <w:rPr>
                <w:sz w:val="16"/>
                <w:szCs w:val="16"/>
              </w:rPr>
              <w:t>41,7%</w:t>
            </w:r>
          </w:p>
        </w:tc>
        <w:tc>
          <w:tcPr>
            <w:tcW w:w="878" w:type="dxa"/>
          </w:tcPr>
          <w:p w14:paraId="24F8EE1F" w14:textId="77777777" w:rsidR="001511EB" w:rsidRDefault="00C658F7">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C658F7">
            <w:pPr>
              <w:pStyle w:val="0-"/>
              <w:spacing w:before="10" w:after="10"/>
              <w:jc w:val="left"/>
            </w:pPr>
            <w:r>
              <w:rPr>
                <w:sz w:val="16"/>
                <w:szCs w:val="16"/>
              </w:rPr>
              <w:t>phi-3.5-mini</w:t>
            </w:r>
          </w:p>
        </w:tc>
        <w:tc>
          <w:tcPr>
            <w:tcW w:w="950" w:type="dxa"/>
          </w:tcPr>
          <w:p w14:paraId="193F08C1" w14:textId="77777777" w:rsidR="001511EB" w:rsidRDefault="00C658F7">
            <w:pPr>
              <w:pStyle w:val="0-"/>
              <w:spacing w:before="10" w:after="10"/>
              <w:jc w:val="center"/>
            </w:pPr>
            <w:r>
              <w:rPr>
                <w:sz w:val="16"/>
                <w:szCs w:val="16"/>
              </w:rPr>
              <w:t>2,0%</w:t>
            </w:r>
          </w:p>
        </w:tc>
        <w:tc>
          <w:tcPr>
            <w:tcW w:w="950" w:type="dxa"/>
          </w:tcPr>
          <w:p w14:paraId="223F9DFF" w14:textId="77777777" w:rsidR="001511EB" w:rsidRDefault="00C658F7">
            <w:pPr>
              <w:pStyle w:val="0-"/>
              <w:spacing w:before="10" w:after="10"/>
              <w:jc w:val="center"/>
            </w:pPr>
            <w:r>
              <w:rPr>
                <w:sz w:val="16"/>
                <w:szCs w:val="16"/>
              </w:rPr>
              <w:t>20,8%</w:t>
            </w:r>
          </w:p>
        </w:tc>
        <w:tc>
          <w:tcPr>
            <w:tcW w:w="878" w:type="dxa"/>
          </w:tcPr>
          <w:p w14:paraId="7D9CF6DB" w14:textId="77777777" w:rsidR="001511EB" w:rsidRDefault="00C658F7">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C658F7">
            <w:pPr>
              <w:pStyle w:val="0-"/>
              <w:spacing w:before="10" w:after="10"/>
              <w:jc w:val="left"/>
            </w:pPr>
            <w:r>
              <w:rPr>
                <w:sz w:val="16"/>
                <w:szCs w:val="16"/>
              </w:rPr>
              <w:t>qwen2.5 Q4</w:t>
            </w:r>
          </w:p>
        </w:tc>
        <w:tc>
          <w:tcPr>
            <w:tcW w:w="950" w:type="dxa"/>
          </w:tcPr>
          <w:p w14:paraId="49FB4D4E" w14:textId="77777777" w:rsidR="001511EB" w:rsidRDefault="00C658F7">
            <w:pPr>
              <w:pStyle w:val="0-"/>
              <w:spacing w:before="10" w:after="10"/>
              <w:jc w:val="center"/>
            </w:pPr>
            <w:r>
              <w:rPr>
                <w:sz w:val="16"/>
                <w:szCs w:val="16"/>
              </w:rPr>
              <w:t>1,0%</w:t>
            </w:r>
          </w:p>
        </w:tc>
        <w:tc>
          <w:tcPr>
            <w:tcW w:w="950" w:type="dxa"/>
          </w:tcPr>
          <w:p w14:paraId="48D184D3" w14:textId="77777777" w:rsidR="001511EB" w:rsidRDefault="00C658F7">
            <w:pPr>
              <w:pStyle w:val="0-"/>
              <w:spacing w:before="10" w:after="10"/>
              <w:jc w:val="center"/>
            </w:pPr>
            <w:r>
              <w:rPr>
                <w:sz w:val="16"/>
                <w:szCs w:val="16"/>
              </w:rPr>
              <w:t>79,2%</w:t>
            </w:r>
          </w:p>
        </w:tc>
        <w:tc>
          <w:tcPr>
            <w:tcW w:w="878" w:type="dxa"/>
          </w:tcPr>
          <w:p w14:paraId="28E1642D" w14:textId="77777777" w:rsidR="001511EB" w:rsidRDefault="00C658F7">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C658F7">
            <w:pPr>
              <w:pStyle w:val="0-"/>
              <w:spacing w:before="10" w:after="10"/>
              <w:jc w:val="left"/>
            </w:pPr>
            <w:r>
              <w:rPr>
                <w:sz w:val="16"/>
                <w:szCs w:val="16"/>
              </w:rPr>
              <w:t>qwen2.5 Q8</w:t>
            </w:r>
          </w:p>
        </w:tc>
        <w:tc>
          <w:tcPr>
            <w:tcW w:w="950" w:type="dxa"/>
          </w:tcPr>
          <w:p w14:paraId="251A038E" w14:textId="77777777" w:rsidR="001511EB" w:rsidRDefault="00C658F7">
            <w:pPr>
              <w:pStyle w:val="0-"/>
              <w:spacing w:before="10" w:after="10"/>
              <w:jc w:val="center"/>
            </w:pPr>
            <w:r>
              <w:rPr>
                <w:sz w:val="16"/>
                <w:szCs w:val="16"/>
              </w:rPr>
              <w:t>1,0%</w:t>
            </w:r>
          </w:p>
        </w:tc>
        <w:tc>
          <w:tcPr>
            <w:tcW w:w="950" w:type="dxa"/>
          </w:tcPr>
          <w:p w14:paraId="720731AE" w14:textId="77777777" w:rsidR="001511EB" w:rsidRDefault="00C658F7">
            <w:pPr>
              <w:pStyle w:val="0-"/>
              <w:spacing w:before="10" w:after="10"/>
              <w:jc w:val="center"/>
            </w:pPr>
            <w:r>
              <w:rPr>
                <w:sz w:val="16"/>
                <w:szCs w:val="16"/>
              </w:rPr>
              <w:t>91,7%</w:t>
            </w:r>
          </w:p>
        </w:tc>
        <w:tc>
          <w:tcPr>
            <w:tcW w:w="878" w:type="dxa"/>
          </w:tcPr>
          <w:p w14:paraId="1909CAE9" w14:textId="77777777" w:rsidR="001511EB" w:rsidRDefault="00C658F7">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C658F7">
            <w:pPr>
              <w:pStyle w:val="0-"/>
              <w:spacing w:before="10" w:after="10"/>
              <w:jc w:val="left"/>
            </w:pPr>
            <w:r>
              <w:rPr>
                <w:sz w:val="16"/>
                <w:szCs w:val="16"/>
              </w:rPr>
              <w:t>gemma2-9B</w:t>
            </w:r>
          </w:p>
        </w:tc>
        <w:tc>
          <w:tcPr>
            <w:tcW w:w="950" w:type="dxa"/>
          </w:tcPr>
          <w:p w14:paraId="4781837A" w14:textId="77777777" w:rsidR="001511EB" w:rsidRDefault="00C658F7">
            <w:pPr>
              <w:pStyle w:val="0-"/>
              <w:spacing w:before="10" w:after="10"/>
              <w:jc w:val="center"/>
            </w:pPr>
            <w:r>
              <w:rPr>
                <w:sz w:val="16"/>
                <w:szCs w:val="16"/>
              </w:rPr>
              <w:t>16,0%</w:t>
            </w:r>
          </w:p>
        </w:tc>
        <w:tc>
          <w:tcPr>
            <w:tcW w:w="950" w:type="dxa"/>
          </w:tcPr>
          <w:p w14:paraId="4E9DB856" w14:textId="77777777" w:rsidR="001511EB" w:rsidRDefault="00C658F7">
            <w:pPr>
              <w:pStyle w:val="0-"/>
              <w:spacing w:before="10" w:after="10"/>
              <w:jc w:val="center"/>
            </w:pPr>
            <w:r>
              <w:rPr>
                <w:sz w:val="16"/>
                <w:szCs w:val="16"/>
              </w:rPr>
              <w:t>100,0%</w:t>
            </w:r>
          </w:p>
        </w:tc>
        <w:tc>
          <w:tcPr>
            <w:tcW w:w="878" w:type="dxa"/>
          </w:tcPr>
          <w:p w14:paraId="13B58CFE" w14:textId="77777777" w:rsidR="001511EB" w:rsidRDefault="00C658F7">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C658F7">
            <w:pPr>
              <w:pStyle w:val="0-"/>
              <w:spacing w:before="10" w:after="10"/>
              <w:jc w:val="left"/>
            </w:pPr>
            <w:r>
              <w:rPr>
                <w:sz w:val="16"/>
                <w:szCs w:val="16"/>
              </w:rPr>
              <w:t>llama3.1-8B</w:t>
            </w:r>
          </w:p>
        </w:tc>
        <w:tc>
          <w:tcPr>
            <w:tcW w:w="950" w:type="dxa"/>
          </w:tcPr>
          <w:p w14:paraId="0D4EB71D" w14:textId="77777777" w:rsidR="001511EB" w:rsidRDefault="00C658F7">
            <w:pPr>
              <w:pStyle w:val="0-"/>
              <w:spacing w:before="10" w:after="10"/>
              <w:jc w:val="center"/>
            </w:pPr>
            <w:r>
              <w:rPr>
                <w:sz w:val="16"/>
                <w:szCs w:val="16"/>
              </w:rPr>
              <w:t>26,0%</w:t>
            </w:r>
          </w:p>
        </w:tc>
        <w:tc>
          <w:tcPr>
            <w:tcW w:w="950" w:type="dxa"/>
          </w:tcPr>
          <w:p w14:paraId="1FD39BFE" w14:textId="77777777" w:rsidR="001511EB" w:rsidRDefault="00C658F7">
            <w:pPr>
              <w:pStyle w:val="0-"/>
              <w:spacing w:before="10" w:after="10"/>
              <w:jc w:val="center"/>
            </w:pPr>
            <w:r>
              <w:rPr>
                <w:sz w:val="16"/>
                <w:szCs w:val="16"/>
              </w:rPr>
              <w:t>100,0%</w:t>
            </w:r>
          </w:p>
        </w:tc>
        <w:tc>
          <w:tcPr>
            <w:tcW w:w="878" w:type="dxa"/>
          </w:tcPr>
          <w:p w14:paraId="14142B8E" w14:textId="77777777" w:rsidR="001511EB" w:rsidRDefault="00C658F7">
            <w:pPr>
              <w:pStyle w:val="0-"/>
              <w:spacing w:before="10" w:after="10"/>
              <w:jc w:val="center"/>
            </w:pPr>
            <w:r>
              <w:rPr>
                <w:sz w:val="16"/>
                <w:szCs w:val="16"/>
              </w:rPr>
              <w:t>0,63</w:t>
            </w:r>
          </w:p>
        </w:tc>
      </w:tr>
    </w:tbl>
    <w:p w14:paraId="3DB9EF6F" w14:textId="77777777" w:rsidR="001511EB" w:rsidRDefault="001511EB">
      <w:pPr>
        <w:pStyle w:val="0-"/>
        <w:spacing w:after="60"/>
      </w:pPr>
    </w:p>
    <w:p w14:paraId="21234C78" w14:textId="77777777" w:rsidR="001511EB" w:rsidRDefault="00C658F7">
      <w:pPr>
        <w:pStyle w:val="0-"/>
      </w:pPr>
      <w:r>
        <w:t>Прекомерно одбијање и безбедност крећу се заједно: модели који добро одбијају штетне захтеве управо су они који одбијају и безазлене отежане задатке. Кључна је, међутим, колона корисности. Када модел удовољи, квалитет одговора висок је (0,93 до 0,98; phi-3.5 је изузетак са 0,75),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јер одбија више од трећине безазлених задатака.</w:t>
      </w:r>
    </w:p>
    <w:p w14:paraId="62395495" w14:textId="7C6D813E" w:rsidR="001511EB" w:rsidRDefault="00C658F7">
      <w:pPr>
        <w:pStyle w:val="0-"/>
      </w:pPr>
      <w:r>
        <w:t xml:space="preserve">Фишеров егзактни тест уз Холм-Бонферонијеву корекцију показује да подаци подржавају поделу модела у три групе </w:t>
      </w:r>
      <w:r w:rsidR="00036852">
        <w:t>-</w:t>
      </w:r>
      <w:r>
        <w:t xml:space="preserve"> попустљиви, уравнотежени и максимално безбедни </w:t>
      </w:r>
      <w:r w:rsidR="00036852">
        <w:t>-</w:t>
      </w:r>
      <w:r>
        <w:t xml:space="preserve">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C658F7">
      <w:pPr>
        <w:pStyle w:val="2-"/>
        <w:keepNext/>
      </w:pPr>
      <w:r>
        <w:t>Утицај квантизације</w:t>
      </w:r>
    </w:p>
    <w:p w14:paraId="5299501F" w14:textId="77777777" w:rsidR="001511EB" w:rsidRDefault="00C658F7">
      <w:pPr>
        <w:pStyle w:val="0-"/>
      </w:pPr>
      <w:r>
        <w:t>Утицај квантизације испитан је дуж прецизносне лествице Q8 → Q4 → Q3 → Q2, уз понављања по температури. У опсегу од осмобитне до тробитне прецизности нема поузданог утицаја ни на прекомерно одбијање ни на безбедност; привидна предност осмобитне варијанте од 12,5 поена при температури нула нестаје под узорковањем.</w:t>
      </w:r>
    </w:p>
    <w:p w14:paraId="5EA38CB4" w14:textId="77777777" w:rsidR="001511EB" w:rsidRDefault="00C658F7">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C658F7">
      <w:pPr>
        <w:pStyle w:val="2-"/>
        <w:keepNext/>
      </w:pPr>
      <w:r>
        <w:t>Лексичко наспрам контекстуалног</w:t>
      </w:r>
    </w:p>
    <w:p w14:paraId="627EDDC9" w14:textId="77777777" w:rsidR="001511EB" w:rsidRDefault="00C658F7">
      <w:pPr>
        <w:pStyle w:val="0-"/>
      </w:pPr>
      <w:r>
        <w:t>Рашчлањивање по типу захтева на мерилу XSTest приказано је у табели 4.</w:t>
      </w:r>
    </w:p>
    <w:p w14:paraId="380F509F" w14:textId="77777777" w:rsidR="001511EB" w:rsidRDefault="00C658F7">
      <w:pPr>
        <w:pStyle w:val="Caption"/>
        <w:keepNext/>
      </w:pPr>
      <w:r>
        <w:t>Табела 4. Стопа лажног одбијања по типу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C658F7">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C658F7">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C658F7">
            <w:pPr>
              <w:pStyle w:val="0-"/>
              <w:spacing w:before="10" w:after="10"/>
              <w:jc w:val="left"/>
            </w:pPr>
            <w:r>
              <w:rPr>
                <w:sz w:val="16"/>
                <w:szCs w:val="16"/>
              </w:rPr>
              <w:t>приватност измишљених лица</w:t>
            </w:r>
          </w:p>
        </w:tc>
        <w:tc>
          <w:tcPr>
            <w:tcW w:w="1578" w:type="dxa"/>
          </w:tcPr>
          <w:p w14:paraId="4E12FA3F" w14:textId="1CC85252" w:rsidR="001511EB" w:rsidRDefault="00C658F7">
            <w:pPr>
              <w:pStyle w:val="0-"/>
              <w:spacing w:before="10" w:after="10"/>
              <w:jc w:val="center"/>
            </w:pPr>
            <w:r>
              <w:rPr>
                <w:sz w:val="16"/>
                <w:szCs w:val="16"/>
              </w:rPr>
              <w:t xml:space="preserve">56 </w:t>
            </w:r>
            <w:r w:rsidR="00036852">
              <w:rPr>
                <w:sz w:val="16"/>
                <w:szCs w:val="16"/>
              </w:rPr>
              <w:t>-</w:t>
            </w:r>
            <w:r>
              <w:rPr>
                <w:sz w:val="16"/>
                <w:szCs w:val="16"/>
              </w:rPr>
              <w:t xml:space="preserve"> 76%</w:t>
            </w:r>
          </w:p>
        </w:tc>
      </w:tr>
      <w:tr w:rsidR="001511EB" w14:paraId="6D90C6F4" w14:textId="77777777">
        <w:tc>
          <w:tcPr>
            <w:tcW w:w="3100" w:type="dxa"/>
          </w:tcPr>
          <w:p w14:paraId="15966A2D" w14:textId="77777777" w:rsidR="001511EB" w:rsidRDefault="00C658F7">
            <w:pPr>
              <w:pStyle w:val="0-"/>
              <w:spacing w:before="10" w:after="10"/>
              <w:jc w:val="left"/>
            </w:pPr>
            <w:r>
              <w:rPr>
                <w:sz w:val="16"/>
                <w:szCs w:val="16"/>
              </w:rPr>
              <w:t>безбедни контексти</w:t>
            </w:r>
          </w:p>
        </w:tc>
        <w:tc>
          <w:tcPr>
            <w:tcW w:w="1578" w:type="dxa"/>
          </w:tcPr>
          <w:p w14:paraId="46740FD9" w14:textId="54ADCBD2"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36%</w:t>
            </w:r>
          </w:p>
        </w:tc>
      </w:tr>
      <w:tr w:rsidR="001511EB" w14:paraId="26F5C6D6" w14:textId="77777777">
        <w:tc>
          <w:tcPr>
            <w:tcW w:w="3100" w:type="dxa"/>
          </w:tcPr>
          <w:p w14:paraId="662D77A6" w14:textId="77777777" w:rsidR="001511EB" w:rsidRDefault="00C658F7">
            <w:pPr>
              <w:pStyle w:val="0-"/>
              <w:spacing w:before="10" w:after="10"/>
              <w:jc w:val="left"/>
            </w:pPr>
            <w:r>
              <w:rPr>
                <w:sz w:val="16"/>
                <w:szCs w:val="16"/>
              </w:rPr>
              <w:t>хомоними (нпр. kill процес)</w:t>
            </w:r>
          </w:p>
        </w:tc>
        <w:tc>
          <w:tcPr>
            <w:tcW w:w="1578" w:type="dxa"/>
          </w:tcPr>
          <w:p w14:paraId="795402A1" w14:textId="52B0025C"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2A45971B" w14:textId="77777777">
        <w:tc>
          <w:tcPr>
            <w:tcW w:w="3100" w:type="dxa"/>
          </w:tcPr>
          <w:p w14:paraId="3DD9CC65" w14:textId="77777777" w:rsidR="001511EB" w:rsidRDefault="00C658F7">
            <w:pPr>
              <w:pStyle w:val="0-"/>
              <w:spacing w:before="10" w:after="10"/>
              <w:jc w:val="left"/>
            </w:pPr>
            <w:r>
              <w:rPr>
                <w:sz w:val="16"/>
                <w:szCs w:val="16"/>
              </w:rPr>
              <w:t>фигуративни говор</w:t>
            </w:r>
          </w:p>
        </w:tc>
        <w:tc>
          <w:tcPr>
            <w:tcW w:w="1578" w:type="dxa"/>
          </w:tcPr>
          <w:p w14:paraId="6783118F" w14:textId="46AF81D6"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0DCBD06A" w14:textId="77777777">
        <w:tc>
          <w:tcPr>
            <w:tcW w:w="3100" w:type="dxa"/>
          </w:tcPr>
          <w:p w14:paraId="4AC2BFD3" w14:textId="77777777" w:rsidR="001511EB" w:rsidRDefault="00C658F7">
            <w:pPr>
              <w:pStyle w:val="0-"/>
              <w:spacing w:before="10" w:after="10"/>
              <w:jc w:val="left"/>
            </w:pPr>
            <w:r>
              <w:rPr>
                <w:sz w:val="16"/>
                <w:szCs w:val="16"/>
              </w:rPr>
              <w:t>дефиниције</w:t>
            </w:r>
          </w:p>
        </w:tc>
        <w:tc>
          <w:tcPr>
            <w:tcW w:w="1578" w:type="dxa"/>
          </w:tcPr>
          <w:p w14:paraId="2C45D367" w14:textId="77777777" w:rsidR="001511EB" w:rsidRDefault="00C658F7">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01FA8F35" w:rsidR="001511EB" w:rsidRDefault="00C658F7">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w:t>
      </w:r>
      <w:r w:rsidR="00036852">
        <w:t>-</w:t>
      </w:r>
      <w:r>
        <w:t xml:space="preserve"> механизам „опасне речи“ код испитиваних модела у великој мери је превазиђен. То објашњава и однос </w:t>
      </w:r>
      <w:r>
        <w:lastRenderedPageBreak/>
        <w:t>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C658F7">
      <w:pPr>
        <w:pStyle w:val="2-"/>
        <w:keepNext/>
      </w:pPr>
      <w:r>
        <w:t>Квалитативна анализа</w:t>
      </w:r>
    </w:p>
    <w:p w14:paraId="49B876C2" w14:textId="77777777" w:rsidR="001511EB" w:rsidRDefault="00C658F7">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C658F7">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C658F7">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07613FC2" w:rsidR="001511EB" w:rsidRDefault="00C658F7">
      <w:pPr>
        <w:pStyle w:val="0-"/>
      </w:pPr>
      <w:r>
        <w:t xml:space="preserve">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w:t>
      </w:r>
      <w:r w:rsidR="00036852">
        <w:t>-</w:t>
      </w:r>
      <w:r>
        <w:t xml:space="preserve"> потребно је побољшати разазнавање намере, а не смањивати осетљивост на речник.</w:t>
      </w:r>
    </w:p>
    <w:p w14:paraId="40BD0DDB" w14:textId="77777777" w:rsidR="001511EB" w:rsidRDefault="00C658F7">
      <w:pPr>
        <w:pStyle w:val="2-"/>
        <w:keepNext/>
      </w:pPr>
      <w:r>
        <w:t>Ублажавање системским захтевом</w:t>
      </w:r>
    </w:p>
    <w:p w14:paraId="2FC95EDB" w14:textId="77777777" w:rsidR="001511EB" w:rsidRDefault="00C658F7">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C658F7">
      <w:pPr>
        <w:pStyle w:val="2-"/>
        <w:keepNext/>
      </w:pPr>
      <w:r>
        <w:t>Ограничења</w:t>
      </w:r>
    </w:p>
    <w:p w14:paraId="118ADF44" w14:textId="77777777" w:rsidR="001511EB" w:rsidRDefault="00C658F7">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C658F7">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моделу qwen додељује нешто нижу, а не вишу оцену. </w:t>
      </w:r>
      <w:r>
        <w:t>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C658F7">
      <w:pPr>
        <w:pStyle w:val="1-"/>
        <w:keepNext/>
      </w:pPr>
      <w:r>
        <w:t>ЗАКЉУЧАК</w:t>
      </w:r>
    </w:p>
    <w:p w14:paraId="2C6E2FD1" w14:textId="77777777" w:rsidR="001511EB" w:rsidRDefault="00C658F7">
      <w:pPr>
        <w:pStyle w:val="0-"/>
      </w:pPr>
      <w:r>
        <w:t>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Квантизација нема поуздан утицај у опсегу од осмобитне до тробитне прецизности, а тек двобитно сажимање нарушава безбедност. Одбијање је контекстуално, а не лексичко.</w:t>
      </w:r>
    </w:p>
    <w:p w14:paraId="1A2D2777" w14:textId="77777777" w:rsidR="001511EB" w:rsidRDefault="00C658F7">
      <w:pPr>
        <w:pStyle w:val="0-"/>
      </w:pPr>
      <w:r>
        <w:t>Одбрамбени системски захтев, као бесплатна интервенција, помера прекомерно одбијање наниже (код модела gemma2 са 16 на 7 одсто, гранично значајно)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C658F7">
      <w:pPr>
        <w:pStyle w:val="1-"/>
        <w:keepNext/>
      </w:pPr>
      <w:r>
        <w:t>ЛИТЕРАТУРА</w:t>
      </w:r>
    </w:p>
    <w:p w14:paraId="7B62E4C4" w14:textId="77777777" w:rsidR="001511EB" w:rsidRDefault="00C658F7">
      <w:pPr>
        <w:pStyle w:val="0-"/>
        <w:ind w:left="284" w:hanging="284"/>
      </w:pPr>
      <w:r>
        <w:t>[1] P. Röttger, H. R. Kirk, B. Vidgen, G. Attanasio, F. Bianchi, D. Hovy, „XSTest: A Test Suite for Identifying Exaggerated Safety Behaviours in Large Language Models“, NAACL, 2024.</w:t>
      </w:r>
    </w:p>
    <w:p w14:paraId="1BEF265F" w14:textId="3DD780E4" w:rsidR="001511EB" w:rsidRDefault="00C658F7">
      <w:pPr>
        <w:pStyle w:val="0-"/>
        <w:ind w:left="284" w:hanging="284"/>
      </w:pPr>
      <w:r>
        <w:t>[2] J. Cui, W.-L. Chiang, I. Stoica, C.-J. Hsieh, „OR-Bench: An Over-Refusal Benchmark for Large Language Models“, ICML, PMLR 267, 11515</w:t>
      </w:r>
      <w:r w:rsidR="00036852">
        <w:t>-</w:t>
      </w:r>
      <w:r>
        <w:t>11542, 2025.</w:t>
      </w:r>
    </w:p>
    <w:p w14:paraId="409FC508" w14:textId="77777777" w:rsidR="001511EB" w:rsidRDefault="00C658F7">
      <w:pPr>
        <w:pStyle w:val="0-"/>
        <w:ind w:left="284" w:hanging="284"/>
      </w:pPr>
      <w:r>
        <w:t>[3] S. Wee, S. Kim, H. Kim, K. Hwang, N. Kwak, „Safety-Preserving PTQ via Contrastive Alignment Loss“, arXiv:2511.07842, 2025.</w:t>
      </w:r>
    </w:p>
    <w:p w14:paraId="4C56986D" w14:textId="77777777" w:rsidR="001511EB" w:rsidRDefault="00C658F7">
      <w:pPr>
        <w:pStyle w:val="0-"/>
        <w:ind w:left="284" w:hanging="284"/>
      </w:pPr>
      <w:r>
        <w:t>[4] P. K. Rath, R. Maliakkal, „Quantization Undoes Alignment: Bias Emergence in Compressed LLMs Across Models and Precision Levels“, arXiv:2605.15208, 2026.</w:t>
      </w:r>
    </w:p>
    <w:p w14:paraId="3122633E" w14:textId="77777777" w:rsidR="001511EB" w:rsidRDefault="00C658F7">
      <w:pPr>
        <w:pStyle w:val="0-"/>
        <w:ind w:left="284" w:hanging="284"/>
      </w:pPr>
      <w:r>
        <w:t>[5] L. Ouyang и др., „Training language models to follow instructions with human feedback“, NeurIPS, 2022.</w:t>
      </w:r>
    </w:p>
    <w:p w14:paraId="0F460C9B" w14:textId="77777777" w:rsidR="001511EB" w:rsidRDefault="00C658F7">
      <w:pPr>
        <w:pStyle w:val="0-"/>
        <w:ind w:left="284" w:hanging="284"/>
      </w:pPr>
      <w:r>
        <w:t>[6] A. Vaswani и др., „Attention is all you need“, NeurIPS, 2017.</w:t>
      </w:r>
    </w:p>
    <w:p w14:paraId="0D5E49F0" w14:textId="77777777" w:rsidR="001511EB" w:rsidRDefault="00C658F7">
      <w:pPr>
        <w:pStyle w:val="0-"/>
        <w:ind w:left="284" w:hanging="284"/>
      </w:pPr>
      <w:r>
        <w:t>[7] J. Cohen, „A Coefficient of Agreement for Nominal Scales“, Educational and Psychological Measurement, vol. 20, no. 1, 1960.</w:t>
      </w:r>
    </w:p>
    <w:p w14:paraId="7547356E" w14:textId="77777777" w:rsidR="001511EB" w:rsidRDefault="00C658F7">
      <w:pPr>
        <w:pStyle w:val="0-"/>
        <w:ind w:left="284" w:hanging="284"/>
      </w:pPr>
      <w:r>
        <w:t>[8] MITRE Corporation, „Common Weakness Enumeration (CWE)“, https://cwe.mitre.org (приступљено у јуну 2026.)</w:t>
      </w:r>
    </w:p>
    <w:p w14:paraId="47D9B479" w14:textId="77777777" w:rsidR="001511EB" w:rsidRDefault="00C658F7">
      <w:pPr>
        <w:pStyle w:val="0-"/>
        <w:spacing w:before="200" w:after="100"/>
        <w:jc w:val="left"/>
      </w:pPr>
      <w:r>
        <w:rPr>
          <w:b/>
          <w:sz w:val="18"/>
          <w:szCs w:val="18"/>
        </w:rPr>
        <w:t>Кратка биографија:</w:t>
      </w:r>
    </w:p>
    <w:p w14:paraId="05ED5503" w14:textId="77777777" w:rsidR="001511EB" w:rsidRDefault="00C658F7">
      <w:pPr>
        <w:pStyle w:val="0-"/>
        <w:spacing w:after="60"/>
      </w:pPr>
      <w:r>
        <w:rPr>
          <w:sz w:val="18"/>
          <w:szCs w:val="18"/>
        </w:rPr>
        <w:t>Борис Летић рођен је у Брчком 2001. год. Основне академске студије на Факултету техничких наука из области Рачунарства и аутоматике завршио је 2025. год. Мастер рад на истом факултету одбранио је 2026. год.</w:t>
      </w:r>
    </w:p>
    <w:p w14:paraId="7CE2F967" w14:textId="77777777" w:rsidR="001511EB" w:rsidRDefault="00C658F7">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429FF" w14:textId="77777777" w:rsidR="00082B63" w:rsidRDefault="00082B63" w:rsidP="004D52F7">
      <w:pPr>
        <w:spacing w:before="0"/>
      </w:pPr>
      <w:r>
        <w:separator/>
      </w:r>
    </w:p>
  </w:endnote>
  <w:endnote w:type="continuationSeparator" w:id="0">
    <w:p w14:paraId="3D377415" w14:textId="77777777" w:rsidR="00082B63" w:rsidRDefault="00082B63"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AF4F6" w14:textId="77777777" w:rsidR="00082B63" w:rsidRDefault="00082B63" w:rsidP="004D52F7">
      <w:pPr>
        <w:spacing w:before="0"/>
      </w:pPr>
      <w:r>
        <w:separator/>
      </w:r>
    </w:p>
  </w:footnote>
  <w:footnote w:type="continuationSeparator" w:id="0">
    <w:p w14:paraId="3CC1BD2D" w14:textId="77777777" w:rsidR="00082B63" w:rsidRDefault="00082B63"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52"/>
    <w:rsid w:val="0003688D"/>
    <w:rsid w:val="00053884"/>
    <w:rsid w:val="000749FA"/>
    <w:rsid w:val="00082B63"/>
    <w:rsid w:val="00086871"/>
    <w:rsid w:val="000A4FCA"/>
    <w:rsid w:val="000C7C19"/>
    <w:rsid w:val="000D0AC9"/>
    <w:rsid w:val="000D1B6D"/>
    <w:rsid w:val="00103560"/>
    <w:rsid w:val="0010547C"/>
    <w:rsid w:val="001069B3"/>
    <w:rsid w:val="0011460E"/>
    <w:rsid w:val="00133922"/>
    <w:rsid w:val="00144684"/>
    <w:rsid w:val="001511EB"/>
    <w:rsid w:val="00157146"/>
    <w:rsid w:val="00181D50"/>
    <w:rsid w:val="00192A6B"/>
    <w:rsid w:val="001A2BBF"/>
    <w:rsid w:val="001C2113"/>
    <w:rsid w:val="001C7B3B"/>
    <w:rsid w:val="001E6082"/>
    <w:rsid w:val="001F58A6"/>
    <w:rsid w:val="00201C73"/>
    <w:rsid w:val="002257F9"/>
    <w:rsid w:val="00245755"/>
    <w:rsid w:val="00297302"/>
    <w:rsid w:val="002E7F66"/>
    <w:rsid w:val="00343A61"/>
    <w:rsid w:val="00366EA3"/>
    <w:rsid w:val="00371114"/>
    <w:rsid w:val="003A799F"/>
    <w:rsid w:val="003B5B5D"/>
    <w:rsid w:val="004541E9"/>
    <w:rsid w:val="00461E3E"/>
    <w:rsid w:val="004A5258"/>
    <w:rsid w:val="004D1312"/>
    <w:rsid w:val="004D52F7"/>
    <w:rsid w:val="004D682A"/>
    <w:rsid w:val="004E0A19"/>
    <w:rsid w:val="004E0E68"/>
    <w:rsid w:val="00503752"/>
    <w:rsid w:val="0050544A"/>
    <w:rsid w:val="00510404"/>
    <w:rsid w:val="005355C3"/>
    <w:rsid w:val="00535E52"/>
    <w:rsid w:val="00536518"/>
    <w:rsid w:val="0054614D"/>
    <w:rsid w:val="00576BB1"/>
    <w:rsid w:val="00581EE2"/>
    <w:rsid w:val="005A535E"/>
    <w:rsid w:val="005A7AA7"/>
    <w:rsid w:val="00611D79"/>
    <w:rsid w:val="006135A5"/>
    <w:rsid w:val="006369A6"/>
    <w:rsid w:val="00651840"/>
    <w:rsid w:val="00660C3C"/>
    <w:rsid w:val="00660E62"/>
    <w:rsid w:val="00672850"/>
    <w:rsid w:val="00672D9C"/>
    <w:rsid w:val="00682616"/>
    <w:rsid w:val="006A1BFB"/>
    <w:rsid w:val="006E431F"/>
    <w:rsid w:val="0070189B"/>
    <w:rsid w:val="00740BFD"/>
    <w:rsid w:val="00781004"/>
    <w:rsid w:val="007935DC"/>
    <w:rsid w:val="007B1747"/>
    <w:rsid w:val="007E5522"/>
    <w:rsid w:val="0083175F"/>
    <w:rsid w:val="00842BE4"/>
    <w:rsid w:val="008449E9"/>
    <w:rsid w:val="008463AD"/>
    <w:rsid w:val="00865C7F"/>
    <w:rsid w:val="00871C13"/>
    <w:rsid w:val="008764E2"/>
    <w:rsid w:val="008A38E3"/>
    <w:rsid w:val="008B58CD"/>
    <w:rsid w:val="00900693"/>
    <w:rsid w:val="0093073A"/>
    <w:rsid w:val="009758F2"/>
    <w:rsid w:val="009B087C"/>
    <w:rsid w:val="009C49D4"/>
    <w:rsid w:val="00A01434"/>
    <w:rsid w:val="00A10B09"/>
    <w:rsid w:val="00A1452A"/>
    <w:rsid w:val="00A20BDF"/>
    <w:rsid w:val="00A30B2E"/>
    <w:rsid w:val="00A84FDE"/>
    <w:rsid w:val="00B27F41"/>
    <w:rsid w:val="00B36102"/>
    <w:rsid w:val="00B66421"/>
    <w:rsid w:val="00B76606"/>
    <w:rsid w:val="00BC67AD"/>
    <w:rsid w:val="00C02BAA"/>
    <w:rsid w:val="00C658F7"/>
    <w:rsid w:val="00C76587"/>
    <w:rsid w:val="00CC67E4"/>
    <w:rsid w:val="00D14523"/>
    <w:rsid w:val="00D26BE3"/>
    <w:rsid w:val="00D35422"/>
    <w:rsid w:val="00D435B9"/>
    <w:rsid w:val="00D61571"/>
    <w:rsid w:val="00D97268"/>
    <w:rsid w:val="00DB4B1A"/>
    <w:rsid w:val="00DC0FBE"/>
    <w:rsid w:val="00DC5F80"/>
    <w:rsid w:val="00DE1383"/>
    <w:rsid w:val="00DF198C"/>
    <w:rsid w:val="00E007CE"/>
    <w:rsid w:val="00E21F1D"/>
    <w:rsid w:val="00E32CBD"/>
    <w:rsid w:val="00E54242"/>
    <w:rsid w:val="00E77687"/>
    <w:rsid w:val="00EC7551"/>
    <w:rsid w:val="00EF148F"/>
    <w:rsid w:val="00F442ED"/>
    <w:rsid w:val="00F521B1"/>
    <w:rsid w:val="00F53397"/>
    <w:rsid w:val="00F813EB"/>
    <w:rsid w:val="00F875A2"/>
    <w:rsid w:val="00FA2680"/>
    <w:rsid w:val="00FD6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4</Pages>
  <Words>2899</Words>
  <Characters>16530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Boris Letic</cp:lastModifiedBy>
  <cp:revision>8</cp:revision>
  <dcterms:created xsi:type="dcterms:W3CDTF">2025-10-13T10:21:00Z</dcterms:created>
  <dcterms:modified xsi:type="dcterms:W3CDTF">2026-09-07T01:00:00Z</dcterms:modified>
</cp:coreProperties>
</file>