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D45A" w14:textId="198F1E5E" w:rsidR="00F46ADE" w:rsidRPr="00F46ADE" w:rsidRDefault="00F46ADE" w:rsidP="00F46ADE">
      <w:pPr>
        <w:spacing w:after="0"/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</w:pPr>
      <w:r w:rsidRPr="00F46ADE"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  <w:t>ARTICLE 1</w:t>
      </w:r>
    </w:p>
    <w:p w14:paraId="228CB34C" w14:textId="5955894C" w:rsidR="00F46ADE" w:rsidRPr="00F46ADE" w:rsidRDefault="00F46ADE" w:rsidP="00F46ADE">
      <w:pPr>
        <w:spacing w:after="0"/>
        <w:rPr>
          <w:rFonts w:ascii="Arial" w:hAnsi="Arial" w:cs="Arial"/>
          <w:sz w:val="20"/>
          <w:szCs w:val="20"/>
          <w:shd w:val="clear" w:color="auto" w:fill="F7F7F7"/>
        </w:rPr>
      </w:pPr>
      <w:r w:rsidRPr="00F46ADE">
        <w:rPr>
          <w:rFonts w:ascii="Arial" w:hAnsi="Arial" w:cs="Arial"/>
          <w:b/>
          <w:sz w:val="28"/>
          <w:szCs w:val="20"/>
          <w:shd w:val="clear" w:color="auto" w:fill="F7F7F7"/>
        </w:rPr>
        <w:t>Потребление сладкого в России побило рекорд</w:t>
      </w:r>
      <w:r w:rsidRPr="00F46ADE">
        <w:rPr>
          <w:rFonts w:ascii="Arial" w:hAnsi="Arial" w:cs="Arial"/>
          <w:sz w:val="20"/>
          <w:szCs w:val="20"/>
        </w:rPr>
        <w:br/>
      </w:r>
    </w:p>
    <w:p w14:paraId="78EB66A9" w14:textId="41811422" w:rsidR="0020265D" w:rsidRPr="00F46ADE" w:rsidRDefault="00F46ADE" w:rsidP="00F46ADE">
      <w:pPr>
        <w:spacing w:after="0"/>
        <w:rPr>
          <w:rFonts w:ascii="Arial" w:hAnsi="Arial" w:cs="Arial"/>
          <w:sz w:val="20"/>
          <w:szCs w:val="20"/>
          <w:shd w:val="clear" w:color="auto" w:fill="F7F7F7"/>
        </w:rPr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2018 году в среднем каждый россиянин употребил 25,2 кг кондитерских изделий. Такие цифры приводятся в </w:t>
      </w:r>
      <w:r w:rsidRPr="00F46ADE">
        <w:rPr>
          <w:rFonts w:ascii="Arial" w:hAnsi="Arial" w:cs="Arial"/>
          <w:sz w:val="20"/>
          <w:szCs w:val="20"/>
        </w:rPr>
        <w:t>презентации Ассоциации предприятий кондитерской промышленности («</w:t>
      </w:r>
      <w:proofErr w:type="spellStart"/>
      <w:r w:rsidRPr="00F46ADE">
        <w:rPr>
          <w:rFonts w:ascii="Arial" w:hAnsi="Arial" w:cs="Arial"/>
          <w:sz w:val="20"/>
          <w:szCs w:val="20"/>
        </w:rPr>
        <w:t>Асконд</w:t>
      </w:r>
      <w:proofErr w:type="spellEnd"/>
      <w:r w:rsidRPr="00F46ADE">
        <w:rPr>
          <w:rFonts w:ascii="Arial" w:hAnsi="Arial" w:cs="Arial"/>
          <w:sz w:val="20"/>
          <w:szCs w:val="20"/>
        </w:rPr>
        <w:t>»), с которой ознакомился РБК. В ассоциацию входят крупнейшие производители, которые выпускают около 85% российского шоколада и около 65% от всего объема кондитерских изделий, произведенных в России.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Предыдущий рекорд потребления был зафиксирован в 2017-м, когда один россиянин за год съел в среднем 24,5 кг сладкого. Потребление кондитерских изделий в России стабильно растет с 2010 года в среднем на 1–3% в год, рассказал исполнительный директор ассоциации Вячеслав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Лашманкин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Исключением стал 2015 год, когда потребление на душу населения снизилось на 6,2% по сравнению с предыдущим годом — с 24,1 до 22,4 кг на человека в год. При этом по потреблению сладостей Россия все еще отстает от экономически развитых стран: один житель Германии, например, потребляет в среднем 34 кг сладкого в год, Великобритании — больше 27 кг.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Производители кондитерских изделий, которых опросил РБК, подтвердили рост показателей. Компания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Mondelēz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International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которая выпускает шоколад 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Milka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и печенье «Юбилейное», зафиксировала прирост во всех категориях своей продукции в России — шоколад, печенье и жевательная резинка, рассказал РБК директор по корпоративным вопросам ООО «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Мон’дэлис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Русь» Юрий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Головатчик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. Рост спроса на кондитерские изделия подтвердил и гендиректор АО «Эссен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Продакшн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АГ» (бренды «35», «Золушка»,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Toffee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cream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) Леонид Барышев.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Повышение интереса потребителей к кондитерской продукции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Лашманкин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объяснил постоянным расширением ассортимента, поиском кондитерами новых продуктов и новых технологий. Но опрошенные РБК участники рынка разошлись во мнениях о причинах этого явления.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Основной драйвер роста — шоколад по промоакции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Спрос населения на кондитерскую продукцию может поддерживаться двумя факторами одновременно, считает партнер практики АПК компании «НЭО Центр» Владимир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Шафоростов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Потребители с высоким доходом чаще выбирают шоколад, а население с низким доходом — более дешевые кондитерские изделия (например, снеки) как источник доступных углеводов.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Рост потребления кондитерских изделий представитель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Mondelēz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International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объяснил общим восстановлением потребительского спроса у россиян. В России вклад в рост продаж вносит сезонный спрос: россияне традиционно активно покупают шоколад и другие кондитерские изделия на Новый год и 8 Марта.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Основные драйверы роста рынка кондитерских изделий, по данным компании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Nielsen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, — промоакции и продажи шоколадных плиток. Шоколад — самая крупная категория на российском рынке кондитерских изделий, и она вносит наибольший вклад в рост продаж, рассказала директор по работе с клиентами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Nielsen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Россия Ольга Дашкевич. В частности, шоколад лидирует по доле продаж по промоакциям среди всех продовольственных товаров. За 2018 год продажи шоколада в плитках увеличились на 13% в натуральном и на 8% в денежном выражении. Продажи второй крупнейшей категории — ассорти шоколадных конфет — снизились на 4% в натуральном выражении, а продажи развесных шоколадных конфет возросли на 7%.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По словам президента кондитерской фабрики «Победа» Виталия Муравьева, доля продаж шоколада в плитках составила 45% всего ассортимента фабрики. В 2018 году россияне покупали шоколад по промоакциям лучше любых других продуктов, и это подталкивало рынок вверх, полагает Муравьев</w:t>
      </w:r>
      <w:bookmarkStart w:id="0" w:name="_GoBack"/>
      <w:bookmarkEnd w:id="0"/>
      <w:r w:rsidRPr="00F46ADE">
        <w:rPr>
          <w:rFonts w:ascii="Arial" w:hAnsi="Arial" w:cs="Arial"/>
          <w:sz w:val="20"/>
          <w:szCs w:val="20"/>
          <w:shd w:val="clear" w:color="auto" w:fill="F7F7F7"/>
        </w:rPr>
        <w:t>. Потребление в последние три года поддерживал и успешный запуск новинок, сказал он.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У торговой сети «Магнит» в 2018 году возросли продажи шоколада и шоколадных конфет, рассказали РБК в пресс-службе ретейлера. Конфеты относятся к категории «продукции для удовольствия», поэтому она востребована у покупателей, пояснил представитель «Магнита». </w:t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lastRenderedPageBreak/>
        <w:t>Другая причина роста продаж, по его словам, — регулярные ценовые и промоакции в магазинах.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Помогло и дешевое печенье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По данным «НЭО Центра», драйвером роста кондитерского рынка в 2018 году стали мучные изделия: этот сегмент увеличился более чем на 9%. В целом объем рынка кондитерских изделий в России вырос за 2018 год более чем на 5%, по данным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Шафоростова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Главная тенденция кондитерского рынка, по мнению гендиректора «Эссен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Продакшн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АГ», — это удешевление продукции. На этом фоне Барышев также отметил рост категории мучных кондитерских изделий (к ним относятся, например, печенье, кексы, пирожные): средний чек при их покупке меньше, и их часто покупают к чаю. Снижение покупательной способности населения привело к тому, что мелкие игроки, сосредоточенные в первую очередь в этом сегменте, активизировались и стали «срочно изобретать что-то новое». При этом в России активно развивается сегмент дискаунтеров, где дешевые развесные кондитерские изделия «точно попадают в аудиторию». Фасованные мучные изделия также хорошо продаются на акционных распродажах в сетях, «потому что люди берут самое дешевое».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Кроме этого, по мнению Барышева, есть связь между продажами алкоголя и сладкого: «Когда падают продажи алкоголя, растет кондитерка. Люди или запивают, или заедают». По данным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Nielsen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в 2018 году продажи алкогольной продукции в России показали рост на 4,6% в денежном выражении по сравнению с предыдущим годом. Но доля алкогольной продукции в объеме товаров повседневного потребления в денежном выражении за прошлый год сократилась с 20,2 до 20%. Продажи водки за 2018 год показали снижение на 2,7% в денежном и 2,6% в натуральном выражении.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Цены на сладкое не менялись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Российские кондитеры, реально оценивая покупательную способность населения, стараются сдерживать цены на свою продукцию, уверяет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Лашманкин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По данным Росстата, которые он приводит, за 2018 год отпускные цены производителей снизились по сравнению с 2017 годом: на конфеты глазированные, с шоколадной и шоколадно-молочной глазурью — на 14%; на пастилу — на 15,3%; на шоколад в упакованном виде — на 4%.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Данные Росстата серьезного изменения в потребительских ценах на кондитерские изделия не фиксируют. К примеру, цена за 1 кг шоколада и шоколадных конфет в 2018 году практически осталась на уровне предыдущего года и составила 836,5 и 592,3 руб. соответственно. Не изменились по сравнению с 2017 годом и цены на печенье: один килограмм в 2018 году стоил 149,1 руб.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От сладкого не отказываются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По данным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Nielsen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рынок кондитерских изделий — второй по величине сегмент продовольственных товаров повседневного спроса (FMCG) в России и занимает пятую часть всего рынка потребительских товаров в денежном выражении (19,9%). По итогам 2018 года этот рынок показал «уверенный рост»: 1,7% в натуральном и 3,9% в денежном выражении.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первом квартале 2019 года, по данным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Ipsos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Comcon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наблюдается небольшой рост доли потребителей сладкого — особенно заметен рост потребления более доступных кондитерских изделий, плиток шоколада и развесных конфет, а также рост частоты потребления плиток и конфет в коробках. При этом в 2017–2018 годах доля тех, кто экономит на покупках шоколадных и мучных кондитерских изделий, снизилась в среднем на 5–7%.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Кондитерские изделия, по данным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Deloitte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входят в топ-3 категории покупок и в «магазинах у дома», и в онлайн-магазинах у россиян.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Продажи кондитерских изделий, по данным «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Асконда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», увеличились в 2018 году на 3% в натуральном выражении — объем рынка составил 3,7 млн т. Рост продаж кондитерских изделий в </w:t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lastRenderedPageBreak/>
        <w:t>денежном выражении зафиксировал и Росстат. По его данным, в январе—декабре 2018 года в специализированных магазинах было продано кондитерских изделий на 1,08 трлн руб. (год назад — на 1,04 трлн руб.). Розничные продажи сахара, наоборот, сократились на 4%, а продажи чая, кофе и какао возросли на 4,9%.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Рекорды побило не только потребление сладкого, но и объемы его производства, которые растут третий год подряд. В 2018 году, по данным «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Асконда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», российские кондитеры выпустили 3,9 млн т кондитерских изделий — на 3,7% больше, чем в предыдущем году. Основные объемы потребляются в России: для внутреннего потребления было произведено 3,37 млн т, 522,4 тыс. т ушло на экспорт, еще 332,3 тыс. Россия импортировала из других стран (среди крупнейших поставщиков — Германия и Польша).</w:t>
      </w:r>
    </w:p>
    <w:p w14:paraId="0FEE28EE" w14:textId="3EA4FE5D" w:rsidR="00F46ADE" w:rsidRPr="00F46ADE" w:rsidRDefault="00F46ADE" w:rsidP="00F46ADE">
      <w:pPr>
        <w:spacing w:after="0"/>
        <w:rPr>
          <w:rFonts w:ascii="Arial" w:hAnsi="Arial" w:cs="Arial"/>
          <w:sz w:val="28"/>
          <w:szCs w:val="20"/>
          <w:shd w:val="clear" w:color="auto" w:fill="F7F7F7"/>
        </w:rPr>
      </w:pPr>
    </w:p>
    <w:p w14:paraId="5ABF0FB3" w14:textId="55284650" w:rsidR="00F46ADE" w:rsidRPr="00F46ADE" w:rsidRDefault="00F46ADE" w:rsidP="00F46ADE">
      <w:pPr>
        <w:spacing w:after="0"/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</w:pPr>
      <w:r w:rsidRPr="00F46ADE"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  <w:t>ARTICLE 2</w:t>
      </w:r>
    </w:p>
    <w:p w14:paraId="54ED677E" w14:textId="77777777" w:rsidR="00F46ADE" w:rsidRPr="00F46ADE" w:rsidRDefault="00F46ADE" w:rsidP="00F46ADE">
      <w:pPr>
        <w:spacing w:after="0"/>
        <w:rPr>
          <w:rFonts w:ascii="Arial" w:hAnsi="Arial" w:cs="Arial"/>
          <w:b/>
          <w:sz w:val="28"/>
          <w:szCs w:val="20"/>
          <w:shd w:val="clear" w:color="auto" w:fill="F7F7F7"/>
        </w:rPr>
      </w:pPr>
      <w:r w:rsidRPr="00F46ADE">
        <w:rPr>
          <w:rFonts w:ascii="Arial" w:hAnsi="Arial" w:cs="Arial"/>
          <w:b/>
          <w:sz w:val="28"/>
          <w:szCs w:val="20"/>
          <w:shd w:val="clear" w:color="auto" w:fill="F7F7F7"/>
        </w:rPr>
        <w:t>ИТ-компании и мировые лидеры решили бороться с террористическим контентом</w:t>
      </w:r>
    </w:p>
    <w:p w14:paraId="299755E0" w14:textId="77777777" w:rsidR="00F46ADE" w:rsidRPr="00F46ADE" w:rsidRDefault="00F46ADE" w:rsidP="00F46ADE">
      <w:pPr>
        <w:spacing w:after="0"/>
        <w:rPr>
          <w:rFonts w:ascii="Arial" w:hAnsi="Arial" w:cs="Arial"/>
          <w:sz w:val="20"/>
          <w:szCs w:val="20"/>
        </w:rPr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среду, 15 мая, премьер-министр Новой Зеландии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Джасинда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Ардерн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, ее британская коллега Тереза Мэй, президент Франции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Эмманюэль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Макрон, премьер Канады Джастин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Трюдо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и другие политики собрались в Париже, чтобы обсудить меры по борьбе с проявлениями терроризма в социальных сетях. Среди представителей ИТ-компаний во встрече приняли участие исполнительный директор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Twitter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Джек Дорси, директор по международным вопросам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Facebook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, бывший вице-премьер Великобритании Ник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Клегг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и старший вице-президент по глобальным коммуникациям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Google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Кент Уолкер.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По итогам дискуссии они подписали коммюнике о необходимости активизировать борьбу с распространением экстремистского и террористического контента в сети, сообщило новозеландское издание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Stuff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. Администрация президента Дональда Трампа коммюнике подписывать отказалась, но в заявлении Белого дома отмечается, что США продолжат вести активную борьбу с террористической информацией в интернете, «уважая свободу слова и свободу прессы». Об этом сообщила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The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Washington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Post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со ссылкой на заявление американской администрации.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Почему мировые лидеры решили бороться с экстремистским контентом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С инициативой о проведении саммита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Ардерн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выступила после крупнейшей в истории Новой Зеландии террористической атаки 15 марта. Тогда перебравшийся в страну гражданин Австралии Брентон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Таррант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совершил вооруженное нападение на две мечети в городе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Крайстчёрч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В результате погиб 51 человек. «Новая Зеландия уже много лет не находилась в положении, когда она могла бы созвать саммит такой важности, и это [встреча в Париже] свидетельствует о масштабе того, что страна пережила 15 марта», — сказала премьер-министр в среду.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Таррант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вел прямой эфир нападения через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Facebook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. Австралиец также вел аккаунт в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Twitter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под своим реальным именем, где публиковал фото своего оружия перед атакой в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Крайстчёрче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. После теракта он был взят под стражу, следующее слушание по его делу пройдет 14 июня. Еще десять человек были арестованы за распространение видео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Тарранта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Распространение экстремистского контента в Новой Зеландии может караться тюремным сроком до 14 лет.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Обращаясь к мировым лидерам,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Ардерн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призвала тех активнее взаимодействовать с гражданским обществом и интернет-компаниями. «Мы должны построить крепкие общества, которые способны дать отпор терроризму и экстремизму», — сказала она. В Париже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Ардерн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также провела круглый стол с представителями ИТ-корпораций. «Ваш масштаб и влияние накладывает на вас ответственность [за борьбу с экстремистским контентом]», — констатировала она.</w:t>
      </w:r>
      <w:r w:rsidRPr="00F46ADE">
        <w:rPr>
          <w:rFonts w:ascii="Arial" w:hAnsi="Arial" w:cs="Arial"/>
          <w:sz w:val="20"/>
          <w:szCs w:val="20"/>
        </w:rPr>
        <w:br/>
      </w:r>
    </w:p>
    <w:p w14:paraId="50F595C9" w14:textId="77777777" w:rsidR="00F46ADE" w:rsidRPr="00F46ADE" w:rsidRDefault="00F46ADE" w:rsidP="00F46ADE">
      <w:pPr>
        <w:spacing w:after="0"/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>Летом 2017 года в Британии исламисты атаковали людей на Лондонском мосту, погибли восемь человек. В своем выступлении в Париже британский премьер Тереза Мэй отметила, что благодаря действиям властей и ИТ-компаний в 2018 году пропагандистская активность исламистов находилась на самом низком уровне. «Это показывает нам, что может быть сделано. Теперь мы должны бороться с ростом угрозы ультраправого экстремизма онлайн», — сказала Мэй.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lastRenderedPageBreak/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На сегодняшний день уместно говорить, что усилий сотрудников соцсетей недостаточно для борьбы с терроризмом, считает гендиректор «Лаборатории цифровой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форензики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», эксперт Российского совета по международным делам Александр Мамаев. Как он обратил внимание, у террористов, как и у рядовых пользователей, есть огромное количество ресурсов для обмена информацией. «Популярные соцсети, такие как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Twitter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,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Facebook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или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YouTube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, выступают «наконечником» в пропагандистской работе. При этом террористы активно используют другие мессенджеры и блоги для коммуникации вплоть до чатов в компьютерных играх», — сказал он РБК.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Какие инициативы предлагаются для борьбы с терроризмом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Итоговое коммюнике подписали представители 17 государств (помимо перечисленных — Австралии, Германии, Индии, Италии, Нидерландов, Испании и Швеции) и ИТ-компании. Согласованный документ не имеет юридической силы. В нем власти подписавшихся государств обещают приложить дополнительные усилия для сплочения обществ в своих странах, чтобы избавиться от основополагающих причин терроризма. Они также выразили намерение жестче следить за исполнением существующего в странах законодательства по противодействию экстремизму. ИТ-компании взяли на себя обязательства принять дополнительные «конкретные и прозрачные меры» по борьбе с экстремистским контентом, а также разработать такие алгоритмы, чтобы пользователи не получали информацию от радикальных групп.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К несчастью, подобные разумные шаги предпринимаются государствами, после того как произошли катастрофы, подобные той, что случилась в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Крайстчёрче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, прокомментировал встречу в Париже глава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Group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-IB Илья Сачков. «Это не первый исторический факт, когда человеческие жертвы заставляют международных лидеров сесть за стол переговоров. Мы абсолютно убеждены в том, что любые барьеры между странами должны остаться в прошлом и никакие политические препоны не должны мешать борьбе с международным терроризмом и кибертерроризмом, грань между которыми постепенно стирается», — подчеркнул он.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Как отметил Сачков, межгосударственные инициативы, создающие преграды на пути киберпреступников и экстремистов, остаются крайне актуальными для всех, кто заинтересован в чистоте интернет-пространства. «В прошлом году, например,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Group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-IB присоединилась к меморандуму по управлению интернетом «Парижский призыв к доверию и безопасности в киберпространстве», который подписала 51 страна», — указал он.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преддверии парижского саммита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Facebook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объявил об ужесточении правил прямых трансляций на своем ресурсе. Как говорится в заявлении компании, впредь пользователи, нарушившие регламент соцсети, не смогут вести прямые трансляции. «С сегодняшнего дня любой, кто даже впервые нарушит наши правила, будет отстранен от пользования прямым эфиром в течение какого-то периода, например 30 дней», — говорится в заявлении.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Facebook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также сообщила о решении инвестировать $7,5 млн в исследования, которые позволят предотвращать публикацию запрещенных материалов на своем ресурсе в обход правил и систем блокировок.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На национальном уровне власти стран — участниц саммита также продолжают усиливать меры контроля за информацией. В апреле британские власти подготовили предложение о создании в стране нового надзорного органа, который, как предполагается, составит специальный «кодекс поведения» для интернет-компаний и соцсетей. Такой орган также будет наделен полномочиями штрафовать сайты или вовсе закрывать к ним доступ, если они позволяют размещать на своих ресурсах экстремистский контент. «Эра, когда интернет-компании могли регулировать сами себя, закончилась», — сказал британский министр культуры Джереми Райт, анонсируя предложения.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Что ждать пользователям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Парижские договоренности — свидетельство усиления контроля властей над онлайн-контентом, отметили эксперты. «Производители смартфонов, создатели приложений уже активно сотрудничают с властями, причем зачастую негласно или скрыто», — обратил внимание Мамаев. В качестве примера эксперт привел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Apple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: с одной стороны, американская компания заявляет, что </w:t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lastRenderedPageBreak/>
        <w:t xml:space="preserve">не будет предоставлять властям информацию пользователей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iPhone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в обход судебных решений, с другой — имеет технические возможности для взлома и анализа информации любого владельца смартфона их марки.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Cледствием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усиления регулирующей роли властей в интернете станет увеличение количества запросов со стороны правительственных органов к частным компаниями, убежден Мамаев. Коснется ужесточение регулирования и пользователей: по мере ужесточения законодательных требований о таких понятиях, как неприкосновенность личной жизни, приватность, тайна частной переписки, телефонных переговоров, почтовых и иных сообщений, можно будет забыть, предупредил он.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Учитывая риск избыточной блокировки, меры по борьбе с террористическим контентом в интернете должны быть проработаны очень тщательно, отметил содиректор Центра коммерческого права в австралийском Университете Бонда Дэн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Свантессон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Однако политики должны понимать, что даже самое совершенное законодательство не сможет решить проблему «серых зон», когда простой алгоритм не сможет различить разрешенный контент от экстремистского. Например, сообщения о террористической атаке могут быть распространены через соцсети новостными агентствами, поэтому, по мнению эксперта, мониторингом контента должны заниматься люди, а не алгоритмы, что потребует больших затрат, которые лягут на компании.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b/>
          <w:sz w:val="28"/>
          <w:szCs w:val="20"/>
          <w:shd w:val="clear" w:color="auto" w:fill="F7F7F7"/>
          <w:lang w:val="en-US"/>
        </w:rPr>
        <w:t>ARCTICLE 3</w:t>
      </w:r>
    </w:p>
    <w:p w14:paraId="50912765" w14:textId="77777777" w:rsidR="00F46ADE" w:rsidRPr="00F46ADE" w:rsidRDefault="00F46ADE" w:rsidP="00F46ADE">
      <w:pPr>
        <w:spacing w:after="0"/>
        <w:rPr>
          <w:rFonts w:ascii="Arial" w:hAnsi="Arial" w:cs="Arial"/>
          <w:b/>
          <w:sz w:val="28"/>
          <w:szCs w:val="20"/>
          <w:shd w:val="clear" w:color="auto" w:fill="F7F7F7"/>
        </w:rPr>
      </w:pPr>
      <w:r w:rsidRPr="00F46ADE">
        <w:rPr>
          <w:rFonts w:ascii="Arial" w:hAnsi="Arial" w:cs="Arial"/>
          <w:b/>
          <w:sz w:val="28"/>
          <w:szCs w:val="20"/>
          <w:shd w:val="clear" w:color="auto" w:fill="F7F7F7"/>
        </w:rPr>
        <w:t>Эксперты спрогнозировали отзыв лицензий у 46 российских банков</w:t>
      </w:r>
    </w:p>
    <w:p w14:paraId="6FCB5318" w14:textId="77777777" w:rsidR="00F46ADE" w:rsidRPr="00F46ADE" w:rsidRDefault="00F46ADE" w:rsidP="00F46ADE">
      <w:pPr>
        <w:spacing w:after="0"/>
        <w:rPr>
          <w:rFonts w:ascii="Arial" w:hAnsi="Arial" w:cs="Arial"/>
          <w:sz w:val="20"/>
          <w:szCs w:val="20"/>
        </w:rPr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>Банк России с 1 апреля 2019 года по 1 апреля 2020 года может отозвать лицензии у 46 банков, прогнозируют аналитики рейтингового агентства «Эксперт РА» в исследовании, посвященном расчету индекса здоровья банковского сектора (есть у РБК). По их мнению, дефолт грозит 10,9% действующих банков. На 2018 год «Эксперт РА» прогнозировал отзыв лицензии у 60 банков, по факту ЦБ отозвал 55 банковских лицензий.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Всего в России на 1 апреля, по данным ЦБ, было 430 банков, но «Эксперт РА» рассчитывает индекс по данным 422 банков, поскольку ряд банков не публикуют свою отчетность (такая возможность есть у кредитных организаций, попавших под санкции).</w:t>
      </w:r>
      <w:r w:rsidRPr="00F46ADE">
        <w:rPr>
          <w:rFonts w:ascii="Arial" w:hAnsi="Arial" w:cs="Arial"/>
          <w:sz w:val="20"/>
          <w:szCs w:val="20"/>
        </w:rPr>
        <w:br/>
      </w:r>
    </w:p>
    <w:p w14:paraId="5F362343" w14:textId="77777777" w:rsidR="00F46ADE" w:rsidRPr="00F46ADE" w:rsidRDefault="00F46ADE" w:rsidP="00F46ADE">
      <w:pPr>
        <w:spacing w:after="0"/>
        <w:rPr>
          <w:rFonts w:ascii="Arial" w:hAnsi="Arial" w:cs="Arial"/>
          <w:sz w:val="20"/>
          <w:szCs w:val="20"/>
        </w:rPr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Несмотря на уменьшение прогнозируемого числа банков в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предбанкротном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состоянии, индекс здоровья банковского сектора (вероятность того, что отдельно взятый банк не обанкротится) снижается третий квартал подряд. На 1 апреля он составил 89,1% против максимума в 89,8% на 1 июля 2018 года.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Причины отзывов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Тенденция обусловлена тем, что на фоне уменьшения общего числа банков в России увеличивается доля действующих банков с низкой кредитоспособностью. По итогам первого квартала 2019 года почти четверть всех банков (99), включенных в расчет, не генерируют прибыль или являются убыточными, 162 банка испытали значительный чистый отток (более 15%) привлеченных средств юридических лиц, 136 — чистый отток средств физических лиц, рассчитали в «Эксперт РА». При этом число фактических банковских дефолтов за первые три месяца года было относительно невелико — пять отозванных лицензий.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феврале 2018 года, после того как ЦБ взял на санацию три крупных частных банка («ФК Открытие»,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Бинбанк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и Промсвязьбанк), а также отозвал лицензию у «Югры», глава ЦБ Эльвира Набиуллина заявляла, что в 2017 году регулятор завершил основную работу по оздоровлению банковского сектора, но в системе по-прежнему остаются проблемы, приводящие к краху банков. Как ранее прогнозировало Аналитическое кредитное рейтинговое агентство (АКРА), число банков в России в течение ближайших пяти лет продолжит сокращаться в среднем на 5–8% в год. РБК направил запрос в ЦБ.</w:t>
      </w:r>
      <w:r w:rsidRPr="00F46ADE">
        <w:rPr>
          <w:rFonts w:ascii="Arial" w:hAnsi="Arial" w:cs="Arial"/>
          <w:sz w:val="20"/>
          <w:szCs w:val="20"/>
        </w:rPr>
        <w:br/>
      </w:r>
    </w:p>
    <w:p w14:paraId="051E5264" w14:textId="3828A4C9" w:rsidR="00F46ADE" w:rsidRPr="00F46ADE" w:rsidRDefault="00F46ADE" w:rsidP="00F46ADE">
      <w:pPr>
        <w:spacing w:after="0"/>
      </w:pP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настоящее время в банковском секторе сохраняется существенная доля банков с нежизнеспособной и сопряженной с принятием повышенного уровня рисков бизнес-моделью, </w:t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lastRenderedPageBreak/>
        <w:t>предупреждают аналитики «Эксперт РА». То есть такие банки не обеспечивают операционную эффективность и генерацию капитала, которая бы компенсировала текущие потери от реализации рисков.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«Неудовлетворительное финансовое положение (46 банков), отраженное в индексе здоровья банковского сектора, усугубится настолько, что у регулятора возникнут явные основания для вывода этих игроков с рынка», — отмечают в агентстве.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ЦБ может отзывать у них лицензии из-за нарушений требований «антиотмывочного» законодательства, занижения принятых рисков и вывода ликвидных активов в ущерб интересам кредиторов, считают аналитики. Причиной вовлечения банков в проведение сомнительных операций, а также формального подхода к оценке принимаемых рисков может стать неэффективность деятельности проблемных банков. Значительная часть из них зависима от вливаний в капитал со стороны собственников, интерес которых к поддержке своего банковского бизнеса может ослабевать на фоне его низкой окупаемости, указывают эксперты.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Кто в зоне риска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Вероятность отзыва лицензии наиболее значительна у банков с рейтингом из категории B и ниже, рассказал РБК управляющий директор по валидации «Эксперт РА» Юрий Беликов. «В основном это небольшие кредитные организации, которые находятся за пределами первой сотни», — пояснил он. При этом лицензии также могут быть отозваны и у банков из топ-100, но не более чем у десяти кредитных организаций. Топ-20 отзыв лицензий не затронет, считает Беликов.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Отзыв лицензий примерно у 50 банков за год кажется разумной оценкой, говорит старший директор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Fitch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Александр Данилов. «Но в основном это будут мелкие кредитные организации, уход которых никак не отразится на развитии банковского сектора», — уверен эксперт.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>Точные прогнозы по количеству отозванных лицензий давать трудно, указывает старший аналитик агентства АКРА Александр Рудых. «Но можно предположить, что количество отозванных лицензий будет снижаться, так как ЦБ в предыдущие годы провел большую работу по расчистке сектора», — отмечает он. Среди банков, имеющих рейтинг АКРА и входящих в топ-20 по размеру активов, кредитные организации с рейтингами, близкими к дефолтным, отсутствуют. По его мнению, в группе риска в основном находятся кредитные организации из нижней половины рэнкинга.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В условиях зачистки и консолидации банковского сектора дефолт коснется малых и региональных банков, которые едва ли смогут быстро перестроить свои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высокорисковые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 xml:space="preserve"> бизнес-модели, чтобы соответствовать ужесточенным требованиям ЦБ, полагает главный аналитик «БКС Премьер» Антон </w:t>
      </w:r>
      <w:proofErr w:type="spellStart"/>
      <w:r w:rsidRPr="00F46ADE">
        <w:rPr>
          <w:rFonts w:ascii="Arial" w:hAnsi="Arial" w:cs="Arial"/>
          <w:sz w:val="20"/>
          <w:szCs w:val="20"/>
          <w:shd w:val="clear" w:color="auto" w:fill="F7F7F7"/>
        </w:rPr>
        <w:t>Покатович</w:t>
      </w:r>
      <w:proofErr w:type="spellEnd"/>
      <w:r w:rsidRPr="00F46ADE">
        <w:rPr>
          <w:rFonts w:ascii="Arial" w:hAnsi="Arial" w:cs="Arial"/>
          <w:sz w:val="20"/>
          <w:szCs w:val="20"/>
          <w:shd w:val="clear" w:color="auto" w:fill="F7F7F7"/>
        </w:rPr>
        <w:t>. «Что касается региональных банков, — возражает Рудых. — За последние годы их число заметно сократилось, и теперь в регионах либо вообще нет своих банков, либо остались уверенные игроки со стабильной моделью бизнеса».</w:t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  <w:r w:rsidRPr="00F46ADE">
        <w:rPr>
          <w:rFonts w:ascii="Arial" w:hAnsi="Arial" w:cs="Arial"/>
          <w:sz w:val="20"/>
          <w:szCs w:val="20"/>
        </w:rPr>
        <w:br/>
      </w:r>
    </w:p>
    <w:sectPr w:rsidR="00F46ADE" w:rsidRPr="00F4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F"/>
    <w:rsid w:val="0020265D"/>
    <w:rsid w:val="00CD7EAF"/>
    <w:rsid w:val="00F4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BF19"/>
  <w15:chartTrackingRefBased/>
  <w15:docId w15:val="{7BDE476E-31EB-4427-A921-1F9EBD56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3222</Words>
  <Characters>18369</Characters>
  <Application>Microsoft Office Word</Application>
  <DocSecurity>0</DocSecurity>
  <Lines>153</Lines>
  <Paragraphs>43</Paragraphs>
  <ScaleCrop>false</ScaleCrop>
  <Company/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Фельдман</dc:creator>
  <cp:keywords/>
  <dc:description/>
  <cp:lastModifiedBy>Владимир Фельдман</cp:lastModifiedBy>
  <cp:revision>2</cp:revision>
  <dcterms:created xsi:type="dcterms:W3CDTF">2019-05-15T19:03:00Z</dcterms:created>
  <dcterms:modified xsi:type="dcterms:W3CDTF">2019-05-15T19:10:00Z</dcterms:modified>
</cp:coreProperties>
</file>