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5D5294"/>
          <w:sz w:val="40"/>
          <w:szCs w:val="40"/>
        </w:rPr>
        <w:t xml:space="preserve">A/B-тест «вход в звонок по ссылке без регистрации»</w:t>
      </w:r>
    </w:p>
    <w:p>
      <w:pPr>
        <w:spacing w:after="300"/>
      </w:pPr>
      <w:r>
        <w:rPr>
          <w:color w:val="666666"/>
        </w:rPr>
        <w:t xml:space="preserve">Проверка на синтетических данных · платформа тематических сообществ</w:t>
      </w:r>
    </w:p>
    <w:p>
      <w:pPr>
        <w:pStyle w:val="Heading1"/>
      </w:pPr>
      <w:r>
        <w:t xml:space="preserve">1. Зачем синтетика</w:t>
      </w:r>
    </w:p>
    <w:p>
      <w:pPr>
        <w:spacing w:after="120"/>
      </w:pPr>
      <w:r>
        <w:t xml:space="preserve">Реальных пользователей у платформы пока нет, поэтому метрики и дизайн теста проверены на </w:t>
      </w:r>
      <w:r>
        <w:rPr>
          <w:b/>
          <w:bCs/>
        </w:rPr>
        <w:t xml:space="preserve">синтетических данных</w:t>
      </w:r>
      <w:r>
        <w:t xml:space="preserve">: код «придумывает» людей, проигрывает их путь по воронке, а затем те же расчёты, что пойдут на реальных данных, считают метрики и результат теста.</w:t>
      </w:r>
    </w:p>
    <w:p>
      <w:pPr>
        <w:spacing w:after="120"/>
      </w:pPr>
      <w:r>
        <w:t xml:space="preserve">Эффект в группе B </w:t>
      </w:r>
      <w:r>
        <w:rPr>
          <w:b/>
          <w:bCs/>
        </w:rPr>
        <w:t xml:space="preserve">заложен заранее</w:t>
      </w:r>
      <w:r>
        <w:t xml:space="preserve">. Так проверяется сам метод: находит ли тест эффект, который точно есть, и не находит ли его там, где его нет (A/A-тест).</w:t>
      </w:r>
    </w:p>
    <w:p>
      <w:pPr>
        <w:pStyle w:val="Heading1"/>
      </w:pPr>
      <w:r>
        <w:t xml:space="preserve">2. Как устроены данные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24 000 человек</w:t>
      </w:r>
      <w:r>
        <w:t xml:space="preserve"> открывают ссылки-приглашения в 40 сообществ за 21 день набора, дальше 21 день наблюдения. Плюс 3 000 «старожилов» — фон для WECU.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Группа</w:t>
      </w:r>
      <w:r>
        <w:t xml:space="preserve"> назначается по хешу устройства, 50/50: один человек всегда в одной группе, сколько бы раз ни открывал ссылку.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Сегмент</w:t>
      </w:r>
      <w:r>
        <w:t xml:space="preserve"> фиксируется при открытии ссылки: гость без аккаунта (65%), с аккаунтом, но не в сообществе, уже участник сообщества.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События и поля — по схеме платформы:</w:t>
      </w:r>
      <w:r>
        <w:t xml:space="preserve"> invite_link_opened, call_joined, registration_completed, community_joined, community_interaction, error_occurred, community_left.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«Грязь»</w:t>
      </w:r>
      <w:r>
        <w:t xml:space="preserve"> подмешана нарочно: 1,5% дублей, пропуски идентификаторов, недопустимые значения, неизвестные сообщества, время то в МСК, то в UTC.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80"/>
        <w:gridCol w:w="2080"/>
        <w:gridCol w:w="2078"/>
      </w:tblGrid>
      <w:tr>
        <w:trPr>
          <w:tblHeader/>
        </w:trPr>
        <w:tc>
          <w:tcPr>
            <w:tcW w:type="dxa" w:w="34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Сегмент</w:t>
            </w:r>
          </w:p>
        </w:tc>
        <w:tc>
          <w:tcPr>
            <w:tcW w:type="dxa" w:w="208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Конверсия в звонок, A</w:t>
            </w:r>
          </w:p>
        </w:tc>
        <w:tc>
          <w:tcPr>
            <w:tcW w:type="dxa" w:w="208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Конверсия в звонок, B</w:t>
            </w:r>
          </w:p>
        </w:tc>
        <w:tc>
          <w:tcPr>
            <w:tcW w:type="dxa" w:w="207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Заложенный эффект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Гость (без аккаунта)</w:t>
            </w:r>
          </w:p>
        </w:tc>
        <w:tc>
          <w:tcPr>
            <w:tcW w:type="dxa" w:w="208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208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42%</w:t>
            </w:r>
          </w:p>
        </w:tc>
        <w:tc>
          <w:tcPr>
            <w:tcW w:type="dxa" w:w="207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+12 п.п.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 аккаунтом, не в сообществе</w:t>
            </w:r>
          </w:p>
        </w:tc>
        <w:tc>
          <w:tcPr>
            <w:tcW w:type="dxa" w:w="208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66%</w:t>
            </w:r>
          </w:p>
        </w:tc>
        <w:tc>
          <w:tcPr>
            <w:tcW w:type="dxa" w:w="208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67%</w:t>
            </w:r>
          </w:p>
        </w:tc>
        <w:tc>
          <w:tcPr>
            <w:tcW w:type="dxa" w:w="207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 п.п.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Уже участник сообщества</w:t>
            </w:r>
          </w:p>
        </w:tc>
        <w:tc>
          <w:tcPr>
            <w:tcW w:type="dxa" w:w="208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80%</w:t>
            </w:r>
          </w:p>
        </w:tc>
        <w:tc>
          <w:tcPr>
            <w:tcW w:type="dxa" w:w="208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80%</w:t>
            </w:r>
          </w:p>
        </w:tc>
        <w:tc>
          <w:tcPr>
            <w:tcW w:type="dxa" w:w="207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Остальные допущения (регистрация, вступление, активация, удержание, ранний выход, ошибки) — в начале файла generate.py. Это учебные числа, а не измерения.</w:t>
      </w:r>
    </w:p>
    <w:p>
      <w:pPr>
        <w:pStyle w:val="Heading1"/>
      </w:pPr>
      <w:r>
        <w:t xml:space="preserve">3. Очистка: Bronze → Silver → Gold</w:t>
      </w:r>
    </w:p>
    <w:p>
      <w:pPr>
        <w:spacing w:after="120"/>
      </w:pPr>
      <w:r>
        <w:t xml:space="preserve">Из 323 912 сырых событий в серебряный слой прошло 316 892; </w:t>
      </w:r>
      <w:r>
        <w:rPr>
          <w:b/>
          <w:bCs/>
        </w:rPr>
        <w:t xml:space="preserve">7 020 (2,2%) ушли в карантин</w:t>
      </w:r>
      <w:r>
        <w:t xml:space="preserve"> с причиной: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rPr>
          <w:tblHeader/>
        </w:trPr>
        <w:tc>
          <w:tcPr>
            <w:tcW w:type="dxa" w:w="66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30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Строк</w:t>
            </w:r>
          </w:p>
        </w:tc>
      </w:tr>
      <w:tr>
        <w:trPr>
          <w:tblHeader w:val="false"/>
        </w:trPr>
        <w:tc>
          <w:tcPr>
            <w:tcW w:type="dxa" w:w="66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Дубль event_id</w:t>
            </w:r>
          </w:p>
        </w:tc>
        <w:tc>
          <w:tcPr>
            <w:tcW w:type="dxa" w:w="30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4 787</w:t>
            </w:r>
          </w:p>
        </w:tc>
      </w:tr>
      <w:tr>
        <w:trPr>
          <w:tblHeader w:val="false"/>
        </w:trPr>
        <w:tc>
          <w:tcPr>
            <w:tcW w:type="dxa" w:w="66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Нет ни user_id, ни anonymous_id</w:t>
            </w:r>
          </w:p>
        </w:tc>
        <w:tc>
          <w:tcPr>
            <w:tcW w:type="dxa" w:w="30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963</w:t>
            </w:r>
          </w:p>
        </w:tc>
      </w:tr>
      <w:tr>
        <w:trPr>
          <w:tblHeader w:val="false"/>
        </w:trPr>
        <w:tc>
          <w:tcPr>
            <w:tcW w:type="dxa" w:w="66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Сообщества нет в справочнике</w:t>
            </w:r>
          </w:p>
        </w:tc>
        <w:tc>
          <w:tcPr>
            <w:tcW w:type="dxa" w:w="30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664</w:t>
            </w:r>
          </w:p>
        </w:tc>
      </w:tr>
      <w:tr>
        <w:trPr>
          <w:tblHeader w:val="false"/>
        </w:trPr>
        <w:tc>
          <w:tcPr>
            <w:tcW w:type="dxa" w:w="66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Недопустимый action_type</w:t>
            </w:r>
          </w:p>
        </w:tc>
        <w:tc>
          <w:tcPr>
            <w:tcW w:type="dxa" w:w="30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542</w:t>
            </w:r>
          </w:p>
        </w:tc>
      </w:tr>
      <w:tr>
        <w:trPr>
          <w:tblHeader w:val="false"/>
        </w:trPr>
        <w:tc>
          <w:tcPr>
            <w:tcW w:type="dxa" w:w="66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Недопустимый join_status</w:t>
            </w:r>
          </w:p>
        </w:tc>
        <w:tc>
          <w:tcPr>
            <w:tcW w:type="dxa" w:w="30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</w:tr>
      <w:tr>
        <w:trPr>
          <w:tblHeader w:val="false"/>
        </w:trPr>
        <w:tc>
          <w:tcPr>
            <w:tcW w:type="dxa" w:w="66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Отрицательная длительность</w:t>
            </w:r>
          </w:p>
        </w:tc>
        <w:tc>
          <w:tcPr>
            <w:tcW w:type="dxa" w:w="30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В серебряном слое время приведено к UTC, а anonymous_id после регистрации склеен с user_id — гость и зарегистрированный считаются одним человеком.</w:t>
      </w:r>
    </w:p>
    <w:p>
      <w:pPr>
        <w:pStyle w:val="Heading1"/>
      </w:pPr>
      <w:r>
        <w:t xml:space="preserve">4. Планирование теста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Базовая конверсия p₁ = 42,8% (первая неделя группы A; в жизни — исторические данные), MDE = 3%, α = 0,05, мощность 80%.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Выборка: 4 304 на группу, 8 608 всего.</w:t>
      </w:r>
      <w:r>
        <w:t xml:space="preserve"> При ~1 137 открытиях в день это 14 дней — ровно заданный минимум (две полные недели).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Чувствительность: MDE 1 п.п. → 38 542 на группу, 2 п.п. → 9 661, 5 п.п. → 1 556. Выборка растёт как 1/Δ².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Баланс групп (SRM):</w:t>
      </w:r>
      <w:r>
        <w:t xml:space="preserve"> A 12 070, B 11 808, χ² = 2,87, p = 0,090 — перекоса нет.</w:t>
      </w:r>
    </w:p>
    <w:p>
      <w:pPr>
        <w:pStyle w:val="Heading1"/>
      </w:pPr>
      <w:r>
        <w:t xml:space="preserve">5. Результаты</w:t>
      </w:r>
    </w:p>
    <w:p>
      <w:pPr>
        <w:spacing w:after="120"/>
      </w:pPr>
      <w:r>
        <w:rPr>
          <w:b/>
          <w:bCs/>
        </w:rPr>
        <w:t xml:space="preserve">Главная метрика — Conversion to Call Join:</w:t>
      </w:r>
      <w:r>
        <w:t xml:space="preserve"> A 42,2%, B 51,8%. Разница +9,6 п.п., 95% ДИ [+8,3 п.п.; +10,9 п.п.], относительный прирост 22,8%; z = 14,9, p &lt; 0,001 — </w:t>
      </w:r>
      <w:r>
        <w:rPr>
          <w:b/>
          <w:bCs/>
        </w:rPr>
        <w:t xml:space="preserve">значимо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Защитные метрики</w:t>
      </w:r>
      <w:r>
        <w:t xml:space="preserve"> — все в заранее заданных границах: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900"/>
        <w:gridCol w:w="1100"/>
        <w:gridCol w:w="1500"/>
        <w:gridCol w:w="900"/>
        <w:gridCol w:w="1238"/>
        <w:gridCol w:w="1000"/>
      </w:tblGrid>
      <w:tr>
        <w:trPr>
          <w:tblHeader/>
        </w:trPr>
        <w:tc>
          <w:tcPr>
            <w:tcW w:type="dxa" w:w="2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1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Разница B−A</w:t>
            </w:r>
          </w:p>
        </w:tc>
        <w:tc>
          <w:tcPr>
            <w:tcW w:type="dxa" w:w="15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ДИ 95%</w:t>
            </w:r>
          </w:p>
        </w:tc>
        <w:tc>
          <w:tcPr>
            <w:tcW w:type="dxa" w:w="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p-value</w:t>
            </w:r>
          </w:p>
        </w:tc>
        <w:tc>
          <w:tcPr>
            <w:tcW w:type="dxa" w:w="12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Граница</w:t>
            </w:r>
          </w:p>
        </w:tc>
        <w:tc>
          <w:tcPr>
            <w:tcW w:type="dxa" w:w="10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Activation Rate</w:t>
            </w:r>
          </w:p>
        </w:tc>
        <w:tc>
          <w:tcPr>
            <w:tcW w:type="dxa" w:w="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52,2%</w:t>
            </w:r>
          </w:p>
        </w:tc>
        <w:tc>
          <w:tcPr>
            <w:tcW w:type="dxa" w:w="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48,4%</w:t>
            </w:r>
          </w:p>
        </w:tc>
        <w:tc>
          <w:tcPr>
            <w:tcW w:type="dxa" w:w="1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−3,8 п.п.</w:t>
            </w:r>
          </w:p>
        </w:tc>
        <w:tc>
          <w:tcPr>
            <w:tcW w:type="dxa" w:w="15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[-0.065; -0.012]</w:t>
            </w:r>
          </w:p>
        </w:tc>
        <w:tc>
          <w:tcPr>
            <w:tcW w:type="dxa" w:w="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0,0047</w:t>
            </w:r>
          </w:p>
        </w:tc>
        <w:tc>
          <w:tcPr>
            <w:tcW w:type="dxa" w:w="12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−5 п.п.</w:t>
            </w:r>
          </w:p>
        </w:tc>
        <w:tc>
          <w:tcPr>
            <w:tcW w:type="dxa" w:w="10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 границах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Доля раннего выхода</w:t>
            </w:r>
          </w:p>
        </w:tc>
        <w:tc>
          <w:tcPr>
            <w:tcW w:type="dxa" w:w="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7,0%</w:t>
            </w:r>
          </w:p>
        </w:tc>
        <w:tc>
          <w:tcPr>
            <w:tcW w:type="dxa" w:w="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9,6%</w:t>
            </w:r>
          </w:p>
        </w:tc>
        <w:tc>
          <w:tcPr>
            <w:tcW w:type="dxa" w:w="1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+2,6 п.п.</w:t>
            </w:r>
          </w:p>
        </w:tc>
        <w:tc>
          <w:tcPr>
            <w:tcW w:type="dxa" w:w="15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[+0.011; +0.040]</w:t>
            </w:r>
          </w:p>
        </w:tc>
        <w:tc>
          <w:tcPr>
            <w:tcW w:type="dxa" w:w="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0,0006</w:t>
            </w:r>
          </w:p>
        </w:tc>
        <w:tc>
          <w:tcPr>
            <w:tcW w:type="dxa" w:w="12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+5 п.п.</w:t>
            </w:r>
          </w:p>
        </w:tc>
        <w:tc>
          <w:tcPr>
            <w:tcW w:type="dxa" w:w="10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 границах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Community Retention D7</w:t>
            </w:r>
          </w:p>
        </w:tc>
        <w:tc>
          <w:tcPr>
            <w:tcW w:type="dxa" w:w="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36,4%</w:t>
            </w:r>
          </w:p>
        </w:tc>
        <w:tc>
          <w:tcPr>
            <w:tcW w:type="dxa" w:w="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33,1%</w:t>
            </w:r>
          </w:p>
        </w:tc>
        <w:tc>
          <w:tcPr>
            <w:tcW w:type="dxa" w:w="1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−3,3 п.п.</w:t>
            </w:r>
          </w:p>
        </w:tc>
        <w:tc>
          <w:tcPr>
            <w:tcW w:type="dxa" w:w="15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[-0.058; -0.008]</w:t>
            </w:r>
          </w:p>
        </w:tc>
        <w:tc>
          <w:tcPr>
            <w:tcW w:type="dxa" w:w="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0,0109</w:t>
            </w:r>
          </w:p>
        </w:tc>
        <w:tc>
          <w:tcPr>
            <w:tcW w:type="dxa" w:w="12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−5 п.п.</w:t>
            </w:r>
          </w:p>
        </w:tc>
        <w:tc>
          <w:tcPr>
            <w:tcW w:type="dxa" w:w="10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 границах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Доля технических ошибок</w:t>
            </w:r>
          </w:p>
        </w:tc>
        <w:tc>
          <w:tcPr>
            <w:tcW w:type="dxa" w:w="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3,7%</w:t>
            </w:r>
          </w:p>
        </w:tc>
        <w:tc>
          <w:tcPr>
            <w:tcW w:type="dxa" w:w="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4,7%</w:t>
            </w:r>
          </w:p>
        </w:tc>
        <w:tc>
          <w:tcPr>
            <w:tcW w:type="dxa" w:w="1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+1,0 п.п.</w:t>
            </w:r>
          </w:p>
        </w:tc>
        <w:tc>
          <w:tcPr>
            <w:tcW w:type="dxa" w:w="15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[+0.004; +0.017]</w:t>
            </w:r>
          </w:p>
        </w:tc>
        <w:tc>
          <w:tcPr>
            <w:tcW w:type="dxa" w:w="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0,0031</w:t>
            </w:r>
          </w:p>
        </w:tc>
        <w:tc>
          <w:tcPr>
            <w:tcW w:type="dxa" w:w="12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+30% относительно</w:t>
            </w:r>
          </w:p>
        </w:tc>
        <w:tc>
          <w:tcPr>
            <w:tcW w:type="dxa" w:w="10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 границах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По сегментам</w:t>
      </w:r>
      <w:r>
        <w:t xml:space="preserve"> (поправка Бонферрони, α = 0,05/3):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1100"/>
        <w:gridCol w:w="1938"/>
        <w:gridCol w:w="1300"/>
        <w:gridCol w:w="1300"/>
      </w:tblGrid>
      <w:tr>
        <w:trPr>
          <w:tblHeader/>
        </w:trPr>
        <w:tc>
          <w:tcPr>
            <w:tcW w:type="dxa" w:w="2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Сегмент</w:t>
            </w:r>
          </w:p>
        </w:tc>
        <w:tc>
          <w:tcPr>
            <w:tcW w:type="dxa" w:w="1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Заложено</w:t>
            </w:r>
          </w:p>
        </w:tc>
        <w:tc>
          <w:tcPr>
            <w:tcW w:type="dxa" w:w="1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9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ДИ (с поправкой)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p-value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Значимо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Гость (без аккаунта)</w:t>
            </w:r>
          </w:p>
        </w:tc>
        <w:tc>
          <w:tcPr>
            <w:tcW w:type="dxa" w:w="1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+12,0 п.п.</w:t>
            </w:r>
          </w:p>
        </w:tc>
        <w:tc>
          <w:tcPr>
            <w:tcW w:type="dxa" w:w="1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+13,2 п.п.</w:t>
            </w:r>
          </w:p>
        </w:tc>
        <w:tc>
          <w:tcPr>
            <w:tcW w:type="dxa" w:w="19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[+0.114; +0.150]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0,0000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 аккаунтом, не в сообществе</w:t>
            </w:r>
          </w:p>
        </w:tc>
        <w:tc>
          <w:tcPr>
            <w:tcW w:type="dxa" w:w="1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+1,0 п.п.</w:t>
            </w:r>
          </w:p>
        </w:tc>
        <w:tc>
          <w:tcPr>
            <w:tcW w:type="dxa" w:w="1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+3,6 п.п.</w:t>
            </w:r>
          </w:p>
        </w:tc>
        <w:tc>
          <w:tcPr>
            <w:tcW w:type="dxa" w:w="19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[+0.004; +0.069]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0,0074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Уже участник сообщества</w:t>
            </w:r>
          </w:p>
        </w:tc>
        <w:tc>
          <w:tcPr>
            <w:tcW w:type="dxa" w:w="1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+0,0 п.п.</w:t>
            </w:r>
          </w:p>
        </w:tc>
        <w:tc>
          <w:tcPr>
            <w:tcW w:type="dxa" w:w="11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−0,6 п.п.</w:t>
            </w:r>
          </w:p>
        </w:tc>
        <w:tc>
          <w:tcPr>
            <w:tcW w:type="dxa" w:w="19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[-0.041; +0.028]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0,6571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100"/>
      </w:pPr>
    </w:p>
    <w:p>
      <w:pPr>
        <w:jc w:val="center"/>
      </w:pPr>
      <w:r>
        <w:drawing>
          <wp:inline distT="0" distB="0" distL="0" distR="0">
            <wp:extent cx="6096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Разница конверсии в звонок B − A по сегментам: везде доверительный интервал накрывает заложенное значение</w:t>
      </w:r>
    </w:p>
    <w:p>
      <w:pPr>
        <w:jc w:val="center"/>
      </w:pPr>
      <w:r>
        <w:drawing>
          <wp:inline distT="0" distB="0" distL="0" distR="0">
            <wp:extent cx="6096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Воронка гостя: в B до звонка доходят заметно чаще, дальше по воронке доли близки</w:t>
      </w:r>
    </w:p>
    <w:p>
      <w:pPr>
        <w:spacing w:after="120"/>
      </w:pPr>
      <w:r>
        <w:rPr>
          <w:b/>
          <w:bCs/>
        </w:rPr>
        <w:t xml:space="preserve">Последовательный мониторинг.</w:t>
      </w:r>
      <w:r>
        <w:t xml:space="preserve"> Проверки на 7, 14 и 21 день: эффект виден уже на первой проверке (z выше строгой границы О'Брайена–Флеминга). По плану эксперимента досрочно останавливаемся только при вреде, поэтому решение принимаем после 14 дней.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300"/>
        <w:gridCol w:w="1300"/>
        <w:gridCol w:w="1300"/>
        <w:gridCol w:w="1600"/>
        <w:gridCol w:w="1438"/>
      </w:tblGrid>
      <w:tr>
        <w:trPr>
          <w:tblHeader/>
        </w:trPr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14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Участников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</w:t>
            </w:r>
          </w:p>
        </w:tc>
        <w:tc>
          <w:tcPr>
            <w:tcW w:type="dxa" w:w="16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Граница |z|</w:t>
            </w:r>
          </w:p>
        </w:tc>
        <w:tc>
          <w:tcPr>
            <w:tcW w:type="dxa" w:w="14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Пересекли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день 7</w:t>
            </w:r>
          </w:p>
        </w:tc>
        <w:tc>
          <w:tcPr>
            <w:tcW w:type="dxa" w:w="14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6 782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43,5%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54,0%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8,71</w:t>
            </w:r>
          </w:p>
        </w:tc>
        <w:tc>
          <w:tcPr>
            <w:tcW w:type="dxa" w:w="16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3,47</w:t>
            </w:r>
          </w:p>
        </w:tc>
        <w:tc>
          <w:tcPr>
            <w:tcW w:type="dxa" w:w="14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день 14</w:t>
            </w:r>
          </w:p>
        </w:tc>
        <w:tc>
          <w:tcPr>
            <w:tcW w:type="dxa" w:w="14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14 708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42,6%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52,4%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11,85</w:t>
            </w:r>
          </w:p>
        </w:tc>
        <w:tc>
          <w:tcPr>
            <w:tcW w:type="dxa" w:w="16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2,45</w:t>
            </w:r>
          </w:p>
        </w:tc>
        <w:tc>
          <w:tcPr>
            <w:tcW w:type="dxa" w:w="14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день 21</w:t>
            </w:r>
          </w:p>
        </w:tc>
        <w:tc>
          <w:tcPr>
            <w:tcW w:type="dxa" w:w="14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22 768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42,2%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52,0%</w:t>
            </w:r>
          </w:p>
        </w:tc>
        <w:tc>
          <w:tcPr>
            <w:tcW w:type="dxa" w:w="13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14,76</w:t>
            </w:r>
          </w:p>
        </w:tc>
        <w:tc>
          <w:tcPr>
            <w:tcW w:type="dxa" w:w="16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2,00</w:t>
            </w:r>
          </w:p>
        </w:tc>
        <w:tc>
          <w:tcPr>
            <w:tcW w:type="dxa" w:w="14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A/A-тест.</w:t>
      </w:r>
      <w:r>
        <w:t xml:space="preserve"> Группу A 1000 раз случайно делили пополам: значимых «эффектов» — 3,6% при норме около 5%, p-value распределены равномерно (KS-тест p = 0,062). Метод не находит эффект там, где его нет.</w:t>
      </w:r>
    </w:p>
    <w:p>
      <w:pPr>
        <w:jc w:val="center"/>
      </w:pPr>
      <w:r>
        <w:drawing>
          <wp:inline distT="0" distB="0" distL="0" distR="0">
            <wp:extent cx="6096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A/A-тест: распределение p-value близко к равномерному</w:t>
      </w:r>
    </w:p>
    <w:p>
      <w:pPr>
        <w:jc w:val="center"/>
      </w:pPr>
      <w:r>
        <w:drawing>
          <wp:inline distT="0" distB="0" distL="0" distR="0">
            <wp:extent cx="6096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WECU по неделям: волна от участников эксперимента поверх фона старожилов</w:t>
      </w:r>
    </w:p>
    <w:p>
      <w:pPr>
        <w:pStyle w:val="Heading1"/>
      </w:pPr>
      <w:r>
        <w:t xml:space="preserve">6. Решение и выводы</w:t>
      </w:r>
    </w:p>
    <w:p>
      <w:pPr>
        <w:spacing w:after="120"/>
      </w:pPr>
      <w:r>
        <w:rPr>
          <w:b/>
          <w:bCs/>
        </w:rPr>
        <w:t xml:space="preserve">Внедряем: конверсия в B значимо выше, защитные метрики в границах. Небольшое снижение активации и удержания в B стоит наблюдать после запуска.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Тест нашёл заложенный эффект: у гостей +12 п.п., оценка +13 п.п.; доверительный интервал накрывает истинное значение во всех сегментах.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B хуже активация, удержание D7 и ранний выход: часть людей заходит в звонок «на пробу». Отклонения в пределах границ, но после внедрения за ними нужно следить.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Регистрации гостей в B немного ниже, чем в A. В модели это следствие допущения, что 70% гостей регистрируются после звонка. На реальных данных это главный вопрос вторичной гипотезы: стоит отдельно продумать момент и форму предложения зарегистрироваться.</w:t>
      </w:r>
    </w:p>
    <w:p>
      <w:pPr>
        <w:pStyle w:val="Heading1"/>
      </w:pPr>
      <w:r>
        <w:t xml:space="preserve">7.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вероятности — допущения модели, а не измерения; выводы проверяют метод, а не продукт.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Пользователи A и B в модели не влияют друг на друга. В жизни они могут оказаться в одном звонке; если влияние подтвердится — кластерная рандомизация по сообществу.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Границы защитных метрик (5 п.п., 30%) взяты для примера; в реальном тесте их фиксируют до запуска по историческим данным.</w:t>
      </w:r>
    </w:p>
    <w:p>
      <w:pPr>
        <w:pStyle w:val="Heading1"/>
      </w:pPr>
      <w:r>
        <w:t xml:space="preserve">8. Что в архиве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64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shd w:fill="ECE9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это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generate.py</w:t>
            </w:r>
          </w:p>
        </w:tc>
        <w:tc>
          <w:tcPr>
            <w:tcW w:type="dxa" w:w="64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Генератор синтетических событий; все допущения — в Config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pipeline.py</w:t>
            </w:r>
          </w:p>
        </w:tc>
        <w:tc>
          <w:tcPr>
            <w:tcW w:type="dxa" w:w="64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Bronze → Silver → Gold: проверки качества, карантин, склейка, витрины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analysis.py</w:t>
            </w:r>
          </w:p>
        </w:tc>
        <w:tc>
          <w:tcPr>
            <w:tcW w:type="dxa" w:w="64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Выборка, SRM, z-тест, защитные метрики, сегменты, мониторинг, A/A, графики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ab_test.ipynb / ab_test.html</w:t>
            </w:r>
          </w:p>
        </w:tc>
        <w:tc>
          <w:tcPr>
            <w:tcW w:type="dxa" w:w="64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Ноутбук с пояснениями и результатами; HTML открывается в браузере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data/, charts/</w:t>
            </w:r>
          </w:p>
        </w:tc>
        <w:tc>
          <w:tcPr>
            <w:tcW w:type="dxa" w:w="6438"/>
            <w:tcBorders>
              <w:top w:val="single" w:color="C9C6DD" w:sz="4"/>
              <w:left w:val="single" w:color="C9C6DD" w:sz="4"/>
              <w:bottom w:val="single" w:color="C9C6DD" w:sz="4"/>
              <w:right w:val="single" w:color="C9C6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Сгенерированные таблицы и графики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A/B-тест на синтетических данных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5D529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685cfe7878ab68fcd17f2d2c1aea3822ea079c7.png"/><Relationship Id="rId9" Type="http://schemas.openxmlformats.org/officeDocument/2006/relationships/image" Target="media/0eca8194bb843806d468aaf3dee52fd52628c206.png"/><Relationship Id="rId10" Type="http://schemas.openxmlformats.org/officeDocument/2006/relationships/image" Target="media/dffce11e08d225b3a986115afa590380045aa1fb.png"/><Relationship Id="rId11" Type="http://schemas.openxmlformats.org/officeDocument/2006/relationships/image" Target="media/7cf7137a96be7b0c0fee250f43e12b5259710c0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A/B-тест на синтетических данных</dc:title>
  <dc:creator>Claude</dc:creator>
  <cp:lastModifiedBy>Un-named</cp:lastModifiedBy>
  <cp:revision>1</cp:revision>
  <dcterms:created xsi:type="dcterms:W3CDTF">2026-10-21T16:20:05.782Z</dcterms:created>
  <dcterms:modified xsi:type="dcterms:W3CDTF">2026-10-21T16:20:05.783Z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