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EB" w:rsidRDefault="00957AF0" w:rsidP="00957AF0">
      <w:pPr>
        <w:pStyle w:val="Heading1"/>
        <w:rPr>
          <w:lang w:val="mk-MK"/>
        </w:rPr>
      </w:pPr>
      <w:bookmarkStart w:id="0" w:name="_GoBack"/>
      <w:bookmarkEnd w:id="0"/>
      <w:r>
        <w:rPr>
          <w:lang w:val="mk-MK"/>
        </w:rPr>
        <w:t>Имплементациска архитектура</w:t>
      </w:r>
    </w:p>
    <w:p w:rsidR="00957AF0" w:rsidRDefault="00957AF0" w:rsidP="00957AF0">
      <w:pPr>
        <w:rPr>
          <w:lang w:val="mk-MK"/>
        </w:rPr>
      </w:pPr>
    </w:p>
    <w:p w:rsid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  <w:lang w:val="mk-MK"/>
        </w:rPr>
      </w:pP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Системската архитектура на оваа апликација е базирана на имплементациски детали, фокусирајќи се на изградбата на системот и техничките компоненти. Веб прелистувачот, користен за пристап до апликацијата, праќа HTTP барања до серверот, каде Tomcat ги обработува и пренесува до соодветни контролери. Контролерите се процесираат во Spring Boot контејнер, кој извршува API повици до базата на </w:t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>податоци.</w:t>
      </w:r>
    </w:p>
    <w:p w:rsid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Одговорите од серверот се испраќаат назад до веб прелистувачот, каде </w:t>
      </w:r>
      <w:r>
        <w:rPr>
          <w:rFonts w:asciiTheme="minorHAnsi" w:hAnsiTheme="minorHAnsi" w:cstheme="minorHAnsi"/>
          <w:color w:val="000000"/>
          <w:sz w:val="22"/>
          <w:szCs w:val="27"/>
        </w:rPr>
        <w:t>Angular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 апликацијата, вклучувајќи соодветни компоне</w:t>
      </w:r>
      <w:r>
        <w:rPr>
          <w:rFonts w:asciiTheme="minorHAnsi" w:hAnsiTheme="minorHAnsi" w:cstheme="minorHAnsi"/>
          <w:color w:val="000000"/>
          <w:sz w:val="22"/>
          <w:szCs w:val="27"/>
        </w:rPr>
        <w:t xml:space="preserve">нти, 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 прикажува информаци</w:t>
      </w:r>
      <w:r>
        <w:rPr>
          <w:rFonts w:asciiTheme="minorHAnsi" w:hAnsiTheme="minorHAnsi" w:cstheme="minorHAnsi"/>
          <w:color w:val="000000"/>
          <w:sz w:val="22"/>
          <w:szCs w:val="27"/>
        </w:rPr>
        <w:t xml:space="preserve">и и опции за филтрирање, што 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овозможува детално пребарување </w:t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>за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>компаниите</w:t>
      </w:r>
      <w:r w:rsidRPr="00957AF0">
        <w:rPr>
          <w:rFonts w:asciiTheme="minorHAnsi" w:hAnsiTheme="minorHAnsi" w:cstheme="minorHAnsi"/>
          <w:color w:val="000000"/>
          <w:sz w:val="22"/>
          <w:szCs w:val="27"/>
        </w:rPr>
        <w:t>.</w:t>
      </w:r>
    </w:p>
    <w:p w:rsid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  <w:lang w:val="mk-MK"/>
        </w:rPr>
      </w:pPr>
      <w:r>
        <w:rPr>
          <w:rFonts w:asciiTheme="minorHAnsi" w:hAnsiTheme="minorHAnsi" w:cstheme="minorHAnsi"/>
          <w:noProof/>
          <w:color w:val="000000"/>
          <w:sz w:val="22"/>
          <w:szCs w:val="27"/>
        </w:rPr>
        <w:drawing>
          <wp:inline distT="0" distB="0" distL="0" distR="0" wp14:anchorId="5704B386" wp14:editId="6A67F00C">
            <wp:extent cx="4579866" cy="328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Arc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40" cy="33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2"/>
          <w:szCs w:val="27"/>
          <w:lang w:val="mk-MK"/>
        </w:rPr>
        <w:t xml:space="preserve">    </w:t>
      </w:r>
    </w:p>
    <w:p w:rsid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  <w:lang w:val="mk-MK"/>
        </w:rPr>
      </w:pPr>
    </w:p>
    <w:p w:rsidR="00957AF0" w:rsidRPr="00957AF0" w:rsidRDefault="00957AF0" w:rsidP="00957AF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noProof/>
          <w:color w:val="000000"/>
          <w:sz w:val="22"/>
          <w:szCs w:val="27"/>
        </w:rPr>
        <w:drawing>
          <wp:inline distT="0" distB="0" distL="0" distR="0" wp14:anchorId="5A3ED96B" wp14:editId="3827B8D6">
            <wp:extent cx="3370580" cy="25374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ationArc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13" cy="26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F0" w:rsidRPr="00957A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F0"/>
    <w:rsid w:val="00957AF0"/>
    <w:rsid w:val="00CC421B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98A4"/>
  <w15:chartTrackingRefBased/>
  <w15:docId w15:val="{5BE6E5AF-7F60-4538-B41D-F28880C1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5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2024-12-04T01:36:00Z</dcterms:created>
  <dcterms:modified xsi:type="dcterms:W3CDTF">2024-12-04T01:43:00Z</dcterms:modified>
</cp:coreProperties>
</file>