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4498A" w14:textId="77777777" w:rsidR="00003922" w:rsidRDefault="00003922" w:rsidP="00003922">
      <w:pPr>
        <w:rPr>
          <w:b/>
          <w:bCs/>
        </w:rPr>
      </w:pPr>
    </w:p>
    <w:p w14:paraId="20C793A7" w14:textId="0F273DA3" w:rsidR="00003922" w:rsidRPr="00003922" w:rsidRDefault="00003922" w:rsidP="003B1EBD">
      <w:pPr>
        <w:jc w:val="both"/>
        <w:rPr>
          <w:lang w:val="en-US"/>
        </w:rPr>
      </w:pPr>
      <w:r w:rsidRPr="00003922">
        <w:rPr>
          <w:b/>
          <w:bCs/>
        </w:rPr>
        <w:t>Goal:</w:t>
      </w:r>
      <w:r w:rsidRPr="00003922">
        <w:rPr>
          <w:lang w:val="en-US"/>
        </w:rPr>
        <w:t xml:space="preserve"> Identify the list of practices for TD manage</w:t>
      </w:r>
      <w:r>
        <w:rPr>
          <w:lang w:val="en-US"/>
        </w:rPr>
        <w:t>ment: monitoring, payment and prevention</w:t>
      </w:r>
    </w:p>
    <w:p w14:paraId="15035406" w14:textId="659D0E9A" w:rsidR="00003922" w:rsidRPr="00003922" w:rsidRDefault="00003922" w:rsidP="003B1EBD">
      <w:pPr>
        <w:jc w:val="both"/>
        <w:rPr>
          <w:lang w:val="en-US"/>
        </w:rPr>
      </w:pPr>
      <w:r w:rsidRPr="00003922">
        <w:rPr>
          <w:b/>
          <w:bCs/>
        </w:rPr>
        <w:t>Expected Result:</w:t>
      </w:r>
      <w:r>
        <w:t xml:space="preserve"> </w:t>
      </w:r>
      <w:r w:rsidRPr="00003922">
        <w:rPr>
          <w:lang w:val="en-US"/>
        </w:rPr>
        <w:t>List of T</w:t>
      </w:r>
      <w:r>
        <w:rPr>
          <w:lang w:val="en-US"/>
        </w:rPr>
        <w:t>D monitoring practices, list of TD payment practices and list of TD preventive practices</w:t>
      </w:r>
    </w:p>
    <w:p w14:paraId="16EABD7D" w14:textId="4446AE8C" w:rsidR="00003922" w:rsidRPr="003B1EBD" w:rsidRDefault="00003922" w:rsidP="003B1EBD">
      <w:pPr>
        <w:jc w:val="both"/>
        <w:rPr>
          <w:lang w:val="en-US"/>
        </w:rPr>
      </w:pPr>
      <w:r w:rsidRPr="00003922">
        <w:rPr>
          <w:b/>
          <w:bCs/>
        </w:rPr>
        <w:t>Necessary Files:</w:t>
      </w:r>
      <w:r w:rsidRPr="00003922">
        <w:rPr>
          <w:lang w:val="en-US"/>
        </w:rPr>
        <w:t xml:space="preserve"> </w:t>
      </w:r>
      <w:r w:rsidRPr="00003922">
        <w:rPr>
          <w:lang w:val="en-US"/>
        </w:rPr>
        <w:t>List of Monitoring Actions</w:t>
      </w:r>
      <w:r>
        <w:rPr>
          <w:lang w:val="en-US"/>
        </w:rPr>
        <w:t xml:space="preserve">.xlsx, </w:t>
      </w:r>
      <w:r w:rsidRPr="00003922">
        <w:rPr>
          <w:lang w:val="en-US"/>
        </w:rPr>
        <w:t>List of Repayment Actions</w:t>
      </w:r>
      <w:r>
        <w:rPr>
          <w:lang w:val="en-US"/>
        </w:rPr>
        <w:t xml:space="preserve">.xlsx, </w:t>
      </w:r>
      <w:r w:rsidRPr="00003922">
        <w:rPr>
          <w:lang w:val="en-US"/>
        </w:rPr>
        <w:t xml:space="preserve">List of preventive actions identified in </w:t>
      </w:r>
      <w:proofErr w:type="spellStart"/>
      <w:r w:rsidRPr="00003922">
        <w:rPr>
          <w:lang w:val="en-US"/>
        </w:rPr>
        <w:t>InsighTD</w:t>
      </w:r>
      <w:proofErr w:type="spellEnd"/>
      <w:r w:rsidRPr="00003922">
        <w:rPr>
          <w:lang w:val="en-US"/>
        </w:rPr>
        <w:t xml:space="preserve"> BR and USA V01</w:t>
      </w:r>
      <w:r>
        <w:rPr>
          <w:lang w:val="en-US"/>
        </w:rPr>
        <w:t xml:space="preserve">.docx and </w:t>
      </w:r>
      <w:r w:rsidRPr="00003922">
        <w:rPr>
          <w:lang w:val="en-US"/>
        </w:rPr>
        <w:t>Analysis_COUNTRY-NAME_Execution_Management</w:t>
      </w:r>
      <w:r>
        <w:rPr>
          <w:lang w:val="en-US"/>
        </w:rPr>
        <w:t>.xlsx</w:t>
      </w:r>
    </w:p>
    <w:p w14:paraId="6E7A747F" w14:textId="77777777" w:rsidR="00003922" w:rsidRDefault="00003922" w:rsidP="003B1EBD">
      <w:pPr>
        <w:jc w:val="both"/>
      </w:pPr>
    </w:p>
    <w:p w14:paraId="39A52316" w14:textId="77777777" w:rsidR="00003922" w:rsidRPr="00003922" w:rsidRDefault="00003922" w:rsidP="003B1EBD">
      <w:pPr>
        <w:jc w:val="both"/>
        <w:rPr>
          <w:b/>
          <w:bCs/>
        </w:rPr>
      </w:pPr>
      <w:r w:rsidRPr="00003922">
        <w:rPr>
          <w:b/>
          <w:bCs/>
        </w:rPr>
        <w:t>Analysis Procedure</w:t>
      </w:r>
    </w:p>
    <w:p w14:paraId="4CAFDB35" w14:textId="77777777" w:rsidR="00003922" w:rsidRDefault="00003922" w:rsidP="003B1EBD">
      <w:pPr>
        <w:jc w:val="both"/>
      </w:pPr>
    </w:p>
    <w:p w14:paraId="77489EF9" w14:textId="3ACE590B" w:rsidR="00003922" w:rsidRDefault="00003922" w:rsidP="003B1EBD">
      <w:pPr>
        <w:jc w:val="both"/>
      </w:pPr>
      <w:r>
        <w:t>This analysis considers the answers for the questions Q2</w:t>
      </w:r>
      <w:r w:rsidRPr="00003922">
        <w:rPr>
          <w:lang w:val="en-US"/>
        </w:rPr>
        <w:t>2</w:t>
      </w:r>
      <w:r>
        <w:t xml:space="preserve"> </w:t>
      </w:r>
      <w:r w:rsidRPr="00003922">
        <w:rPr>
          <w:lang w:val="en-US"/>
        </w:rPr>
        <w:t xml:space="preserve">to </w:t>
      </w:r>
      <w:r>
        <w:t>Q2</w:t>
      </w:r>
      <w:r w:rsidRPr="00003922">
        <w:rPr>
          <w:lang w:val="en-US"/>
        </w:rPr>
        <w:t>8</w:t>
      </w:r>
      <w:r>
        <w:t xml:space="preserve"> of the questionnaire.</w:t>
      </w:r>
    </w:p>
    <w:p w14:paraId="77489EF9" w14:textId="3ACE590B" w:rsidR="00003922" w:rsidRDefault="00003922" w:rsidP="003B1EBD">
      <w:pPr>
        <w:jc w:val="both"/>
      </w:pPr>
    </w:p>
    <w:p w14:paraId="1ED416E4" w14:textId="6D7D4B60" w:rsidR="00003922" w:rsidRDefault="00003922" w:rsidP="003B1EBD">
      <w:pPr>
        <w:jc w:val="both"/>
      </w:pPr>
      <w:r>
        <w:t>1. Two researchers should, individually, analyze each participant's answer (Tabs standardizationQ2</w:t>
      </w:r>
      <w:r w:rsidRPr="00003922">
        <w:rPr>
          <w:lang w:val="en-US"/>
        </w:rPr>
        <w:t>3</w:t>
      </w:r>
      <w:r>
        <w:rPr>
          <w:lang w:val="en-US"/>
        </w:rPr>
        <w:t>,</w:t>
      </w:r>
      <w:r>
        <w:t xml:space="preserve"> Q2</w:t>
      </w:r>
      <w:r w:rsidRPr="00003922">
        <w:rPr>
          <w:lang w:val="en-US"/>
        </w:rPr>
        <w:t>5, Q</w:t>
      </w:r>
      <w:r>
        <w:rPr>
          <w:lang w:val="en-US"/>
        </w:rPr>
        <w:t>27 and Q28</w:t>
      </w:r>
      <w:r>
        <w:t xml:space="preserve"> |</w:t>
      </w:r>
      <w:r w:rsidRPr="00003922">
        <w:rPr>
          <w:lang w:val="en-US"/>
        </w:rPr>
        <w:t xml:space="preserve"> </w:t>
      </w:r>
      <w:r>
        <w:t>Analysis_COUNTRY-NAME_Execution_</w:t>
      </w:r>
      <w:r w:rsidRPr="00003922">
        <w:rPr>
          <w:lang w:val="en-US"/>
        </w:rPr>
        <w:t>Management</w:t>
      </w:r>
      <w:r>
        <w:t>.xlsx);</w:t>
      </w:r>
    </w:p>
    <w:p w14:paraId="497EEED0" w14:textId="1547D2E0" w:rsidR="00003922" w:rsidRDefault="00003922" w:rsidP="003B1EBD">
      <w:pPr>
        <w:jc w:val="both"/>
      </w:pPr>
      <w:r>
        <w:t xml:space="preserve">2. Identify the </w:t>
      </w:r>
      <w:r w:rsidRPr="00003922">
        <w:rPr>
          <w:lang w:val="en-US"/>
        </w:rPr>
        <w:t>practices</w:t>
      </w:r>
      <w:r>
        <w:rPr>
          <w:rStyle w:val="FootnoteReference"/>
          <w:lang w:val="es-ES"/>
        </w:rPr>
        <w:footnoteReference w:id="1"/>
      </w:r>
      <w:r>
        <w:t xml:space="preserve"> by directly copying the terms provided in the answers (due to standardization in the nomenclature, small adjustments can be made without changing their semantics) (Tabs standardizationQ20 – Q21);</w:t>
      </w:r>
    </w:p>
    <w:p w14:paraId="3B53E00A" w14:textId="14EEBF8D" w:rsidR="005F3AA5" w:rsidRDefault="00003922" w:rsidP="003B1EBD">
      <w:pPr>
        <w:jc w:val="both"/>
      </w:pPr>
      <w:r>
        <w:t>3. Researchers should reach consensus on the identified effects (</w:t>
      </w:r>
      <w:r w:rsidR="0057624D">
        <w:t>Tabs standardizationQ2</w:t>
      </w:r>
      <w:r w:rsidR="0057624D" w:rsidRPr="00003922">
        <w:rPr>
          <w:lang w:val="en-US"/>
        </w:rPr>
        <w:t>3</w:t>
      </w:r>
      <w:r w:rsidR="0057624D">
        <w:rPr>
          <w:lang w:val="en-US"/>
        </w:rPr>
        <w:t>,</w:t>
      </w:r>
      <w:r w:rsidR="0057624D">
        <w:t xml:space="preserve"> Q2</w:t>
      </w:r>
      <w:r w:rsidR="0057624D" w:rsidRPr="00003922">
        <w:rPr>
          <w:lang w:val="en-US"/>
        </w:rPr>
        <w:t>5, Q</w:t>
      </w:r>
      <w:r w:rsidR="0057624D">
        <w:rPr>
          <w:lang w:val="en-US"/>
        </w:rPr>
        <w:t>27 and Q28</w:t>
      </w:r>
      <w:r>
        <w:t>);</w:t>
      </w:r>
    </w:p>
    <w:p w14:paraId="2637311B" w14:textId="043EBB9D" w:rsidR="0057624D" w:rsidRDefault="0057624D" w:rsidP="003B1EBD">
      <w:pPr>
        <w:pStyle w:val="ListParagraph"/>
        <w:numPr>
          <w:ilvl w:val="0"/>
          <w:numId w:val="1"/>
        </w:numPr>
        <w:jc w:val="both"/>
      </w:pPr>
      <w:r w:rsidRPr="0057624D">
        <w:t xml:space="preserve">It is necessary to compare the identified list of </w:t>
      </w:r>
      <w:r w:rsidRPr="0057624D">
        <w:rPr>
          <w:lang w:val="en-US"/>
        </w:rPr>
        <w:t>practices</w:t>
      </w:r>
      <w:r w:rsidRPr="0057624D">
        <w:t xml:space="preserve"> with the list of </w:t>
      </w:r>
      <w:r w:rsidRPr="0057624D">
        <w:rPr>
          <w:lang w:val="en-US"/>
        </w:rPr>
        <w:t>practices</w:t>
      </w:r>
      <w:r w:rsidRPr="0057624D">
        <w:t xml:space="preserve"> identified in the </w:t>
      </w:r>
      <w:r w:rsidRPr="0057624D">
        <w:rPr>
          <w:lang w:val="en-US"/>
        </w:rPr>
        <w:t xml:space="preserve">necessary </w:t>
      </w:r>
      <w:r>
        <w:rPr>
          <w:lang w:val="en-US"/>
        </w:rPr>
        <w:t>files</w:t>
      </w:r>
      <w:r w:rsidRPr="0057624D">
        <w:t>. The names o</w:t>
      </w:r>
      <w:r w:rsidRPr="0057624D">
        <w:rPr>
          <w:lang w:val="en-US"/>
        </w:rPr>
        <w:t>n</w:t>
      </w:r>
      <w:r w:rsidRPr="0057624D">
        <w:t xml:space="preserve"> the final list</w:t>
      </w:r>
      <w:r w:rsidRPr="0057624D">
        <w:rPr>
          <w:lang w:val="en-US"/>
        </w:rPr>
        <w:t xml:space="preserve"> of practices</w:t>
      </w:r>
      <w:r w:rsidRPr="0057624D">
        <w:t xml:space="preserve"> should be based on the names of the </w:t>
      </w:r>
      <w:r w:rsidRPr="0057624D">
        <w:rPr>
          <w:lang w:val="en-US"/>
        </w:rPr>
        <w:t>list of practices of the neces</w:t>
      </w:r>
      <w:r>
        <w:rPr>
          <w:lang w:val="en-US"/>
        </w:rPr>
        <w:t>sary files</w:t>
      </w:r>
      <w:r w:rsidRPr="0057624D">
        <w:t xml:space="preserve">. If there is a new </w:t>
      </w:r>
      <w:r w:rsidRPr="0057624D">
        <w:rPr>
          <w:lang w:val="en-US"/>
        </w:rPr>
        <w:t>practice</w:t>
      </w:r>
      <w:r w:rsidRPr="0057624D">
        <w:t>, it should be added to the end of thelist in red color</w:t>
      </w:r>
      <w:r w:rsidRPr="0057624D">
        <w:rPr>
          <w:lang w:val="en-US"/>
        </w:rPr>
        <w:t xml:space="preserve">. </w:t>
      </w:r>
      <w:r w:rsidRPr="0057624D">
        <w:t xml:space="preserve">This step is necessary to avoid many different nomenclatures for the same </w:t>
      </w:r>
      <w:r w:rsidRPr="0057624D">
        <w:rPr>
          <w:lang w:val="en-US"/>
        </w:rPr>
        <w:t>practi</w:t>
      </w:r>
      <w:r>
        <w:rPr>
          <w:lang w:val="en-US"/>
        </w:rPr>
        <w:t>ce</w:t>
      </w:r>
      <w:r w:rsidRPr="0057624D">
        <w:t>.</w:t>
      </w:r>
    </w:p>
    <w:p w14:paraId="75B03965" w14:textId="2D05AE9C" w:rsidR="0057624D" w:rsidRDefault="0057624D" w:rsidP="003B1EBD">
      <w:pPr>
        <w:jc w:val="both"/>
        <w:rPr>
          <w:lang w:val="en-US"/>
        </w:rPr>
      </w:pPr>
      <w:r w:rsidRPr="0057624D">
        <w:rPr>
          <w:lang w:val="en-US"/>
        </w:rPr>
        <w:t xml:space="preserve">4. </w:t>
      </w:r>
      <w:r w:rsidRPr="0057624D">
        <w:rPr>
          <w:lang w:val="en-US"/>
        </w:rPr>
        <w:t xml:space="preserve">To count the number of times that each </w:t>
      </w:r>
      <w:r w:rsidRPr="0057624D">
        <w:rPr>
          <w:lang w:val="en-US"/>
        </w:rPr>
        <w:t>practice</w:t>
      </w:r>
      <w:r w:rsidRPr="0057624D">
        <w:rPr>
          <w:lang w:val="en-US"/>
        </w:rPr>
        <w:t xml:space="preserve"> was cited, we just need to sum up the total number of citations of each of them. However, if a </w:t>
      </w:r>
      <w:r w:rsidRPr="0057624D">
        <w:rPr>
          <w:lang w:val="en-US"/>
        </w:rPr>
        <w:t>practice</w:t>
      </w:r>
      <w:r w:rsidRPr="0057624D">
        <w:rPr>
          <w:lang w:val="en-US"/>
        </w:rPr>
        <w:t xml:space="preserve"> is cited twice by a participant</w:t>
      </w:r>
      <w:r>
        <w:rPr>
          <w:lang w:val="en-US"/>
        </w:rPr>
        <w:t xml:space="preserve">, </w:t>
      </w:r>
      <w:r w:rsidRPr="0057624D">
        <w:rPr>
          <w:lang w:val="en-US"/>
        </w:rPr>
        <w:t xml:space="preserve">that </w:t>
      </w:r>
      <w:r>
        <w:rPr>
          <w:lang w:val="en-US"/>
        </w:rPr>
        <w:t>practice</w:t>
      </w:r>
      <w:r w:rsidRPr="0057624D">
        <w:rPr>
          <w:lang w:val="en-US"/>
        </w:rPr>
        <w:t xml:space="preserve"> should only be considered one time for that participant.</w:t>
      </w:r>
    </w:p>
    <w:p w14:paraId="4E0868DE" w14:textId="33ABF074" w:rsidR="0057624D" w:rsidRDefault="0057624D" w:rsidP="0057624D">
      <w:pPr>
        <w:rPr>
          <w:lang w:val="en-US"/>
        </w:rPr>
      </w:pPr>
    </w:p>
    <w:p w14:paraId="536B5954" w14:textId="77777777" w:rsidR="0057624D" w:rsidRPr="0057624D" w:rsidRDefault="0057624D" w:rsidP="0057624D">
      <w:pPr>
        <w:rPr>
          <w:lang w:val="en-US"/>
        </w:rPr>
      </w:pPr>
      <w:r w:rsidRPr="0057624D">
        <w:rPr>
          <w:lang w:val="en-US"/>
        </w:rPr>
        <w:t>Example.</w:t>
      </w:r>
    </w:p>
    <w:p w14:paraId="1F2446DF" w14:textId="77777777" w:rsidR="003B1EBD" w:rsidRDefault="0057624D" w:rsidP="0057624D">
      <w:pPr>
        <w:rPr>
          <w:lang w:val="en-US"/>
        </w:rPr>
      </w:pPr>
      <w:r w:rsidRPr="0057624D">
        <w:rPr>
          <w:lang w:val="en-US"/>
        </w:rPr>
        <w:t xml:space="preserve">Table 1 exemplifies the steps 1 and 2 using an answer from participant of </w:t>
      </w:r>
      <w:proofErr w:type="spellStart"/>
      <w:r w:rsidRPr="0057624D">
        <w:rPr>
          <w:lang w:val="en-US"/>
        </w:rPr>
        <w:t>InsighTD</w:t>
      </w:r>
      <w:proofErr w:type="spellEnd"/>
      <w:r w:rsidRPr="0057624D">
        <w:rPr>
          <w:lang w:val="en-US"/>
        </w:rPr>
        <w:t xml:space="preserve"> </w:t>
      </w:r>
      <w:r w:rsidR="003B1EBD">
        <w:rPr>
          <w:lang w:val="en-US"/>
        </w:rPr>
        <w:t>Colombia</w:t>
      </w:r>
      <w:r w:rsidRPr="0057624D">
        <w:rPr>
          <w:lang w:val="en-US"/>
        </w:rPr>
        <w:t xml:space="preserve">: </w:t>
      </w:r>
    </w:p>
    <w:p w14:paraId="4C181F91" w14:textId="77777777" w:rsidR="003B1EBD" w:rsidRDefault="003B1EBD" w:rsidP="0057624D">
      <w:pPr>
        <w:rPr>
          <w:lang w:val="en-US"/>
        </w:rPr>
      </w:pPr>
    </w:p>
    <w:p w14:paraId="663469E1" w14:textId="6A99BB69" w:rsidR="0057624D" w:rsidRDefault="0057624D" w:rsidP="0057624D">
      <w:pPr>
        <w:rPr>
          <w:lang w:val="en-US"/>
        </w:rPr>
      </w:pPr>
      <w:r w:rsidRPr="0057624D">
        <w:rPr>
          <w:lang w:val="en-US"/>
        </w:rPr>
        <w:t xml:space="preserve">Table 1. Examples of the TD </w:t>
      </w:r>
      <w:r w:rsidR="003B1EBD">
        <w:rPr>
          <w:lang w:val="en-US"/>
        </w:rPr>
        <w:t>prevention</w:t>
      </w:r>
      <w:r w:rsidRPr="0057624D">
        <w:rPr>
          <w:lang w:val="en-US"/>
        </w:rPr>
        <w:t xml:space="preserve"> analysis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055"/>
        <w:gridCol w:w="1914"/>
        <w:gridCol w:w="3114"/>
      </w:tblGrid>
      <w:tr w:rsidR="003B1EBD" w14:paraId="789A3852" w14:textId="77777777" w:rsidTr="003B1EBD">
        <w:tc>
          <w:tcPr>
            <w:tcW w:w="2972" w:type="dxa"/>
          </w:tcPr>
          <w:p w14:paraId="112A714C" w14:textId="628744DB" w:rsidR="003B1EBD" w:rsidRPr="003B1EBD" w:rsidRDefault="003B1EBD" w:rsidP="003B1EBD">
            <w:pPr>
              <w:jc w:val="center"/>
              <w:rPr>
                <w:b/>
                <w:bCs/>
                <w:lang w:val="en-US"/>
              </w:rPr>
            </w:pPr>
            <w:r w:rsidRPr="003B1EBD">
              <w:rPr>
                <w:b/>
                <w:bCs/>
                <w:lang w:val="en-US"/>
              </w:rPr>
              <w:t>Participants answers (Q2</w:t>
            </w:r>
            <w:r w:rsidRPr="003B1EBD">
              <w:rPr>
                <w:b/>
                <w:bCs/>
                <w:lang w:val="en-US"/>
              </w:rPr>
              <w:t>8</w:t>
            </w:r>
            <w:r w:rsidRPr="003B1EBD">
              <w:rPr>
                <w:b/>
                <w:bCs/>
                <w:lang w:val="en-US"/>
              </w:rPr>
              <w:t>)</w:t>
            </w:r>
          </w:p>
        </w:tc>
        <w:tc>
          <w:tcPr>
            <w:tcW w:w="2055" w:type="dxa"/>
          </w:tcPr>
          <w:p w14:paraId="2449213D" w14:textId="3CF5DF23" w:rsidR="003B1EBD" w:rsidRPr="003B1EBD" w:rsidRDefault="003B1EBD" w:rsidP="003B1EBD">
            <w:pPr>
              <w:jc w:val="center"/>
              <w:rPr>
                <w:b/>
                <w:bCs/>
                <w:lang w:val="en-US"/>
              </w:rPr>
            </w:pPr>
            <w:r w:rsidRPr="003B1EBD">
              <w:rPr>
                <w:b/>
                <w:bCs/>
                <w:lang w:val="en-US"/>
              </w:rPr>
              <w:t>Prevention</w:t>
            </w:r>
            <w:r w:rsidRPr="003B1EBD">
              <w:rPr>
                <w:b/>
                <w:bCs/>
                <w:lang w:val="en-US"/>
              </w:rPr>
              <w:t xml:space="preserve"> - Researcher 1</w:t>
            </w:r>
          </w:p>
        </w:tc>
        <w:tc>
          <w:tcPr>
            <w:tcW w:w="1914" w:type="dxa"/>
          </w:tcPr>
          <w:p w14:paraId="248CF695" w14:textId="5EDE1423" w:rsidR="003B1EBD" w:rsidRPr="003B1EBD" w:rsidRDefault="003B1EBD" w:rsidP="003B1EBD">
            <w:pPr>
              <w:jc w:val="center"/>
              <w:rPr>
                <w:b/>
                <w:bCs/>
                <w:lang w:val="en-US"/>
              </w:rPr>
            </w:pPr>
            <w:r w:rsidRPr="003B1EBD">
              <w:rPr>
                <w:b/>
                <w:bCs/>
                <w:lang w:val="en-US"/>
              </w:rPr>
              <w:t xml:space="preserve">Prevention - Researcher </w:t>
            </w:r>
            <w:r w:rsidRPr="003B1EBD">
              <w:rPr>
                <w:b/>
                <w:bCs/>
                <w:lang w:val="en-US"/>
              </w:rPr>
              <w:t>2</w:t>
            </w:r>
          </w:p>
        </w:tc>
        <w:tc>
          <w:tcPr>
            <w:tcW w:w="3114" w:type="dxa"/>
          </w:tcPr>
          <w:p w14:paraId="4EDC684D" w14:textId="3201CFF9" w:rsidR="003B1EBD" w:rsidRPr="003B1EBD" w:rsidRDefault="003B1EBD" w:rsidP="003B1EBD">
            <w:pPr>
              <w:jc w:val="center"/>
              <w:rPr>
                <w:b/>
                <w:bCs/>
                <w:lang w:val="en-US"/>
              </w:rPr>
            </w:pPr>
            <w:r w:rsidRPr="003B1EBD">
              <w:rPr>
                <w:b/>
                <w:bCs/>
                <w:lang w:val="en-US"/>
              </w:rPr>
              <w:t>Consensus</w:t>
            </w:r>
          </w:p>
        </w:tc>
      </w:tr>
      <w:tr w:rsidR="003B1EBD" w14:paraId="11A53A26" w14:textId="77777777" w:rsidTr="003B1EBD">
        <w:tc>
          <w:tcPr>
            <w:tcW w:w="2972" w:type="dxa"/>
          </w:tcPr>
          <w:p w14:paraId="4F6FA6A3" w14:textId="73C78C61" w:rsidR="003B1EBD" w:rsidRDefault="003B1EBD" w:rsidP="0057624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3B1EBD">
              <w:rPr>
                <w:lang w:val="en-US"/>
              </w:rPr>
              <w:t>eer review is good practice</w:t>
            </w:r>
          </w:p>
        </w:tc>
        <w:tc>
          <w:tcPr>
            <w:tcW w:w="2055" w:type="dxa"/>
          </w:tcPr>
          <w:p w14:paraId="09589701" w14:textId="787C5F49" w:rsidR="003B1EBD" w:rsidRDefault="003B1EBD" w:rsidP="0057624D">
            <w:pPr>
              <w:rPr>
                <w:lang w:val="en-US"/>
              </w:rPr>
            </w:pPr>
            <w:r w:rsidRPr="003B1EBD">
              <w:rPr>
                <w:lang w:val="en-US"/>
              </w:rPr>
              <w:t>Adoption of pair programming</w:t>
            </w:r>
          </w:p>
        </w:tc>
        <w:tc>
          <w:tcPr>
            <w:tcW w:w="1914" w:type="dxa"/>
          </w:tcPr>
          <w:p w14:paraId="26A5C866" w14:textId="4BAEA942" w:rsidR="003B1EBD" w:rsidRDefault="003B1EBD" w:rsidP="0057624D">
            <w:pPr>
              <w:rPr>
                <w:lang w:val="en-US"/>
              </w:rPr>
            </w:pPr>
            <w:r w:rsidRPr="003B1EBD">
              <w:rPr>
                <w:lang w:val="en-US"/>
              </w:rPr>
              <w:t>Code and Architecture review</w:t>
            </w:r>
          </w:p>
        </w:tc>
        <w:tc>
          <w:tcPr>
            <w:tcW w:w="3114" w:type="dxa"/>
          </w:tcPr>
          <w:p w14:paraId="4105AC06" w14:textId="1957C2A0" w:rsidR="003B1EBD" w:rsidRDefault="003B1EBD" w:rsidP="0057624D">
            <w:pPr>
              <w:rPr>
                <w:lang w:val="en-US"/>
              </w:rPr>
            </w:pPr>
            <w:r w:rsidRPr="003B1EBD">
              <w:rPr>
                <w:lang w:val="en-US"/>
              </w:rPr>
              <w:t>Adoption of pair programming</w:t>
            </w:r>
          </w:p>
        </w:tc>
      </w:tr>
      <w:tr w:rsidR="003B1EBD" w14:paraId="09D1A8FA" w14:textId="77777777" w:rsidTr="003B1EBD">
        <w:tc>
          <w:tcPr>
            <w:tcW w:w="2972" w:type="dxa"/>
          </w:tcPr>
          <w:p w14:paraId="0AB480BA" w14:textId="26E1AEF1" w:rsidR="003B1EBD" w:rsidRDefault="003B1EBD" w:rsidP="0057624D">
            <w:pPr>
              <w:rPr>
                <w:lang w:val="en-US"/>
              </w:rPr>
            </w:pPr>
            <w:r w:rsidRPr="003B1EBD">
              <w:rPr>
                <w:lang w:val="en-US"/>
              </w:rPr>
              <w:t>Validate technically before performing "novel" actions and suggest more support from the technical side in sales.</w:t>
            </w:r>
          </w:p>
        </w:tc>
        <w:tc>
          <w:tcPr>
            <w:tcW w:w="2055" w:type="dxa"/>
          </w:tcPr>
          <w:p w14:paraId="49BB0688" w14:textId="2EE397A7" w:rsidR="003B1EBD" w:rsidRDefault="003B1EBD" w:rsidP="0057624D">
            <w:pPr>
              <w:rPr>
                <w:lang w:val="en-US"/>
              </w:rPr>
            </w:pPr>
            <w:r w:rsidRPr="003B1EBD">
              <w:rPr>
                <w:lang w:val="en-US"/>
              </w:rPr>
              <w:t>Verifying and validating activities</w:t>
            </w:r>
          </w:p>
        </w:tc>
        <w:tc>
          <w:tcPr>
            <w:tcW w:w="1914" w:type="dxa"/>
          </w:tcPr>
          <w:p w14:paraId="76A63890" w14:textId="77777777" w:rsidR="003B1EBD" w:rsidRPr="003B1EBD" w:rsidRDefault="003B1EBD" w:rsidP="003B1EBD">
            <w:pPr>
              <w:rPr>
                <w:lang w:val="en-US"/>
              </w:rPr>
            </w:pPr>
            <w:r w:rsidRPr="003B1EBD">
              <w:rPr>
                <w:lang w:val="en-US"/>
              </w:rPr>
              <w:t>Better understanding of development process by businesses</w:t>
            </w:r>
          </w:p>
          <w:p w14:paraId="26F67AA1" w14:textId="61D4F19C" w:rsidR="003B1EBD" w:rsidRDefault="003B1EBD" w:rsidP="003B1EBD">
            <w:pPr>
              <w:rPr>
                <w:lang w:val="en-US"/>
              </w:rPr>
            </w:pPr>
            <w:r w:rsidRPr="003B1EBD">
              <w:rPr>
                <w:lang w:val="en-US"/>
              </w:rPr>
              <w:t>Discussing about improvements on project</w:t>
            </w:r>
          </w:p>
        </w:tc>
        <w:tc>
          <w:tcPr>
            <w:tcW w:w="3114" w:type="dxa"/>
          </w:tcPr>
          <w:p w14:paraId="22D807C3" w14:textId="77777777" w:rsidR="003B1EBD" w:rsidRPr="003B1EBD" w:rsidRDefault="003B1EBD" w:rsidP="003B1EBD">
            <w:pPr>
              <w:rPr>
                <w:lang w:val="en-US"/>
              </w:rPr>
            </w:pPr>
            <w:r w:rsidRPr="003B1EBD">
              <w:rPr>
                <w:lang w:val="en-US"/>
              </w:rPr>
              <w:t>Better understanding of development process by businesses</w:t>
            </w:r>
          </w:p>
          <w:p w14:paraId="58CB498E" w14:textId="54AE7837" w:rsidR="003B1EBD" w:rsidRDefault="003B1EBD" w:rsidP="003B1EBD">
            <w:pPr>
              <w:rPr>
                <w:lang w:val="en-US"/>
              </w:rPr>
            </w:pPr>
            <w:r w:rsidRPr="003B1EBD">
              <w:rPr>
                <w:lang w:val="en-US"/>
              </w:rPr>
              <w:t>Discussing about improvements on project</w:t>
            </w:r>
          </w:p>
        </w:tc>
      </w:tr>
    </w:tbl>
    <w:p w14:paraId="26B7959F" w14:textId="77777777" w:rsidR="003B1EBD" w:rsidRPr="0057624D" w:rsidRDefault="003B1EBD" w:rsidP="0057624D">
      <w:pPr>
        <w:rPr>
          <w:lang w:val="en-US"/>
        </w:rPr>
      </w:pPr>
    </w:p>
    <w:sectPr w:rsidR="003B1EBD" w:rsidRPr="0057624D" w:rsidSect="003B1EBD">
      <w:headerReference w:type="default" r:id="rId8"/>
      <w:pgSz w:w="12240" w:h="15840"/>
      <w:pgMar w:top="1106" w:right="73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C81B8" w14:textId="77777777" w:rsidR="001A0CD8" w:rsidRDefault="001A0CD8" w:rsidP="00003922">
      <w:r>
        <w:separator/>
      </w:r>
    </w:p>
  </w:endnote>
  <w:endnote w:type="continuationSeparator" w:id="0">
    <w:p w14:paraId="7CB3D7D5" w14:textId="77777777" w:rsidR="001A0CD8" w:rsidRDefault="001A0CD8" w:rsidP="0000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898B1" w14:textId="77777777" w:rsidR="001A0CD8" w:rsidRDefault="001A0CD8" w:rsidP="00003922">
      <w:r>
        <w:separator/>
      </w:r>
    </w:p>
  </w:footnote>
  <w:footnote w:type="continuationSeparator" w:id="0">
    <w:p w14:paraId="311B51C8" w14:textId="77777777" w:rsidR="001A0CD8" w:rsidRDefault="001A0CD8" w:rsidP="00003922">
      <w:r>
        <w:continuationSeparator/>
      </w:r>
    </w:p>
  </w:footnote>
  <w:footnote w:id="1">
    <w:p w14:paraId="7F719B96" w14:textId="06929A50" w:rsidR="00003922" w:rsidRPr="00003922" w:rsidRDefault="0000392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03922">
        <w:rPr>
          <w:lang w:val="en-US"/>
        </w:rPr>
        <w:t>Practices related to monitoring, payment and prevention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9CE66" w14:textId="2FA9736D" w:rsidR="00003922" w:rsidRDefault="00003922" w:rsidP="00003922">
    <w:pPr>
      <w:pStyle w:val="Header"/>
      <w:jc w:val="right"/>
    </w:pPr>
    <w:r>
      <w:rPr>
        <w:noProof/>
      </w:rPr>
      <w:drawing>
        <wp:inline distT="0" distB="0" distL="0" distR="0" wp14:anchorId="12BDE8E1" wp14:editId="50BA8167">
          <wp:extent cx="1583431" cy="404038"/>
          <wp:effectExtent l="0" t="0" r="4445" b="2540"/>
          <wp:docPr id="2" name="Imagem 3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DE297BC-E7C6-314B-B132-AA626A1D660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Icon&#10;&#10;Description automatically generated">
                    <a:extLst>
                      <a:ext uri="{FF2B5EF4-FFF2-40B4-BE49-F238E27FC236}">
                        <a16:creationId xmlns:a16="http://schemas.microsoft.com/office/drawing/2014/main" id="{4DE297BC-E7C6-314B-B132-AA626A1D6606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320" cy="434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15B67"/>
    <w:multiLevelType w:val="hybridMultilevel"/>
    <w:tmpl w:val="6DC81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22"/>
    <w:rsid w:val="00003922"/>
    <w:rsid w:val="001A0CD8"/>
    <w:rsid w:val="003B1EBD"/>
    <w:rsid w:val="0057624D"/>
    <w:rsid w:val="005F3AA5"/>
    <w:rsid w:val="007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1B20"/>
  <w15:chartTrackingRefBased/>
  <w15:docId w15:val="{E2EFD9F0-6D0A-C444-8232-785D8D43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922"/>
  </w:style>
  <w:style w:type="paragraph" w:styleId="Footer">
    <w:name w:val="footer"/>
    <w:basedOn w:val="Normal"/>
    <w:link w:val="FooterChar"/>
    <w:uiPriority w:val="99"/>
    <w:unhideWhenUsed/>
    <w:rsid w:val="0000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922"/>
  </w:style>
  <w:style w:type="paragraph" w:styleId="FootnoteText">
    <w:name w:val="footnote text"/>
    <w:basedOn w:val="Normal"/>
    <w:link w:val="FootnoteTextChar"/>
    <w:uiPriority w:val="99"/>
    <w:semiHidden/>
    <w:unhideWhenUsed/>
    <w:rsid w:val="000039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9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9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624D"/>
    <w:pPr>
      <w:ind w:left="720"/>
      <w:contextualSpacing/>
    </w:pPr>
  </w:style>
  <w:style w:type="table" w:styleId="TableGrid">
    <w:name w:val="Table Grid"/>
    <w:basedOn w:val="TableNormal"/>
    <w:uiPriority w:val="39"/>
    <w:rsid w:val="003B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1E0AB-2A08-824F-B5F1-CBF0CC0C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Rainiero Perez Gutierrez</dc:creator>
  <cp:keywords/>
  <dc:description/>
  <cp:lastModifiedBy>Boris Rainiero Perez Gutierrez</cp:lastModifiedBy>
  <cp:revision>2</cp:revision>
  <dcterms:created xsi:type="dcterms:W3CDTF">2021-04-18T19:28:00Z</dcterms:created>
  <dcterms:modified xsi:type="dcterms:W3CDTF">2021-04-18T19:56:00Z</dcterms:modified>
</cp:coreProperties>
</file>