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drawings/drawing1.xml" ContentType="application/vnd.openxmlformats-officedocument.drawingml.chartshap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2BABA6F" w14:textId="2EFEE3A9" w:rsidR="001965E6" w:rsidRDefault="00C57CF1" w:rsidP="003A482F">
      <w:r w:rsidRPr="0025436C">
        <w:t xml:space="preserve">climada module </w:t>
      </w:r>
      <w:r w:rsidR="00900C8A">
        <w:rPr>
          <w:b/>
        </w:rPr>
        <w:t>tc rain</w:t>
      </w:r>
      <w:r w:rsidR="00900C8A">
        <w:rPr>
          <w:b/>
        </w:rPr>
        <w:tab/>
      </w:r>
      <w:r w:rsidR="00900C8A">
        <w:rPr>
          <w:b/>
        </w:rPr>
        <w:tab/>
      </w:r>
      <w:r w:rsidR="007A1991" w:rsidRPr="0025436C">
        <w:tab/>
      </w:r>
      <w:r w:rsidR="007A1991" w:rsidRPr="0025436C">
        <w:tab/>
      </w:r>
      <w:r w:rsidR="00891BF6">
        <w:tab/>
      </w:r>
      <w:r w:rsidR="00A14096">
        <w:tab/>
      </w:r>
      <w:r w:rsidR="002E4BF4">
        <w:t>22</w:t>
      </w:r>
      <w:r w:rsidR="00A52795">
        <w:t xml:space="preserve"> </w:t>
      </w:r>
      <w:r w:rsidR="00924618">
        <w:t>Dec</w:t>
      </w:r>
      <w:r w:rsidRPr="0025436C">
        <w:t xml:space="preserve"> 2014</w:t>
      </w:r>
    </w:p>
    <w:p w14:paraId="52CE6A10" w14:textId="79B1B64A" w:rsidR="00972F17" w:rsidRPr="0025436C" w:rsidRDefault="003A482F" w:rsidP="003A482F">
      <w:hyperlink r:id="rId9" w:history="1">
        <w:r w:rsidR="00900C8A" w:rsidRPr="002D62A2">
          <w:rPr>
            <w:rStyle w:val="Hyperlink"/>
          </w:rPr>
          <w:t>https://github.com/davidnbresch/climada_module_tc_rain</w:t>
        </w:r>
      </w:hyperlink>
      <w:r w:rsidR="00900C8A">
        <w:t xml:space="preserve"> </w:t>
      </w:r>
    </w:p>
    <w:p w14:paraId="137ED8CB" w14:textId="77777777" w:rsidR="002E4BF4" w:rsidRPr="00531049" w:rsidRDefault="002E4BF4" w:rsidP="002E4BF4">
      <w:hyperlink r:id="rId10" w:history="1">
        <w:r w:rsidRPr="002D79E3">
          <w:rPr>
            <w:rStyle w:val="Hyperlink"/>
          </w:rPr>
          <w:t>muellele@gmail.com</w:t>
        </w:r>
      </w:hyperlink>
      <w:r>
        <w:t xml:space="preserve">, </w:t>
      </w:r>
      <w:hyperlink r:id="rId11" w:history="1">
        <w:r w:rsidRPr="00C705E4">
          <w:rPr>
            <w:rStyle w:val="Hyperlink"/>
          </w:rPr>
          <w:t>david.bresch@gmail.com</w:t>
        </w:r>
      </w:hyperlink>
    </w:p>
    <w:p w14:paraId="4B09EC62" w14:textId="77777777" w:rsidR="00127C46" w:rsidRDefault="00127C46" w:rsidP="003A482F"/>
    <w:p w14:paraId="3CFFA42C" w14:textId="4168146B" w:rsidR="00AC37C4" w:rsidRPr="00AC37C4" w:rsidRDefault="00AC37C4" w:rsidP="003A482F">
      <w:r w:rsidRPr="00AC37C4">
        <w:t>This climada module allows to generate the precipitation fields accompanying a tropical cyclone - the torrential rain (TR) hazard event set</w:t>
      </w:r>
      <w:r>
        <w:t>.</w:t>
      </w:r>
    </w:p>
    <w:p w14:paraId="3649F1E5" w14:textId="77777777" w:rsidR="00AC37C4" w:rsidRPr="00AC37C4" w:rsidRDefault="00AC37C4" w:rsidP="003A482F"/>
    <w:p w14:paraId="605B7C0F" w14:textId="77777777" w:rsidR="00900C8A" w:rsidRDefault="00AC37C4" w:rsidP="003A482F">
      <w:r w:rsidRPr="00AC37C4">
        <w:t>Simply read the h</w:t>
      </w:r>
      <w:r>
        <w:t xml:space="preserve">eader in </w:t>
      </w:r>
      <w:r w:rsidRPr="00AC37C4">
        <w:rPr>
          <w:rFonts w:ascii="Courier" w:hAnsi="Courier"/>
          <w:b/>
        </w:rPr>
        <w:t>climada_tr_hazard_set</w:t>
      </w:r>
      <w:r w:rsidRPr="00AC37C4">
        <w:t xml:space="preserve">, all other code </w:t>
      </w:r>
      <w:r w:rsidR="00900C8A">
        <w:t>implements</w:t>
      </w:r>
      <w:r w:rsidRPr="00AC37C4">
        <w:t xml:space="preserve"> subroutines</w:t>
      </w:r>
      <w:r>
        <w:t>. Please consider the module tc_hazard_advanced</w:t>
      </w:r>
      <w:r w:rsidR="00900C8A">
        <w:rPr>
          <w:rStyle w:val="FootnoteReference"/>
        </w:rPr>
        <w:footnoteReference w:id="1"/>
      </w:r>
      <w:r>
        <w:t xml:space="preserve">, too. </w:t>
      </w:r>
    </w:p>
    <w:p w14:paraId="64E96B33" w14:textId="77777777" w:rsidR="00900C8A" w:rsidRDefault="00900C8A" w:rsidP="003A482F"/>
    <w:p w14:paraId="05626FBA" w14:textId="39B227C5" w:rsidR="002E4BF4" w:rsidRDefault="00AC37C4" w:rsidP="003A482F">
      <w:r>
        <w:t xml:space="preserve">A good demonstration of the application of both modules can be found in </w:t>
      </w:r>
      <w:r w:rsidRPr="00AC37C4">
        <w:rPr>
          <w:rFonts w:ascii="Courier" w:hAnsi="Courier"/>
        </w:rPr>
        <w:t>centroids_generate_hazard_sets</w:t>
      </w:r>
      <w:r>
        <w:t xml:space="preserve"> of the module country risk</w:t>
      </w:r>
      <w:r>
        <w:rPr>
          <w:rStyle w:val="FootnoteReference"/>
        </w:rPr>
        <w:footnoteReference w:id="2"/>
      </w:r>
      <w:r>
        <w:t>.</w:t>
      </w:r>
    </w:p>
    <w:p w14:paraId="7CD14C70" w14:textId="77777777" w:rsidR="00DB346D" w:rsidRDefault="00DB346D" w:rsidP="003A482F"/>
    <w:p w14:paraId="046E4C8B" w14:textId="77777777" w:rsidR="00DB346D" w:rsidRDefault="00DB346D" w:rsidP="003A482F">
      <w:bookmarkStart w:id="0" w:name="_GoBack"/>
      <w:bookmarkEnd w:id="0"/>
    </w:p>
    <w:sdt>
      <w:sdtPr>
        <w:id w:val="-1794129573"/>
        <w:docPartObj>
          <w:docPartGallery w:val="Table of Contents"/>
          <w:docPartUnique/>
        </w:docPartObj>
      </w:sdtPr>
      <w:sdtEndPr>
        <w:rPr>
          <w:rFonts w:ascii="Arial" w:eastAsiaTheme="minorEastAsia" w:hAnsi="Arial" w:cs="Arial"/>
          <w:noProof/>
          <w:color w:val="auto"/>
          <w:sz w:val="22"/>
          <w:szCs w:val="22"/>
        </w:rPr>
      </w:sdtEndPr>
      <w:sdtContent>
        <w:p w14:paraId="37E8345E" w14:textId="7DCA0754" w:rsidR="002E4BF4" w:rsidRPr="002E4BF4" w:rsidRDefault="002E4BF4">
          <w:pPr>
            <w:pStyle w:val="TOCHeading"/>
            <w:rPr>
              <w:rFonts w:ascii="Arial" w:hAnsi="Arial" w:cs="Arial"/>
              <w:b w:val="0"/>
              <w:sz w:val="22"/>
              <w:szCs w:val="22"/>
            </w:rPr>
          </w:pPr>
          <w:r w:rsidRPr="002E4BF4">
            <w:rPr>
              <w:rFonts w:ascii="Arial" w:hAnsi="Arial" w:cs="Arial"/>
              <w:b w:val="0"/>
              <w:sz w:val="22"/>
              <w:szCs w:val="22"/>
            </w:rPr>
            <w:t>Table of Contents</w:t>
          </w:r>
        </w:p>
        <w:p w14:paraId="0F65E688" w14:textId="77777777" w:rsidR="002E4BF4" w:rsidRPr="002E4BF4" w:rsidRDefault="002E4BF4">
          <w:pPr>
            <w:pStyle w:val="TOC2"/>
            <w:tabs>
              <w:tab w:val="right" w:leader="dot" w:pos="8290"/>
            </w:tabs>
            <w:rPr>
              <w:rFonts w:ascii="Arial" w:hAnsi="Arial"/>
              <w:b w:val="0"/>
              <w:noProof/>
              <w:lang w:eastAsia="ja-JP"/>
            </w:rPr>
          </w:pPr>
          <w:r w:rsidRPr="002E4BF4">
            <w:rPr>
              <w:rFonts w:ascii="Arial" w:hAnsi="Arial"/>
              <w:b w:val="0"/>
            </w:rPr>
            <w:fldChar w:fldCharType="begin"/>
          </w:r>
          <w:r w:rsidRPr="002E4BF4">
            <w:rPr>
              <w:rFonts w:ascii="Arial" w:hAnsi="Arial"/>
              <w:b w:val="0"/>
            </w:rPr>
            <w:instrText xml:space="preserve"> TOC \o "1-3" \h \z \u </w:instrText>
          </w:r>
          <w:r w:rsidRPr="002E4BF4">
            <w:rPr>
              <w:rFonts w:ascii="Arial" w:hAnsi="Arial"/>
              <w:b w:val="0"/>
            </w:rPr>
            <w:fldChar w:fldCharType="separate"/>
          </w:r>
          <w:r w:rsidRPr="002E4BF4">
            <w:rPr>
              <w:rFonts w:ascii="Arial" w:hAnsi="Arial"/>
              <w:b w:val="0"/>
              <w:noProof/>
            </w:rPr>
            <w:t>Theoretical Background</w:t>
          </w:r>
          <w:r w:rsidRPr="002E4BF4">
            <w:rPr>
              <w:rFonts w:ascii="Arial" w:hAnsi="Arial"/>
              <w:b w:val="0"/>
              <w:noProof/>
            </w:rPr>
            <w:tab/>
          </w:r>
          <w:r w:rsidRPr="002E4BF4">
            <w:rPr>
              <w:rFonts w:ascii="Arial" w:hAnsi="Arial"/>
              <w:b w:val="0"/>
              <w:noProof/>
            </w:rPr>
            <w:fldChar w:fldCharType="begin"/>
          </w:r>
          <w:r w:rsidRPr="002E4BF4">
            <w:rPr>
              <w:rFonts w:ascii="Arial" w:hAnsi="Arial"/>
              <w:b w:val="0"/>
              <w:noProof/>
            </w:rPr>
            <w:instrText xml:space="preserve"> PAGEREF _Toc280894779 \h </w:instrText>
          </w:r>
          <w:r w:rsidRPr="002E4BF4">
            <w:rPr>
              <w:rFonts w:ascii="Arial" w:hAnsi="Arial"/>
              <w:b w:val="0"/>
              <w:noProof/>
            </w:rPr>
          </w:r>
          <w:r w:rsidRPr="002E4BF4">
            <w:rPr>
              <w:rFonts w:ascii="Arial" w:hAnsi="Arial"/>
              <w:b w:val="0"/>
              <w:noProof/>
            </w:rPr>
            <w:fldChar w:fldCharType="separate"/>
          </w:r>
          <w:r w:rsidRPr="002E4BF4">
            <w:rPr>
              <w:rFonts w:ascii="Arial" w:hAnsi="Arial"/>
              <w:b w:val="0"/>
              <w:noProof/>
            </w:rPr>
            <w:t>1</w:t>
          </w:r>
          <w:r w:rsidRPr="002E4BF4">
            <w:rPr>
              <w:rFonts w:ascii="Arial" w:hAnsi="Arial"/>
              <w:b w:val="0"/>
              <w:noProof/>
            </w:rPr>
            <w:fldChar w:fldCharType="end"/>
          </w:r>
        </w:p>
        <w:p w14:paraId="5349B730" w14:textId="77777777" w:rsidR="002E4BF4" w:rsidRPr="002E4BF4" w:rsidRDefault="002E4BF4">
          <w:pPr>
            <w:pStyle w:val="TOC2"/>
            <w:tabs>
              <w:tab w:val="right" w:leader="dot" w:pos="8290"/>
            </w:tabs>
            <w:rPr>
              <w:rFonts w:ascii="Arial" w:hAnsi="Arial"/>
              <w:b w:val="0"/>
              <w:noProof/>
              <w:lang w:eastAsia="ja-JP"/>
            </w:rPr>
          </w:pPr>
          <w:r w:rsidRPr="002E4BF4">
            <w:rPr>
              <w:rFonts w:ascii="Arial" w:hAnsi="Arial"/>
              <w:b w:val="0"/>
              <w:noProof/>
            </w:rPr>
            <w:t>Generate the Rain Sum Footprint</w:t>
          </w:r>
          <w:r w:rsidRPr="002E4BF4">
            <w:rPr>
              <w:rFonts w:ascii="Arial" w:hAnsi="Arial"/>
              <w:b w:val="0"/>
              <w:noProof/>
            </w:rPr>
            <w:tab/>
          </w:r>
          <w:r w:rsidRPr="002E4BF4">
            <w:rPr>
              <w:rFonts w:ascii="Arial" w:hAnsi="Arial"/>
              <w:b w:val="0"/>
              <w:noProof/>
            </w:rPr>
            <w:fldChar w:fldCharType="begin"/>
          </w:r>
          <w:r w:rsidRPr="002E4BF4">
            <w:rPr>
              <w:rFonts w:ascii="Arial" w:hAnsi="Arial"/>
              <w:b w:val="0"/>
              <w:noProof/>
            </w:rPr>
            <w:instrText xml:space="preserve"> PAGEREF _Toc280894780 \h </w:instrText>
          </w:r>
          <w:r w:rsidRPr="002E4BF4">
            <w:rPr>
              <w:rFonts w:ascii="Arial" w:hAnsi="Arial"/>
              <w:b w:val="0"/>
              <w:noProof/>
            </w:rPr>
          </w:r>
          <w:r w:rsidRPr="002E4BF4">
            <w:rPr>
              <w:rFonts w:ascii="Arial" w:hAnsi="Arial"/>
              <w:b w:val="0"/>
              <w:noProof/>
            </w:rPr>
            <w:fldChar w:fldCharType="separate"/>
          </w:r>
          <w:r w:rsidRPr="002E4BF4">
            <w:rPr>
              <w:rFonts w:ascii="Arial" w:hAnsi="Arial"/>
              <w:b w:val="0"/>
              <w:noProof/>
            </w:rPr>
            <w:t>3</w:t>
          </w:r>
          <w:r w:rsidRPr="002E4BF4">
            <w:rPr>
              <w:rFonts w:ascii="Arial" w:hAnsi="Arial"/>
              <w:b w:val="0"/>
              <w:noProof/>
            </w:rPr>
            <w:fldChar w:fldCharType="end"/>
          </w:r>
        </w:p>
        <w:p w14:paraId="4E0586BA" w14:textId="77777777" w:rsidR="002E4BF4" w:rsidRPr="002E4BF4" w:rsidRDefault="002E4BF4">
          <w:pPr>
            <w:pStyle w:val="TOC2"/>
            <w:tabs>
              <w:tab w:val="right" w:leader="dot" w:pos="8290"/>
            </w:tabs>
            <w:rPr>
              <w:rFonts w:ascii="Arial" w:hAnsi="Arial"/>
              <w:b w:val="0"/>
              <w:noProof/>
              <w:lang w:eastAsia="ja-JP"/>
            </w:rPr>
          </w:pPr>
          <w:r w:rsidRPr="002E4BF4">
            <w:rPr>
              <w:rFonts w:ascii="Arial" w:hAnsi="Arial"/>
              <w:b w:val="0"/>
              <w:noProof/>
            </w:rPr>
            <w:t>Collect the Damages and Benefits of Measures of different hazards</w:t>
          </w:r>
          <w:r w:rsidRPr="002E4BF4">
            <w:rPr>
              <w:rFonts w:ascii="Arial" w:hAnsi="Arial"/>
              <w:b w:val="0"/>
              <w:noProof/>
            </w:rPr>
            <w:tab/>
          </w:r>
          <w:r w:rsidRPr="002E4BF4">
            <w:rPr>
              <w:rFonts w:ascii="Arial" w:hAnsi="Arial"/>
              <w:b w:val="0"/>
              <w:noProof/>
            </w:rPr>
            <w:fldChar w:fldCharType="begin"/>
          </w:r>
          <w:r w:rsidRPr="002E4BF4">
            <w:rPr>
              <w:rFonts w:ascii="Arial" w:hAnsi="Arial"/>
              <w:b w:val="0"/>
              <w:noProof/>
            </w:rPr>
            <w:instrText xml:space="preserve"> PAGEREF _Toc280894781 \h </w:instrText>
          </w:r>
          <w:r w:rsidRPr="002E4BF4">
            <w:rPr>
              <w:rFonts w:ascii="Arial" w:hAnsi="Arial"/>
              <w:b w:val="0"/>
              <w:noProof/>
            </w:rPr>
          </w:r>
          <w:r w:rsidRPr="002E4BF4">
            <w:rPr>
              <w:rFonts w:ascii="Arial" w:hAnsi="Arial"/>
              <w:b w:val="0"/>
              <w:noProof/>
            </w:rPr>
            <w:fldChar w:fldCharType="separate"/>
          </w:r>
          <w:r w:rsidRPr="002E4BF4">
            <w:rPr>
              <w:rFonts w:ascii="Arial" w:hAnsi="Arial"/>
              <w:b w:val="0"/>
              <w:noProof/>
            </w:rPr>
            <w:t>7</w:t>
          </w:r>
          <w:r w:rsidRPr="002E4BF4">
            <w:rPr>
              <w:rFonts w:ascii="Arial" w:hAnsi="Arial"/>
              <w:b w:val="0"/>
              <w:noProof/>
            </w:rPr>
            <w:fldChar w:fldCharType="end"/>
          </w:r>
        </w:p>
        <w:p w14:paraId="622DBA49" w14:textId="00A2BA19" w:rsidR="002E4BF4" w:rsidRDefault="002E4BF4">
          <w:r w:rsidRPr="002E4BF4">
            <w:rPr>
              <w:bCs/>
              <w:noProof/>
            </w:rPr>
            <w:fldChar w:fldCharType="end"/>
          </w:r>
        </w:p>
      </w:sdtContent>
    </w:sdt>
    <w:p w14:paraId="7224B06B" w14:textId="77777777" w:rsidR="003A482F" w:rsidRDefault="003A482F" w:rsidP="003A482F"/>
    <w:p w14:paraId="23E755BF" w14:textId="77777777" w:rsidR="00DB346D" w:rsidRDefault="00DB346D">
      <w:pPr>
        <w:rPr>
          <w:rFonts w:eastAsiaTheme="majorEastAsia"/>
          <w:b/>
          <w:bCs/>
          <w:sz w:val="26"/>
          <w:szCs w:val="26"/>
        </w:rPr>
      </w:pPr>
      <w:bookmarkStart w:id="1" w:name="_Toc299451414"/>
      <w:bookmarkStart w:id="2" w:name="_Toc299451489"/>
      <w:bookmarkStart w:id="3" w:name="_Toc339438732"/>
      <w:bookmarkStart w:id="4" w:name="_Toc249783537"/>
      <w:bookmarkStart w:id="5" w:name="_Toc280894779"/>
      <w:r>
        <w:br w:type="page"/>
      </w:r>
    </w:p>
    <w:p w14:paraId="47403034" w14:textId="67AE4704" w:rsidR="003A482F" w:rsidRPr="003A482F" w:rsidRDefault="003A482F" w:rsidP="003A482F">
      <w:pPr>
        <w:pStyle w:val="Heading2"/>
      </w:pPr>
      <w:r w:rsidRPr="003A482F">
        <w:t>Theoretical Background</w:t>
      </w:r>
      <w:bookmarkEnd w:id="1"/>
      <w:bookmarkEnd w:id="2"/>
      <w:bookmarkEnd w:id="3"/>
      <w:bookmarkEnd w:id="4"/>
      <w:bookmarkEnd w:id="5"/>
    </w:p>
    <w:p w14:paraId="048611A9" w14:textId="77777777" w:rsidR="003A482F" w:rsidRPr="00216386" w:rsidRDefault="003A482F" w:rsidP="003A482F"/>
    <w:p w14:paraId="266040E9" w14:textId="77777777" w:rsidR="003A482F" w:rsidRPr="00216386" w:rsidRDefault="003A482F" w:rsidP="003A482F">
      <w:r w:rsidRPr="00216386">
        <w:t>Main source: Tuleya et at., 2006: Evaluation of GFDL and Simple Statistical Model Rainfall Forecasts for U.S. Landfalling Tropical Storms.</w:t>
      </w:r>
    </w:p>
    <w:p w14:paraId="55A6ED2E" w14:textId="77777777" w:rsidR="003A482F" w:rsidRPr="00216386" w:rsidRDefault="003A482F" w:rsidP="003A482F"/>
    <w:p w14:paraId="7FE5E2EF" w14:textId="77777777" w:rsidR="003A482F" w:rsidRPr="00216386" w:rsidRDefault="003A482F" w:rsidP="003A482F">
      <w:r w:rsidRPr="00216386">
        <w:t>The symmetric rainfall field can be computed after Tuleya et al., 2006 who developed a simple rainfall climatology and persistence model (R-CLIPER). Rainfall rates are calculated as a function of storm intensity and radius. The accumulated rainfall rate along the storm track can then be derived by integrating the rainfall rate along the storm track, give the intensity.</w:t>
      </w:r>
    </w:p>
    <w:p w14:paraId="313FFA3D" w14:textId="77777777" w:rsidR="003A482F" w:rsidRPr="00216386" w:rsidRDefault="003A482F" w:rsidP="003A482F"/>
    <w:p w14:paraId="7E6FC31C" w14:textId="77777777" w:rsidR="003A482F" w:rsidRPr="00E26725" w:rsidRDefault="003A482F" w:rsidP="003A482F">
      <w:r w:rsidRPr="00E26725">
        <w:t>R-CLIPER:</w:t>
      </w:r>
    </w:p>
    <w:p w14:paraId="209CF7EB" w14:textId="77777777" w:rsidR="003A482F" w:rsidRPr="00E26725" w:rsidRDefault="003A482F" w:rsidP="003A482F"/>
    <w:p w14:paraId="40DFB7D4" w14:textId="77777777" w:rsidR="003A482F" w:rsidRPr="00E26725" w:rsidRDefault="003A482F" w:rsidP="003A482F">
      <w:r w:rsidRPr="00E26725">
        <w:rPr>
          <w:noProof/>
        </w:rPr>
        <w:drawing>
          <wp:inline distT="0" distB="0" distL="0" distR="0" wp14:anchorId="0248B17A" wp14:editId="39CD3B4F">
            <wp:extent cx="3196590" cy="1709420"/>
            <wp:effectExtent l="19050" t="0" r="381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90" cy="170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9C2877" w14:textId="77777777" w:rsidR="003A482F" w:rsidRPr="00E26725" w:rsidRDefault="003A482F" w:rsidP="003A482F">
      <w:r w:rsidRPr="00E26725">
        <w:rPr>
          <w:noProof/>
        </w:rPr>
        <w:lastRenderedPageBreak/>
        <w:drawing>
          <wp:inline distT="0" distB="0" distL="0" distR="0" wp14:anchorId="11692311" wp14:editId="0972F3BC">
            <wp:extent cx="3251835" cy="2767330"/>
            <wp:effectExtent l="19050" t="0" r="5715" b="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835" cy="2767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C93F03" w14:textId="77777777" w:rsidR="003A482F" w:rsidRPr="00E26725" w:rsidRDefault="003A482F" w:rsidP="003A482F">
      <w:r w:rsidRPr="00E26725">
        <w:rPr>
          <w:noProof/>
        </w:rPr>
        <w:drawing>
          <wp:inline distT="0" distB="0" distL="0" distR="0" wp14:anchorId="19FD1B63" wp14:editId="1E105F43">
            <wp:extent cx="3172460" cy="1558290"/>
            <wp:effectExtent l="19050" t="0" r="889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155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833181" w14:textId="77777777" w:rsidR="003A482F" w:rsidRPr="00E26725" w:rsidRDefault="003A482F" w:rsidP="003A482F"/>
    <w:p w14:paraId="490EEC6B" w14:textId="77777777" w:rsidR="003A482F" w:rsidRPr="00E26725" w:rsidRDefault="003A482F" w:rsidP="003A482F">
      <w:r w:rsidRPr="00E2672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234CF3" wp14:editId="664C0EA5">
                <wp:simplePos x="0" y="0"/>
                <wp:positionH relativeFrom="column">
                  <wp:posOffset>85354</wp:posOffset>
                </wp:positionH>
                <wp:positionV relativeFrom="paragraph">
                  <wp:posOffset>1412240</wp:posOffset>
                </wp:positionV>
                <wp:extent cx="3111500" cy="539115"/>
                <wp:effectExtent l="0" t="0" r="0" b="0"/>
                <wp:wrapNone/>
                <wp:docPr id="62" name="AutoShap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11500" cy="53911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91" o:spid="_x0000_s1026" style="position:absolute;margin-left:6.7pt;margin-top:111.2pt;width:245pt;height:42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" fillcolor="#ffc000" stroked="f">
                <v:fill opacity="32896f"/>
              </v:roundrect>
            </w:pict>
          </mc:Fallback>
        </mc:AlternateContent>
      </w:r>
      <w:r w:rsidRPr="00E26725">
        <w:rPr>
          <w:noProof/>
        </w:rPr>
        <w:drawing>
          <wp:inline distT="0" distB="0" distL="0" distR="0" wp14:anchorId="0EDAC043" wp14:editId="790E8887">
            <wp:extent cx="3251835" cy="2067560"/>
            <wp:effectExtent l="19050" t="0" r="5715" b="0"/>
            <wp:docPr id="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835" cy="206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909472" w14:textId="77777777" w:rsidR="003A482F" w:rsidRPr="00E26725" w:rsidRDefault="003A482F" w:rsidP="003A482F"/>
    <w:p w14:paraId="319BAF82" w14:textId="77777777" w:rsidR="003A482F" w:rsidRPr="00E26725" w:rsidRDefault="003A482F" w:rsidP="003A482F"/>
    <w:p w14:paraId="3CA8DCC0" w14:textId="77777777" w:rsidR="003A482F" w:rsidRPr="00E26725" w:rsidRDefault="003A482F" w:rsidP="003A482F">
      <w:r w:rsidRPr="00E2672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989A1B" wp14:editId="225CC96A">
                <wp:simplePos x="0" y="0"/>
                <wp:positionH relativeFrom="column">
                  <wp:posOffset>1377315</wp:posOffset>
                </wp:positionH>
                <wp:positionV relativeFrom="paragraph">
                  <wp:posOffset>2192020</wp:posOffset>
                </wp:positionV>
                <wp:extent cx="635" cy="1023620"/>
                <wp:effectExtent l="5715" t="10795" r="12700" b="13335"/>
                <wp:wrapNone/>
                <wp:docPr id="61" name="AutoShap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023620"/>
                        </a:xfrm>
                        <a:prstGeom prst="straightConnector1">
                          <a:avLst/>
                        </a:prstGeom>
                        <a:noFill/>
                        <a:ln w="9525" cap="rnd">
                          <a:solidFill>
                            <a:srgbClr val="00A249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AutoShape 90" o:spid="_x0000_s1026" type="#_x0000_t32" style="position:absolute;margin-left:108.45pt;margin-top:172.6pt;width:.05pt;height:80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" strokecolor="#00a249">
                <v:stroke dashstyle="1 1" endcap="round"/>
              </v:shape>
            </w:pict>
          </mc:Fallback>
        </mc:AlternateContent>
      </w:r>
      <w:r w:rsidRPr="00E26725">
        <w:rPr>
          <w:noProof/>
        </w:rPr>
        <w:drawing>
          <wp:inline distT="0" distB="0" distL="0" distR="0" wp14:anchorId="5CA7A58C" wp14:editId="7403D564">
            <wp:extent cx="5271770" cy="3649345"/>
            <wp:effectExtent l="0" t="0" r="11430" b="8255"/>
            <wp:docPr id="32" name="Chart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35299960" w14:textId="77777777" w:rsidR="003A482F" w:rsidRPr="003A482F" w:rsidRDefault="003A482F" w:rsidP="003A482F">
      <w:pPr>
        <w:pStyle w:val="Caption"/>
      </w:pPr>
      <w:r w:rsidRPr="003A482F">
        <w:t>Figure: R-CLIPER radial rainfall rates profiles based on the Saffir-Simpson Hurricane wind speeds. Rainfall rates increase linearly between r = 0 and r = rm, which is the maximum rainfall rate, and decay exponentially with r&gt;rm.</w:t>
      </w:r>
    </w:p>
    <w:p w14:paraId="17EDD9BC" w14:textId="77777777" w:rsidR="003A482F" w:rsidRPr="00E26725" w:rsidRDefault="003A482F" w:rsidP="003A482F"/>
    <w:p w14:paraId="3E077FD5" w14:textId="77777777" w:rsidR="003A482F" w:rsidRDefault="003A482F" w:rsidP="003A482F">
      <w:r w:rsidRPr="00216386">
        <w:t>More variables that influence the distribution and amount of precipitation:</w:t>
      </w:r>
    </w:p>
    <w:p w14:paraId="3DAFA018" w14:textId="77777777" w:rsidR="003A482F" w:rsidRDefault="003A482F" w:rsidP="003A482F">
      <w:pPr>
        <w:pStyle w:val="ListParagraph"/>
        <w:numPr>
          <w:ilvl w:val="0"/>
          <w:numId w:val="4"/>
        </w:numPr>
      </w:pPr>
      <w:r w:rsidRPr="00216386">
        <w:t xml:space="preserve">Forward Speed </w:t>
      </w:r>
    </w:p>
    <w:p w14:paraId="65868099" w14:textId="77777777" w:rsidR="003A482F" w:rsidRDefault="003A482F" w:rsidP="003A482F">
      <w:pPr>
        <w:pStyle w:val="ListParagraph"/>
        <w:numPr>
          <w:ilvl w:val="0"/>
          <w:numId w:val="4"/>
        </w:numPr>
      </w:pPr>
      <w:r w:rsidRPr="00216386">
        <w:t>Curvature</w:t>
      </w:r>
    </w:p>
    <w:p w14:paraId="12DBB4EE" w14:textId="3AD217D0" w:rsidR="003A482F" w:rsidRPr="003A482F" w:rsidRDefault="003A482F" w:rsidP="003A482F">
      <w:pPr>
        <w:pStyle w:val="ListParagraph"/>
        <w:numPr>
          <w:ilvl w:val="0"/>
          <w:numId w:val="4"/>
        </w:numPr>
      </w:pPr>
      <w:r w:rsidRPr="003A482F">
        <w:rPr>
          <w:bCs/>
        </w:rPr>
        <w:t>Vertical Wind Shear:</w:t>
      </w:r>
      <w:r>
        <w:rPr>
          <w:bCs/>
        </w:rPr>
        <w:t xml:space="preserve"> </w:t>
      </w:r>
      <w:r w:rsidRPr="00216386">
        <w:t>Precipitation Pattern Asymmetries</w:t>
      </w:r>
    </w:p>
    <w:p w14:paraId="016F68B5" w14:textId="5AD50FF5" w:rsidR="003A482F" w:rsidRDefault="003A482F" w:rsidP="003A482F">
      <w:pPr>
        <w:pStyle w:val="ListParagraph"/>
        <w:numPr>
          <w:ilvl w:val="0"/>
          <w:numId w:val="4"/>
        </w:numPr>
      </w:pPr>
      <w:r w:rsidRPr="003A482F">
        <w:rPr>
          <w:bCs/>
        </w:rPr>
        <w:t>Topography:</w:t>
      </w:r>
      <w:r>
        <w:rPr>
          <w:bCs/>
        </w:rPr>
        <w:t xml:space="preserve"> </w:t>
      </w:r>
      <w:r w:rsidRPr="00216386">
        <w:t>Orographic Enhancement on windward hillside</w:t>
      </w:r>
    </w:p>
    <w:p w14:paraId="3E372131" w14:textId="2A109FF4" w:rsidR="003A482F" w:rsidRPr="00E26725" w:rsidRDefault="003A482F" w:rsidP="003A482F">
      <w:pPr>
        <w:pStyle w:val="ListParagraph"/>
        <w:numPr>
          <w:ilvl w:val="0"/>
          <w:numId w:val="4"/>
        </w:numPr>
      </w:pPr>
      <w:r w:rsidRPr="00216386">
        <w:t xml:space="preserve">Interaction with Frontal Boundaries/Upper Level Troughs </w:t>
      </w:r>
    </w:p>
    <w:p w14:paraId="64011CF4" w14:textId="77777777" w:rsidR="003A482F" w:rsidRPr="00216386" w:rsidRDefault="003A482F" w:rsidP="003A482F">
      <w:pPr>
        <w:pStyle w:val="Heading2"/>
      </w:pPr>
      <w:bookmarkStart w:id="6" w:name="_Toc299451415"/>
      <w:bookmarkStart w:id="7" w:name="_Toc299451490"/>
      <w:bookmarkStart w:id="8" w:name="_Toc339438733"/>
      <w:bookmarkStart w:id="9" w:name="_Toc249783538"/>
      <w:bookmarkStart w:id="10" w:name="_Toc280894780"/>
      <w:r w:rsidRPr="00216386">
        <w:t>Generate the Rain Sum Footprint</w:t>
      </w:r>
      <w:bookmarkEnd w:id="6"/>
      <w:bookmarkEnd w:id="7"/>
      <w:bookmarkEnd w:id="8"/>
      <w:bookmarkEnd w:id="9"/>
      <w:bookmarkEnd w:id="10"/>
    </w:p>
    <w:p w14:paraId="19C0B9C6" w14:textId="77777777" w:rsidR="003A482F" w:rsidRPr="00216386" w:rsidRDefault="003A482F" w:rsidP="003A482F"/>
    <w:p w14:paraId="11A3A172" w14:textId="77777777" w:rsidR="003A482F" w:rsidRPr="00E26725" w:rsidRDefault="003A482F" w:rsidP="003A482F">
      <w:r w:rsidRPr="00E26725">
        <w:t xml:space="preserve">Generate rain sum field resulting from single track of tropical cyclone. The function computes rain rates for every hour and accumulates rain fall for every storm, based on R-CLIPER (symmetric rain field). Results saved in </w:t>
      </w:r>
      <w:r w:rsidRPr="00216386">
        <w:rPr>
          <w:rFonts w:ascii="Courier" w:hAnsi="Courier"/>
        </w:rPr>
        <w:t>res.rainsum</w:t>
      </w:r>
      <w:r w:rsidRPr="00E26725">
        <w:t xml:space="preserve"> as total rain fall in mm per storm.</w:t>
      </w:r>
    </w:p>
    <w:p w14:paraId="4D7554F3" w14:textId="77777777" w:rsidR="003A482F" w:rsidRPr="00E26725" w:rsidRDefault="003A482F" w:rsidP="003A482F"/>
    <w:p w14:paraId="2948D382" w14:textId="77777777" w:rsidR="003A482F" w:rsidRDefault="003A482F" w:rsidP="003A482F">
      <w:r w:rsidRPr="00E26725">
        <w:t>Equal time steps of one hour (interpolation of longitude, latitude, maximum sustained wind speed, minimum pressure).</w:t>
      </w:r>
    </w:p>
    <w:p w14:paraId="69E6E4E9" w14:textId="77777777" w:rsidR="003A482F" w:rsidRDefault="003A482F" w:rsidP="003A482F"/>
    <w:p w14:paraId="59E8B1CF" w14:textId="77777777" w:rsidR="003A482F" w:rsidRPr="003A482F" w:rsidRDefault="003A482F" w:rsidP="003A482F">
      <w:pPr>
        <w:ind w:left="720" w:hanging="720"/>
        <w:rPr>
          <w:rFonts w:ascii="Courier" w:hAnsi="Courier"/>
        </w:rPr>
      </w:pPr>
      <w:r w:rsidRPr="003A482F">
        <w:rPr>
          <w:rFonts w:ascii="Courier" w:hAnsi="Courier"/>
        </w:rPr>
        <w:t>[res,tc_track,centroids] = climada_tc_rainfield(tc_track,...</w:t>
      </w:r>
      <w:r w:rsidRPr="003A482F">
        <w:rPr>
          <w:rFonts w:ascii="Courier" w:hAnsi="Courier"/>
        </w:rPr>
        <w:br/>
        <w:t>centroids,equal_timestep,silent_mode,check_plot)</w:t>
      </w:r>
    </w:p>
    <w:p w14:paraId="4EFA3302" w14:textId="77777777" w:rsidR="003A482F" w:rsidRDefault="003A482F" w:rsidP="003A482F"/>
    <w:p w14:paraId="6F83A146" w14:textId="77777777" w:rsidR="003A482F" w:rsidRDefault="003A482F" w:rsidP="003A482F">
      <w:r>
        <w:t xml:space="preserve">Analog to </w:t>
      </w:r>
      <w:r w:rsidRPr="00216386">
        <w:t>climada_tc_windfield</w:t>
      </w:r>
      <w:r>
        <w:t xml:space="preserve">, the rain field code makes use of </w:t>
      </w:r>
      <w:r w:rsidRPr="00216386">
        <w:t xml:space="preserve">climada_nonspheric_distance_m </w:t>
      </w:r>
      <w:r>
        <w:t xml:space="preserve">and </w:t>
      </w:r>
      <w:r w:rsidRPr="00216386">
        <w:t>climada_RCLIPER</w:t>
      </w:r>
    </w:p>
    <w:p w14:paraId="27CEFA8F" w14:textId="77777777" w:rsidR="003A482F" w:rsidRDefault="003A482F" w:rsidP="003A482F"/>
    <w:p w14:paraId="4A6F0ACD" w14:textId="77777777" w:rsidR="003A482F" w:rsidRPr="00E26725" w:rsidRDefault="003A482F" w:rsidP="003A482F">
      <w:r w:rsidRPr="00E26725">
        <w:rPr>
          <w:noProof/>
        </w:rPr>
        <w:lastRenderedPageBreak/>
        <w:drawing>
          <wp:inline distT="0" distB="0" distL="0" distR="0" wp14:anchorId="1DA59B52" wp14:editId="5C905EDB">
            <wp:extent cx="4866005" cy="4052236"/>
            <wp:effectExtent l="0" t="0" r="0" b="1206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/>
                    <a:srcRect b="7849"/>
                    <a:stretch/>
                  </pic:blipFill>
                  <pic:spPr bwMode="auto">
                    <a:xfrm>
                      <a:off x="0" y="0"/>
                      <a:ext cx="4866005" cy="4052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E45EC" w14:textId="77777777" w:rsidR="003A482F" w:rsidRPr="00E26725" w:rsidRDefault="003A482F" w:rsidP="003A482F">
      <w:pPr>
        <w:pStyle w:val="Caption"/>
      </w:pPr>
      <w:r>
        <w:t>Figure</w:t>
      </w:r>
      <w:r w:rsidRPr="00E26725">
        <w:t>: Rainfall sum footprint.</w:t>
      </w:r>
    </w:p>
    <w:p w14:paraId="55CD3457" w14:textId="77777777" w:rsidR="003A482F" w:rsidRPr="00E26725" w:rsidRDefault="003A482F" w:rsidP="003A482F"/>
    <w:p w14:paraId="3C5DE3FE" w14:textId="77777777" w:rsidR="003A482F" w:rsidRDefault="003A482F" w:rsidP="003A482F">
      <w:bookmarkStart w:id="11" w:name="_Toc299451416"/>
      <w:bookmarkStart w:id="12" w:name="_Toc299451491"/>
      <w:bookmarkStart w:id="13" w:name="_Toc339438734"/>
      <w:bookmarkStart w:id="14" w:name="_Toc249783539"/>
      <w:r w:rsidRPr="00E26725">
        <w:t>Calculate Rain Rate for Each Node of Specific Tc Track Based on Symmetric Rain Field R-CLIPER</w:t>
      </w:r>
      <w:bookmarkEnd w:id="11"/>
      <w:bookmarkEnd w:id="12"/>
      <w:bookmarkEnd w:id="13"/>
      <w:bookmarkEnd w:id="14"/>
    </w:p>
    <w:p w14:paraId="790060CF" w14:textId="77777777" w:rsidR="003A482F" w:rsidRDefault="003A482F" w:rsidP="003A482F"/>
    <w:p w14:paraId="1E8EE7BA" w14:textId="77777777" w:rsidR="003A482F" w:rsidRPr="003A482F" w:rsidRDefault="003A482F" w:rsidP="003A482F">
      <w:pPr>
        <w:rPr>
          <w:rFonts w:ascii="Courier" w:hAnsi="Courier"/>
        </w:rPr>
      </w:pPr>
      <w:r w:rsidRPr="003A482F">
        <w:rPr>
          <w:rFonts w:ascii="Courier" w:hAnsi="Courier"/>
        </w:rPr>
        <w:t>rainrate = climada_RCLIPER (fmaxwind_kn,inreach,Radius_km)</w:t>
      </w:r>
    </w:p>
    <w:p w14:paraId="6B5C8E3A" w14:textId="77777777" w:rsidR="003A482F" w:rsidRPr="00E26725" w:rsidRDefault="003A482F" w:rsidP="003A482F"/>
    <w:p w14:paraId="58C94818" w14:textId="77777777" w:rsidR="003A482F" w:rsidRPr="00E26725" w:rsidRDefault="003A482F" w:rsidP="003A482F">
      <w:r w:rsidRPr="00E26725">
        <w:t>Given the windspeed (kn) at a specific node calculate the rain rate at all centroids according t</w:t>
      </w:r>
      <w:r>
        <w:t>o RCLIPER (symmetric rainfield).</w:t>
      </w:r>
    </w:p>
    <w:p w14:paraId="3CDFB8D4" w14:textId="77777777" w:rsidR="003A482F" w:rsidRDefault="003A482F" w:rsidP="003A482F">
      <w:pPr>
        <w:rPr>
          <w:noProof/>
        </w:rPr>
      </w:pPr>
      <w:r w:rsidRPr="00E26725">
        <w:rPr>
          <w:noProof/>
        </w:rPr>
        <w:drawing>
          <wp:inline distT="0" distB="0" distL="0" distR="0" wp14:anchorId="589BD976" wp14:editId="6DF25A1B">
            <wp:extent cx="3196590" cy="1709420"/>
            <wp:effectExtent l="19050" t="0" r="3810" b="0"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90" cy="170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C27D5F" w14:textId="77777777" w:rsidR="003A482F" w:rsidRPr="003A482F" w:rsidRDefault="003A482F" w:rsidP="003A482F">
      <w:pPr>
        <w:rPr>
          <w:sz w:val="18"/>
          <w:szCs w:val="18"/>
        </w:rPr>
      </w:pPr>
      <w:r w:rsidRPr="003A482F">
        <w:rPr>
          <w:color w:val="000000"/>
          <w:sz w:val="18"/>
          <w:szCs w:val="18"/>
        </w:rPr>
        <w:t>from: R-CLIPER (</w:t>
      </w:r>
      <w:r w:rsidRPr="003A482F">
        <w:rPr>
          <w:sz w:val="18"/>
          <w:szCs w:val="18"/>
        </w:rPr>
        <w:t>Tuleya et at., 2006: Evaluation of GFDL and Simple Statistical Model Rainfall Forecasts for U.S. Landfalling Tropical Storms).</w:t>
      </w:r>
    </w:p>
    <w:p w14:paraId="595095FA" w14:textId="77777777" w:rsidR="003A482F" w:rsidRDefault="003A482F" w:rsidP="003A482F">
      <w:bookmarkStart w:id="15" w:name="_Toc299451417"/>
      <w:bookmarkStart w:id="16" w:name="_Toc299451492"/>
      <w:bookmarkStart w:id="17" w:name="_Toc339438735"/>
      <w:bookmarkStart w:id="18" w:name="_Toc249783540"/>
    </w:p>
    <w:p w14:paraId="03968A64" w14:textId="77777777" w:rsidR="003A482F" w:rsidRPr="00E26725" w:rsidRDefault="003A482F" w:rsidP="003A482F">
      <w:r w:rsidRPr="00216386">
        <w:rPr>
          <w:rFonts w:ascii="Courier" w:hAnsi="Courier"/>
        </w:rPr>
        <w:t>climada_tc_rainrate_field_animation</w:t>
      </w:r>
      <w:r>
        <w:t xml:space="preserve">: </w:t>
      </w:r>
      <w:r w:rsidRPr="00E26725">
        <w:t>Calculate the Rain Rate Fields for a Single Track and Display as Animation</w:t>
      </w:r>
      <w:bookmarkEnd w:id="15"/>
      <w:bookmarkEnd w:id="16"/>
      <w:bookmarkEnd w:id="17"/>
      <w:bookmarkEnd w:id="18"/>
    </w:p>
    <w:p w14:paraId="4147C764" w14:textId="77777777" w:rsidR="003A482F" w:rsidRPr="003A482F" w:rsidRDefault="003A482F" w:rsidP="003A482F">
      <w:pPr>
        <w:pStyle w:val="Caption"/>
      </w:pPr>
      <w:r w:rsidRPr="00E26725">
        <w:rPr>
          <w:noProof/>
        </w:rPr>
        <w:lastRenderedPageBreak/>
        <w:drawing>
          <wp:inline distT="0" distB="0" distL="0" distR="0" wp14:anchorId="0577C0A3" wp14:editId="5E25E662">
            <wp:extent cx="5104765" cy="3657600"/>
            <wp:effectExtent l="1905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19" w:name="_Ref295115991"/>
      <w:r w:rsidRPr="003A482F">
        <w:t>Figure</w:t>
      </w:r>
      <w:bookmarkEnd w:id="19"/>
      <w:r w:rsidRPr="003A482F">
        <w:t xml:space="preserve">: Rain rate field for the highest probabilistic storm, see </w:t>
      </w:r>
      <w:r w:rsidRPr="003A482F">
        <w:rPr>
          <w:rFonts w:ascii="Courier" w:eastAsia="Calibri" w:hAnsi="Courier"/>
          <w:i/>
        </w:rPr>
        <w:t>climada_tc_rainrate_field_animation</w:t>
      </w:r>
    </w:p>
    <w:p w14:paraId="79B90F7B" w14:textId="77777777" w:rsidR="003A482F" w:rsidRDefault="003A482F" w:rsidP="003A482F">
      <w:bookmarkStart w:id="20" w:name="_Toc299451418"/>
      <w:bookmarkStart w:id="21" w:name="_Toc299451493"/>
      <w:bookmarkStart w:id="22" w:name="_Toc339438736"/>
      <w:bookmarkStart w:id="23" w:name="_Toc249783541"/>
    </w:p>
    <w:p w14:paraId="4B93DED0" w14:textId="77777777" w:rsidR="003A482F" w:rsidRPr="00E26725" w:rsidRDefault="003A482F" w:rsidP="003A482F">
      <w:r w:rsidRPr="00216386">
        <w:rPr>
          <w:rFonts w:ascii="Courier" w:hAnsi="Courier"/>
        </w:rPr>
        <w:t>climada_tc_rainsum_field_animation</w:t>
      </w:r>
      <w:r>
        <w:t xml:space="preserve">: </w:t>
      </w:r>
      <w:r w:rsidRPr="00E26725">
        <w:t>Calculate the rain sum fields for a single track and display as animation</w:t>
      </w:r>
      <w:bookmarkEnd w:id="20"/>
      <w:bookmarkEnd w:id="21"/>
      <w:bookmarkEnd w:id="22"/>
      <w:bookmarkEnd w:id="23"/>
    </w:p>
    <w:p w14:paraId="02D7B898" w14:textId="77777777" w:rsidR="003A482F" w:rsidRPr="00E26725" w:rsidRDefault="003A482F" w:rsidP="003A482F">
      <w:r w:rsidRPr="00E26725">
        <w:rPr>
          <w:noProof/>
        </w:rPr>
        <w:drawing>
          <wp:inline distT="0" distB="0" distL="0" distR="0" wp14:anchorId="6F042E24" wp14:editId="0E6B148A">
            <wp:extent cx="5215890" cy="3641725"/>
            <wp:effectExtent l="1905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364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D14955" w14:textId="77777777" w:rsidR="003A482F" w:rsidRPr="00216386" w:rsidRDefault="003A482F" w:rsidP="003A482F">
      <w:pPr>
        <w:pStyle w:val="Caption"/>
      </w:pPr>
      <w:r>
        <w:t>Figure</w:t>
      </w:r>
      <w:r w:rsidRPr="00216386">
        <w:t>: Rainfall sum field, see climada_tc_rainsum_field_animation</w:t>
      </w:r>
    </w:p>
    <w:p w14:paraId="7FF6F880" w14:textId="77777777" w:rsidR="003A482F" w:rsidRDefault="003A482F" w:rsidP="003A482F">
      <w:bookmarkStart w:id="24" w:name="_Toc299096751"/>
      <w:bookmarkStart w:id="25" w:name="_Toc299451419"/>
      <w:bookmarkStart w:id="26" w:name="_Toc299451494"/>
      <w:bookmarkStart w:id="27" w:name="_Toc339438737"/>
      <w:bookmarkStart w:id="28" w:name="_Toc249783542"/>
    </w:p>
    <w:p w14:paraId="40A8474D" w14:textId="77777777" w:rsidR="003A482F" w:rsidRDefault="003A482F" w:rsidP="003A482F">
      <w:r w:rsidRPr="003A482F">
        <w:rPr>
          <w:rFonts w:ascii="Courier" w:hAnsi="Courier"/>
        </w:rPr>
        <w:t>climada_tc_hazard_rain</w:t>
      </w:r>
      <w:r>
        <w:t xml:space="preserve">: </w:t>
      </w:r>
      <w:r w:rsidRPr="00E26725">
        <w:t>Generate the Rain Hazard Set</w:t>
      </w:r>
      <w:bookmarkEnd w:id="24"/>
      <w:r w:rsidRPr="00E26725">
        <w:t xml:space="preserve"> (i.e. All Rain Sum Footprints)</w:t>
      </w:r>
      <w:bookmarkEnd w:id="25"/>
      <w:bookmarkEnd w:id="26"/>
      <w:bookmarkEnd w:id="27"/>
      <w:bookmarkEnd w:id="28"/>
      <w:r>
        <w:t xml:space="preserve">. It needs </w:t>
      </w:r>
      <w:r w:rsidRPr="003A482F">
        <w:rPr>
          <w:rFonts w:ascii="Courier" w:hAnsi="Courier"/>
        </w:rPr>
        <w:t>climada_tc_rainfield</w:t>
      </w:r>
      <w:r>
        <w:t xml:space="preserve">, </w:t>
      </w:r>
      <w:r w:rsidRPr="003A482F">
        <w:rPr>
          <w:rFonts w:ascii="Courier" w:hAnsi="Courier"/>
        </w:rPr>
        <w:t>climada_nonspheric_distance_m</w:t>
      </w:r>
      <w:r>
        <w:t xml:space="preserve"> and </w:t>
      </w:r>
      <w:r w:rsidRPr="003A482F">
        <w:rPr>
          <w:rFonts w:ascii="Courier" w:hAnsi="Courier"/>
        </w:rPr>
        <w:t>climada_RCLIPER</w:t>
      </w:r>
      <w:r>
        <w:t>.</w:t>
      </w:r>
    </w:p>
    <w:p w14:paraId="12C4381B" w14:textId="77777777" w:rsidR="003A482F" w:rsidRDefault="003A482F" w:rsidP="003A482F"/>
    <w:p w14:paraId="0CA92334" w14:textId="77777777" w:rsidR="003A482F" w:rsidRPr="00E26725" w:rsidRDefault="003A482F" w:rsidP="003A482F">
      <w:bookmarkStart w:id="29" w:name="_Toc339438738"/>
      <w:bookmarkStart w:id="30" w:name="_Toc249783543"/>
      <w:r w:rsidRPr="00E26725">
        <w:t>Analyze Statistics; Plot Rain Sum for Specific Return Periods at all Centroids for Historical Data Set, Probabilistic Data Set or Climate Change Scenario</w:t>
      </w:r>
      <w:bookmarkEnd w:id="29"/>
      <w:bookmarkEnd w:id="30"/>
    </w:p>
    <w:p w14:paraId="4FB828A1" w14:textId="77777777" w:rsidR="003A482F" w:rsidRPr="00E26725" w:rsidRDefault="003A482F" w:rsidP="003A482F"/>
    <w:p w14:paraId="66FB7ECE" w14:textId="77777777" w:rsidR="003A482F" w:rsidRPr="00E26725" w:rsidRDefault="003A482F" w:rsidP="003A482F">
      <w:r w:rsidRPr="00216386">
        <w:rPr>
          <w:rFonts w:ascii="Courier" w:hAnsi="Courier"/>
        </w:rPr>
        <w:t>climada_hazard_stats</w:t>
      </w:r>
      <w:r>
        <w:t xml:space="preserve">: </w:t>
      </w:r>
      <w:r w:rsidRPr="00E26725">
        <w:t>Plot rain sum based historical, probabilistic or climate change data, for requested return periods at all centroids.</w:t>
      </w:r>
    </w:p>
    <w:p w14:paraId="593C8844" w14:textId="77777777" w:rsidR="003A482F" w:rsidRPr="00E26725" w:rsidRDefault="003A482F" w:rsidP="003A482F"/>
    <w:p w14:paraId="024473F8" w14:textId="77777777" w:rsidR="003A482F" w:rsidRDefault="003A482F" w:rsidP="003A482F">
      <w:pPr>
        <w:pStyle w:val="Caption"/>
      </w:pPr>
      <w:r w:rsidRPr="00E26725">
        <w:rPr>
          <w:noProof/>
        </w:rPr>
        <w:drawing>
          <wp:inline distT="0" distB="0" distL="0" distR="0" wp14:anchorId="3CFFB68B" wp14:editId="390AC61E">
            <wp:extent cx="5310505" cy="3566595"/>
            <wp:effectExtent l="0" t="0" r="0" b="0"/>
            <wp:docPr id="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05" cy="356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16386">
        <w:t xml:space="preserve">Figure: Rain sum maps for specific return periods, see </w:t>
      </w:r>
      <w:r w:rsidRPr="00216386">
        <w:rPr>
          <w:rFonts w:ascii="Courier" w:hAnsi="Courier"/>
        </w:rPr>
        <w:t>climada_hazard_stats</w:t>
      </w:r>
    </w:p>
    <w:p w14:paraId="1721ADB7" w14:textId="77777777" w:rsidR="003A482F" w:rsidRDefault="003A482F" w:rsidP="003A482F"/>
    <w:p w14:paraId="0211F6F1" w14:textId="77777777" w:rsidR="003A482F" w:rsidRDefault="003A482F" w:rsidP="003A482F">
      <w:r>
        <w:t>Plot Waterfall Figure for Today’s Damage and Future’s Damage Including Economic Growth and Climate Change Separately for one or two hazards</w:t>
      </w:r>
    </w:p>
    <w:p w14:paraId="063B1B2D" w14:textId="77777777" w:rsidR="003A482F" w:rsidRDefault="003A482F" w:rsidP="003A482F"/>
    <w:p w14:paraId="248E337E" w14:textId="77777777" w:rsidR="003A482F" w:rsidRDefault="003A482F" w:rsidP="003A482F">
      <w:r w:rsidRPr="00216386">
        <w:rPr>
          <w:rFonts w:ascii="Courier" w:hAnsi="Courier"/>
        </w:rPr>
        <w:t>climada_waterfall_graph_advanced</w:t>
      </w:r>
      <w:r>
        <w:t>: Include one or two hazard (3 EDS per hazards).  The EDS files get sorted (according to hazard type and EDS size automatically)</w:t>
      </w:r>
    </w:p>
    <w:p w14:paraId="7E5A1E56" w14:textId="77777777" w:rsidR="003A482F" w:rsidRDefault="003A482F" w:rsidP="003A482F"/>
    <w:p w14:paraId="624AB553" w14:textId="77777777" w:rsidR="003A482F" w:rsidRPr="00E26725" w:rsidRDefault="003A482F" w:rsidP="003A482F"/>
    <w:tbl>
      <w:tblPr>
        <w:tblW w:w="8656" w:type="dxa"/>
        <w:tblLook w:val="04A0" w:firstRow="1" w:lastRow="0" w:firstColumn="1" w:lastColumn="0" w:noHBand="0" w:noVBand="1"/>
      </w:tblPr>
      <w:tblGrid>
        <w:gridCol w:w="8656"/>
      </w:tblGrid>
      <w:tr w:rsidR="003A482F" w:rsidRPr="00E26725" w14:paraId="167E218C" w14:textId="77777777" w:rsidTr="003A482F">
        <w:trPr>
          <w:trHeight w:val="2410"/>
        </w:trPr>
        <w:tc>
          <w:tcPr>
            <w:tcW w:w="8656" w:type="dxa"/>
          </w:tcPr>
          <w:p w14:paraId="671B1EEC" w14:textId="77777777" w:rsidR="003A482F" w:rsidRPr="00E26725" w:rsidRDefault="003A482F" w:rsidP="003A482F"/>
        </w:tc>
      </w:tr>
    </w:tbl>
    <w:p w14:paraId="7FD9BB37" w14:textId="77777777" w:rsidR="003A482F" w:rsidRPr="00E26725" w:rsidRDefault="003A482F" w:rsidP="003A482F"/>
    <w:p w14:paraId="5EF0387F" w14:textId="77777777" w:rsidR="003A482F" w:rsidRPr="00E26725" w:rsidRDefault="003A482F" w:rsidP="003A482F">
      <w:pPr>
        <w:pStyle w:val="ListParagraph"/>
        <w:numPr>
          <w:ilvl w:val="0"/>
          <w:numId w:val="2"/>
        </w:numPr>
      </w:pPr>
      <w:r w:rsidRPr="00E26725">
        <w:rPr>
          <w:noProof/>
        </w:rPr>
        <w:lastRenderedPageBreak/>
        <w:drawing>
          <wp:inline distT="0" distB="0" distL="0" distR="0" wp14:anchorId="6D5F3BA5" wp14:editId="79802578">
            <wp:extent cx="5310505" cy="5070475"/>
            <wp:effectExtent l="19050" t="0" r="4445" b="0"/>
            <wp:docPr id="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05" cy="507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77F7EC" w14:textId="2993D033" w:rsidR="003A482F" w:rsidRPr="00E26725" w:rsidRDefault="003A482F" w:rsidP="003A482F">
      <w:pPr>
        <w:pStyle w:val="Caption"/>
      </w:pPr>
      <w:r w:rsidRPr="00216386">
        <w:t>Figure: waterfall plot for the hazard rain and wind.</w:t>
      </w:r>
      <w:r>
        <w:t xml:space="preserve"> See </w:t>
      </w:r>
      <w:r w:rsidRPr="00216386">
        <w:t>climada_waterfall_graph_advanced</w:t>
      </w:r>
      <w:r>
        <w:t>-</w:t>
      </w:r>
    </w:p>
    <w:p w14:paraId="596EC431" w14:textId="77777777" w:rsidR="003A482F" w:rsidRPr="00E26725" w:rsidRDefault="003A482F" w:rsidP="003A482F">
      <w:pPr>
        <w:pStyle w:val="Heading2"/>
      </w:pPr>
      <w:bookmarkStart w:id="31" w:name="_Toc339438740"/>
      <w:bookmarkStart w:id="32" w:name="_Toc249783545"/>
      <w:bookmarkStart w:id="33" w:name="_Toc280894781"/>
      <w:r w:rsidRPr="00E26725">
        <w:t>Collect the Damages and Benefits of Measures of different hazards</w:t>
      </w:r>
      <w:bookmarkEnd w:id="31"/>
      <w:bookmarkEnd w:id="32"/>
      <w:bookmarkEnd w:id="33"/>
    </w:p>
    <w:p w14:paraId="26A709CC" w14:textId="77777777" w:rsidR="003A482F" w:rsidRDefault="003A482F" w:rsidP="003A482F"/>
    <w:p w14:paraId="1C7DE2F6" w14:textId="77777777" w:rsidR="003A482F" w:rsidRPr="003A482F" w:rsidRDefault="003A482F" w:rsidP="003A482F">
      <w:pPr>
        <w:rPr>
          <w:rFonts w:ascii="Courier" w:hAnsi="Courier"/>
          <w:sz w:val="20"/>
          <w:szCs w:val="20"/>
        </w:rPr>
      </w:pPr>
      <w:r w:rsidRPr="003A482F">
        <w:rPr>
          <w:rFonts w:ascii="Courier" w:hAnsi="Courier"/>
          <w:sz w:val="20"/>
          <w:szCs w:val="20"/>
        </w:rPr>
        <w:t>Impacts_collected=climada_collect_measures_impact(impact1,impact2)</w:t>
      </w:r>
    </w:p>
    <w:p w14:paraId="2478BC4E" w14:textId="77777777" w:rsidR="003A482F" w:rsidRDefault="003A482F" w:rsidP="003A482F"/>
    <w:p w14:paraId="46DCB402" w14:textId="361758BC" w:rsidR="003A482F" w:rsidRDefault="003A482F" w:rsidP="003A482F">
      <w:r>
        <w:t>This function sums up the benefits (damage averted) and costs</w:t>
      </w:r>
      <w:r>
        <w:rPr>
          <w:rStyle w:val="FootnoteReference"/>
        </w:rPr>
        <w:footnoteReference w:id="3"/>
      </w:r>
      <w:r>
        <w:t xml:space="preserve"> of shared measures (i.e. measures with the exact same name).</w:t>
      </w:r>
      <w:r w:rsidR="002E4BF4">
        <w:t xml:space="preserve"> </w:t>
      </w:r>
      <w:r>
        <w:t>WARNING: It is assumed that the two hazards are insured separately, therefore make sure to not use the same name for both hazards e.g. risk_transfer_rain and risk_transfer_wind. If on</w:t>
      </w:r>
      <w:r w:rsidR="002E4BF4">
        <w:t xml:space="preserve">e </w:t>
      </w:r>
      <w:r>
        <w:t>insurance covers both hazards sum up the losses of both hazards, apply the risk transfer and calculate the NPV of the benefits and the premium.</w:t>
      </w:r>
    </w:p>
    <w:p w14:paraId="1BF288FF" w14:textId="77777777" w:rsidR="003A482F" w:rsidRDefault="003A482F" w:rsidP="003A482F"/>
    <w:p w14:paraId="427E5110" w14:textId="77777777" w:rsidR="003A482F" w:rsidRDefault="003A482F" w:rsidP="003A482F">
      <w:r w:rsidRPr="003A482F">
        <w:t>After collection of impacts, use</w:t>
      </w:r>
      <w:r>
        <w:t xml:space="preserve"> </w:t>
      </w:r>
      <w:r w:rsidRPr="004A6999">
        <w:rPr>
          <w:rFonts w:ascii="Courier" w:hAnsi="Courier"/>
          <w:sz w:val="20"/>
          <w:szCs w:val="20"/>
        </w:rPr>
        <w:t>climada_adaptation_cost_curve(impacts_collected)</w:t>
      </w:r>
      <w:r>
        <w:t xml:space="preserve"> as usual to plot the adaptation cost curve.</w:t>
      </w:r>
    </w:p>
    <w:p w14:paraId="02F8B606" w14:textId="77777777" w:rsidR="003A482F" w:rsidRPr="00E26725" w:rsidRDefault="003A482F" w:rsidP="003A482F"/>
    <w:tbl>
      <w:tblPr>
        <w:tblW w:w="8656" w:type="dxa"/>
        <w:tblLook w:val="04A0" w:firstRow="1" w:lastRow="0" w:firstColumn="1" w:lastColumn="0" w:noHBand="0" w:noVBand="1"/>
      </w:tblPr>
      <w:tblGrid>
        <w:gridCol w:w="534"/>
        <w:gridCol w:w="8122"/>
      </w:tblGrid>
      <w:tr w:rsidR="003A482F" w:rsidRPr="00E26725" w14:paraId="69D35335" w14:textId="77777777" w:rsidTr="003A482F">
        <w:tc>
          <w:tcPr>
            <w:tcW w:w="534" w:type="dxa"/>
          </w:tcPr>
          <w:p w14:paraId="1A6BA42D" w14:textId="77777777" w:rsidR="003A482F" w:rsidRPr="00E26725" w:rsidRDefault="003A482F" w:rsidP="003A482F"/>
        </w:tc>
        <w:tc>
          <w:tcPr>
            <w:tcW w:w="8122" w:type="dxa"/>
          </w:tcPr>
          <w:p w14:paraId="2E861B55" w14:textId="77777777" w:rsidR="003A482F" w:rsidRPr="00E26725" w:rsidRDefault="003A482F" w:rsidP="003A482F"/>
        </w:tc>
      </w:tr>
    </w:tbl>
    <w:p w14:paraId="6B2C1575" w14:textId="77777777" w:rsidR="003A482F" w:rsidRPr="00E26725" w:rsidRDefault="003A482F" w:rsidP="003A482F"/>
    <w:p w14:paraId="1540175A" w14:textId="77777777" w:rsidR="003A482F" w:rsidRPr="00E26725" w:rsidRDefault="003A482F" w:rsidP="003A482F">
      <w:r w:rsidRPr="00E26725">
        <w:rPr>
          <w:noProof/>
        </w:rPr>
        <w:lastRenderedPageBreak/>
        <w:drawing>
          <wp:inline distT="0" distB="0" distL="0" distR="0" wp14:anchorId="442A689A" wp14:editId="43C55BE0">
            <wp:extent cx="5310505" cy="3977509"/>
            <wp:effectExtent l="0" t="0" r="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05" cy="3977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CC9642" w14:textId="77777777" w:rsidR="003A482F" w:rsidRPr="004A6999" w:rsidRDefault="003A482F" w:rsidP="002E4BF4">
      <w:pPr>
        <w:pStyle w:val="Caption"/>
      </w:pPr>
      <w:r w:rsidRPr="004A6999">
        <w:t>Figure: Cost curve of collected impacts.</w:t>
      </w:r>
    </w:p>
    <w:p w14:paraId="01AD5585" w14:textId="77777777" w:rsidR="003A482F" w:rsidRPr="00E26725" w:rsidRDefault="003A482F" w:rsidP="003A482F"/>
    <w:p w14:paraId="71B6863C" w14:textId="77777777" w:rsidR="003A482F" w:rsidRDefault="003A482F" w:rsidP="003A482F"/>
    <w:p w14:paraId="0490EF7D" w14:textId="77777777" w:rsidR="003A482F" w:rsidRPr="00AC37C4" w:rsidRDefault="003A482F" w:rsidP="003A482F"/>
    <w:p w14:paraId="7E82DF9F" w14:textId="77777777" w:rsidR="00AC37C4" w:rsidRPr="00AC37C4" w:rsidRDefault="00AC37C4" w:rsidP="003A482F"/>
    <w:p w14:paraId="1B6D3439" w14:textId="77777777" w:rsidR="00AC37C4" w:rsidRDefault="00AC37C4" w:rsidP="003A482F"/>
    <w:p w14:paraId="5F9E6DB8" w14:textId="31AB3B88" w:rsidR="00891BF6" w:rsidRPr="0025436C" w:rsidRDefault="00891BF6" w:rsidP="003A482F"/>
    <w:sectPr w:rsidR="00891BF6" w:rsidRPr="0025436C" w:rsidSect="00AA451C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70D5E38" w14:textId="77777777" w:rsidR="003A482F" w:rsidRDefault="003A482F" w:rsidP="003A482F">
      <w:r>
        <w:separator/>
      </w:r>
    </w:p>
  </w:endnote>
  <w:endnote w:type="continuationSeparator" w:id="0">
    <w:p w14:paraId="717C17F7" w14:textId="77777777" w:rsidR="003A482F" w:rsidRDefault="003A482F" w:rsidP="003A48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E485AE8" w14:textId="77777777" w:rsidR="003A482F" w:rsidRDefault="003A482F" w:rsidP="003A482F">
      <w:r>
        <w:separator/>
      </w:r>
    </w:p>
  </w:footnote>
  <w:footnote w:type="continuationSeparator" w:id="0">
    <w:p w14:paraId="5460901D" w14:textId="77777777" w:rsidR="003A482F" w:rsidRDefault="003A482F" w:rsidP="003A482F">
      <w:r>
        <w:continuationSeparator/>
      </w:r>
    </w:p>
  </w:footnote>
  <w:footnote w:id="1">
    <w:p w14:paraId="5E79E795" w14:textId="00BB52B7" w:rsidR="003A482F" w:rsidRPr="00900C8A" w:rsidRDefault="003A482F" w:rsidP="003A482F">
      <w:pPr>
        <w:pStyle w:val="FootnoteText"/>
        <w:rPr>
          <w:sz w:val="18"/>
          <w:szCs w:val="18"/>
          <w:lang w:val="de-DE"/>
        </w:rPr>
      </w:pPr>
      <w:r w:rsidRPr="00900C8A">
        <w:rPr>
          <w:rStyle w:val="FootnoteReference"/>
          <w:sz w:val="18"/>
          <w:szCs w:val="18"/>
        </w:rPr>
        <w:footnoteRef/>
      </w:r>
      <w:r w:rsidRPr="00900C8A">
        <w:rPr>
          <w:sz w:val="18"/>
          <w:szCs w:val="18"/>
        </w:rPr>
        <w:t xml:space="preserve"> </w:t>
      </w:r>
      <w:hyperlink r:id="rId1" w:history="1">
        <w:r w:rsidRPr="002D62A2">
          <w:rPr>
            <w:rStyle w:val="Hyperlink"/>
            <w:sz w:val="18"/>
            <w:szCs w:val="18"/>
          </w:rPr>
          <w:t>https://github.com/davidnbresch/climada_module_tc_hazard_advanced</w:t>
        </w:r>
      </w:hyperlink>
      <w:r>
        <w:rPr>
          <w:sz w:val="18"/>
          <w:szCs w:val="18"/>
        </w:rPr>
        <w:t xml:space="preserve"> </w:t>
      </w:r>
    </w:p>
  </w:footnote>
  <w:footnote w:id="2">
    <w:p w14:paraId="55A296AF" w14:textId="76F44B12" w:rsidR="003A482F" w:rsidRPr="00AC37C4" w:rsidRDefault="003A482F" w:rsidP="003A482F">
      <w:pPr>
        <w:pStyle w:val="FootnoteText"/>
        <w:rPr>
          <w:sz w:val="18"/>
          <w:szCs w:val="18"/>
          <w:lang w:val="de-DE"/>
        </w:rPr>
      </w:pPr>
      <w:r w:rsidRPr="00AC37C4">
        <w:rPr>
          <w:rStyle w:val="FootnoteReference"/>
          <w:sz w:val="18"/>
          <w:szCs w:val="18"/>
        </w:rPr>
        <w:footnoteRef/>
      </w:r>
      <w:r w:rsidRPr="00AC37C4">
        <w:rPr>
          <w:sz w:val="18"/>
          <w:szCs w:val="18"/>
        </w:rPr>
        <w:t xml:space="preserve"> </w:t>
      </w:r>
      <w:hyperlink r:id="rId2" w:history="1">
        <w:r w:rsidRPr="002D62A2">
          <w:rPr>
            <w:rStyle w:val="Hyperlink"/>
            <w:sz w:val="18"/>
            <w:szCs w:val="18"/>
          </w:rPr>
          <w:t>https://github.com/davidnbresch/climada_module_country_risk</w:t>
        </w:r>
      </w:hyperlink>
      <w:r>
        <w:rPr>
          <w:sz w:val="18"/>
          <w:szCs w:val="18"/>
        </w:rPr>
        <w:t xml:space="preserve"> </w:t>
      </w:r>
    </w:p>
  </w:footnote>
  <w:footnote w:id="3">
    <w:p w14:paraId="36464B0A" w14:textId="77777777" w:rsidR="003A482F" w:rsidRPr="003A482F" w:rsidRDefault="003A482F" w:rsidP="003A482F">
      <w:pPr>
        <w:pStyle w:val="FootnoteText"/>
        <w:rPr>
          <w:lang w:val="de-DE"/>
        </w:rPr>
      </w:pPr>
      <w:r w:rsidRPr="003A482F">
        <w:rPr>
          <w:rStyle w:val="FootnoteReference"/>
          <w:sz w:val="18"/>
          <w:szCs w:val="18"/>
        </w:rPr>
        <w:footnoteRef/>
      </w:r>
      <w:r w:rsidRPr="003A482F">
        <w:t xml:space="preserve"> takes higher costs if costs not the same.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643B6"/>
    <w:multiLevelType w:val="hybridMultilevel"/>
    <w:tmpl w:val="E354B6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777880"/>
    <w:multiLevelType w:val="hybridMultilevel"/>
    <w:tmpl w:val="5324E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C541465"/>
    <w:multiLevelType w:val="hybridMultilevel"/>
    <w:tmpl w:val="46B29A3C"/>
    <w:lvl w:ilvl="0" w:tplc="04090017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A3755E3"/>
    <w:multiLevelType w:val="hybridMultilevel"/>
    <w:tmpl w:val="5DB67F70"/>
    <w:lvl w:ilvl="0" w:tplc="22684B6A">
      <w:start w:val="1"/>
      <w:numFmt w:val="bullet"/>
      <w:lvlText w:val="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7CF1"/>
    <w:rsid w:val="000C2EED"/>
    <w:rsid w:val="000E1B2D"/>
    <w:rsid w:val="00127C46"/>
    <w:rsid w:val="00147D1E"/>
    <w:rsid w:val="001965E6"/>
    <w:rsid w:val="0025136F"/>
    <w:rsid w:val="0025436C"/>
    <w:rsid w:val="00261751"/>
    <w:rsid w:val="00277D71"/>
    <w:rsid w:val="002E4BF4"/>
    <w:rsid w:val="00326D91"/>
    <w:rsid w:val="00352D73"/>
    <w:rsid w:val="003A482F"/>
    <w:rsid w:val="00447B75"/>
    <w:rsid w:val="00457C1E"/>
    <w:rsid w:val="00517F9D"/>
    <w:rsid w:val="00561534"/>
    <w:rsid w:val="005633B2"/>
    <w:rsid w:val="00577476"/>
    <w:rsid w:val="005E05D1"/>
    <w:rsid w:val="006015DB"/>
    <w:rsid w:val="006E6FDA"/>
    <w:rsid w:val="007711B4"/>
    <w:rsid w:val="007A1991"/>
    <w:rsid w:val="007A6E00"/>
    <w:rsid w:val="00810E6E"/>
    <w:rsid w:val="00831703"/>
    <w:rsid w:val="00891BF6"/>
    <w:rsid w:val="00900C8A"/>
    <w:rsid w:val="00924618"/>
    <w:rsid w:val="00951D75"/>
    <w:rsid w:val="00972F17"/>
    <w:rsid w:val="00A14096"/>
    <w:rsid w:val="00A45150"/>
    <w:rsid w:val="00A52795"/>
    <w:rsid w:val="00AA451C"/>
    <w:rsid w:val="00AC37C4"/>
    <w:rsid w:val="00C57CF1"/>
    <w:rsid w:val="00CA50D6"/>
    <w:rsid w:val="00DB346D"/>
    <w:rsid w:val="00E94A86"/>
    <w:rsid w:val="00F9735C"/>
    <w:rsid w:val="00FE7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868129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482F"/>
    <w:rPr>
      <w:rFonts w:ascii="Arial" w:hAnsi="Arial" w:cs="Arial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4BF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482F"/>
    <w:pPr>
      <w:keepNext/>
      <w:keepLines/>
      <w:spacing w:before="200"/>
      <w:outlineLvl w:val="1"/>
    </w:pPr>
    <w:rPr>
      <w:rFonts w:eastAsiaTheme="majorEastAsia"/>
      <w:b/>
      <w:bCs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57CF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57C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E05D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05D1"/>
    <w:rPr>
      <w:rFonts w:ascii="Lucida Grande" w:hAnsi="Lucida Grande" w:cs="Lucida Grande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rsid w:val="00277D71"/>
  </w:style>
  <w:style w:type="character" w:customStyle="1" w:styleId="FootnoteTextChar">
    <w:name w:val="Footnote Text Char"/>
    <w:basedOn w:val="DefaultParagraphFont"/>
    <w:link w:val="FootnoteText"/>
    <w:uiPriority w:val="99"/>
    <w:rsid w:val="00277D71"/>
  </w:style>
  <w:style w:type="character" w:styleId="FootnoteReference">
    <w:name w:val="footnote reference"/>
    <w:basedOn w:val="DefaultParagraphFont"/>
    <w:uiPriority w:val="99"/>
    <w:unhideWhenUsed/>
    <w:rsid w:val="00277D71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326D91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A482F"/>
    <w:rPr>
      <w:rFonts w:eastAsia="Times New Roman"/>
      <w:bCs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3A482F"/>
    <w:rPr>
      <w:rFonts w:ascii="Arial" w:eastAsiaTheme="majorEastAsia" w:hAnsi="Arial" w:cs="Arial"/>
      <w:b/>
      <w:bCs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E4BF4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E4BF4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2E4BF4"/>
    <w:pPr>
      <w:ind w:left="220"/>
    </w:pPr>
    <w:rPr>
      <w:rFonts w:asciiTheme="minorHAnsi" w:hAnsiTheme="minorHAnsi"/>
      <w:b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E4BF4"/>
    <w:pPr>
      <w:spacing w:before="120"/>
    </w:pPr>
    <w:rPr>
      <w:rFonts w:asciiTheme="minorHAnsi" w:hAnsiTheme="minorHAnsi"/>
      <w:b/>
      <w:sz w:val="24"/>
      <w:szCs w:val="24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E4BF4"/>
    <w:pPr>
      <w:ind w:left="440"/>
    </w:pPr>
    <w:rPr>
      <w:rFonts w:asciiTheme="minorHAnsi" w:hAnsiTheme="minorHAnsi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E4BF4"/>
    <w:pPr>
      <w:ind w:left="66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E4BF4"/>
    <w:pPr>
      <w:ind w:left="88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E4BF4"/>
    <w:pPr>
      <w:ind w:left="11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E4BF4"/>
    <w:pPr>
      <w:ind w:left="132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E4BF4"/>
    <w:pPr>
      <w:ind w:left="15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E4BF4"/>
    <w:pPr>
      <w:ind w:left="1760"/>
    </w:pPr>
    <w:rPr>
      <w:rFonts w:asciiTheme="minorHAnsi" w:hAnsiTheme="minorHAnsi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482F"/>
    <w:rPr>
      <w:rFonts w:ascii="Arial" w:hAnsi="Arial" w:cs="Arial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4BF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482F"/>
    <w:pPr>
      <w:keepNext/>
      <w:keepLines/>
      <w:spacing w:before="200"/>
      <w:outlineLvl w:val="1"/>
    </w:pPr>
    <w:rPr>
      <w:rFonts w:eastAsiaTheme="majorEastAsia"/>
      <w:b/>
      <w:bCs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57CF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57C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E05D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05D1"/>
    <w:rPr>
      <w:rFonts w:ascii="Lucida Grande" w:hAnsi="Lucida Grande" w:cs="Lucida Grande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rsid w:val="00277D71"/>
  </w:style>
  <w:style w:type="character" w:customStyle="1" w:styleId="FootnoteTextChar">
    <w:name w:val="Footnote Text Char"/>
    <w:basedOn w:val="DefaultParagraphFont"/>
    <w:link w:val="FootnoteText"/>
    <w:uiPriority w:val="99"/>
    <w:rsid w:val="00277D71"/>
  </w:style>
  <w:style w:type="character" w:styleId="FootnoteReference">
    <w:name w:val="footnote reference"/>
    <w:basedOn w:val="DefaultParagraphFont"/>
    <w:uiPriority w:val="99"/>
    <w:unhideWhenUsed/>
    <w:rsid w:val="00277D71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326D91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A482F"/>
    <w:rPr>
      <w:rFonts w:eastAsia="Times New Roman"/>
      <w:bCs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3A482F"/>
    <w:rPr>
      <w:rFonts w:ascii="Arial" w:eastAsiaTheme="majorEastAsia" w:hAnsi="Arial" w:cs="Arial"/>
      <w:b/>
      <w:bCs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E4BF4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E4BF4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2E4BF4"/>
    <w:pPr>
      <w:ind w:left="220"/>
    </w:pPr>
    <w:rPr>
      <w:rFonts w:asciiTheme="minorHAnsi" w:hAnsiTheme="minorHAnsi"/>
      <w:b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E4BF4"/>
    <w:pPr>
      <w:spacing w:before="120"/>
    </w:pPr>
    <w:rPr>
      <w:rFonts w:asciiTheme="minorHAnsi" w:hAnsiTheme="minorHAnsi"/>
      <w:b/>
      <w:sz w:val="24"/>
      <w:szCs w:val="24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E4BF4"/>
    <w:pPr>
      <w:ind w:left="440"/>
    </w:pPr>
    <w:rPr>
      <w:rFonts w:asciiTheme="minorHAnsi" w:hAnsiTheme="minorHAnsi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E4BF4"/>
    <w:pPr>
      <w:ind w:left="66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E4BF4"/>
    <w:pPr>
      <w:ind w:left="88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E4BF4"/>
    <w:pPr>
      <w:ind w:left="11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E4BF4"/>
    <w:pPr>
      <w:ind w:left="132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E4BF4"/>
    <w:pPr>
      <w:ind w:left="15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E4BF4"/>
    <w:pPr>
      <w:ind w:left="176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github.com/davidnbresch/climada_module_tc_rain" TargetMode="External"/><Relationship Id="rId20" Type="http://schemas.openxmlformats.org/officeDocument/2006/relationships/image" Target="media/image8.emf"/><Relationship Id="rId21" Type="http://schemas.openxmlformats.org/officeDocument/2006/relationships/image" Target="media/image9.emf"/><Relationship Id="rId22" Type="http://schemas.openxmlformats.org/officeDocument/2006/relationships/image" Target="media/image10.emf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hyperlink" Target="mailto:muellele@gmail.com" TargetMode="External"/><Relationship Id="rId11" Type="http://schemas.openxmlformats.org/officeDocument/2006/relationships/hyperlink" Target="mailto:david.bresch@gmail.com" TargetMode="External"/><Relationship Id="rId12" Type="http://schemas.openxmlformats.org/officeDocument/2006/relationships/image" Target="media/image1.emf"/><Relationship Id="rId13" Type="http://schemas.openxmlformats.org/officeDocument/2006/relationships/image" Target="media/image2.emf"/><Relationship Id="rId14" Type="http://schemas.openxmlformats.org/officeDocument/2006/relationships/image" Target="media/image3.emf"/><Relationship Id="rId15" Type="http://schemas.openxmlformats.org/officeDocument/2006/relationships/image" Target="media/image4.emf"/><Relationship Id="rId16" Type="http://schemas.openxmlformats.org/officeDocument/2006/relationships/chart" Target="charts/chart1.xml"/><Relationship Id="rId17" Type="http://schemas.openxmlformats.org/officeDocument/2006/relationships/image" Target="media/image5.emf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davidnbresch/climada_module_tc_hazard_advanced" TargetMode="External"/><Relationship Id="rId2" Type="http://schemas.openxmlformats.org/officeDocument/2006/relationships/hyperlink" Target="https://github.com/davidnbresch/climada_module_country_risk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Documents%20and%20Settings\s3bxxw\Desktop\Book1.xlsx" TargetMode="External"/><Relationship Id="rId2" Type="http://schemas.openxmlformats.org/officeDocument/2006/relationships/chartUserShapes" Target="../drawings/drawing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58993695668865"/>
          <c:y val="0.0465727563871029"/>
          <c:w val="0.799113924410587"/>
          <c:h val="0.804738514195706"/>
        </c:manualLayout>
      </c:layout>
      <c:scatterChart>
        <c:scatterStyle val="lineMarker"/>
        <c:varyColors val="0"/>
        <c:ser>
          <c:idx val="0"/>
          <c:order val="0"/>
          <c:tx>
            <c:strRef>
              <c:f>Saffir!$M$11</c:f>
              <c:strCache>
                <c:ptCount val="1"/>
                <c:pt idx="0">
                  <c:v>Cat. 5</c:v>
                </c:pt>
              </c:strCache>
            </c:strRef>
          </c:tx>
          <c:spPr>
            <a:ln>
              <a:solidFill>
                <a:srgbClr val="FF0000"/>
              </a:solidFill>
            </a:ln>
          </c:spPr>
          <c:marker>
            <c:symbol val="none"/>
          </c:marker>
          <c:xVal>
            <c:numRef>
              <c:f>Saffir!$N$4:$BH$4</c:f>
              <c:numCache>
                <c:formatCode>General</c:formatCode>
                <c:ptCount val="47"/>
                <c:pt idx="0">
                  <c:v>0.0</c:v>
                </c:pt>
                <c:pt idx="1">
                  <c:v>2.0</c:v>
                </c:pt>
                <c:pt idx="2">
                  <c:v>4.0</c:v>
                </c:pt>
                <c:pt idx="3">
                  <c:v>6.0</c:v>
                </c:pt>
                <c:pt idx="4">
                  <c:v>8.0</c:v>
                </c:pt>
                <c:pt idx="5">
                  <c:v>10.0</c:v>
                </c:pt>
                <c:pt idx="6">
                  <c:v>12.0</c:v>
                </c:pt>
                <c:pt idx="7">
                  <c:v>14.0</c:v>
                </c:pt>
                <c:pt idx="8">
                  <c:v>16.0</c:v>
                </c:pt>
                <c:pt idx="9">
                  <c:v>18.0</c:v>
                </c:pt>
                <c:pt idx="10">
                  <c:v>20.0</c:v>
                </c:pt>
                <c:pt idx="11">
                  <c:v>22.0</c:v>
                </c:pt>
                <c:pt idx="12">
                  <c:v>24.0</c:v>
                </c:pt>
                <c:pt idx="13">
                  <c:v>26.0</c:v>
                </c:pt>
                <c:pt idx="14">
                  <c:v>28.0</c:v>
                </c:pt>
                <c:pt idx="15">
                  <c:v>30.0</c:v>
                </c:pt>
                <c:pt idx="16">
                  <c:v>32.0</c:v>
                </c:pt>
                <c:pt idx="17">
                  <c:v>34.0</c:v>
                </c:pt>
                <c:pt idx="18">
                  <c:v>36.0</c:v>
                </c:pt>
                <c:pt idx="19">
                  <c:v>38.0</c:v>
                </c:pt>
                <c:pt idx="20">
                  <c:v>40.0</c:v>
                </c:pt>
                <c:pt idx="21">
                  <c:v>50.0</c:v>
                </c:pt>
                <c:pt idx="22">
                  <c:v>60.0</c:v>
                </c:pt>
                <c:pt idx="23">
                  <c:v>70.0</c:v>
                </c:pt>
                <c:pt idx="24">
                  <c:v>80.0</c:v>
                </c:pt>
                <c:pt idx="25">
                  <c:v>90.0</c:v>
                </c:pt>
                <c:pt idx="26">
                  <c:v>100.0</c:v>
                </c:pt>
                <c:pt idx="27">
                  <c:v>110.0</c:v>
                </c:pt>
                <c:pt idx="28">
                  <c:v>120.0</c:v>
                </c:pt>
                <c:pt idx="29">
                  <c:v>130.0</c:v>
                </c:pt>
                <c:pt idx="30">
                  <c:v>140.0</c:v>
                </c:pt>
                <c:pt idx="31">
                  <c:v>150.0</c:v>
                </c:pt>
                <c:pt idx="32">
                  <c:v>160.0</c:v>
                </c:pt>
                <c:pt idx="33">
                  <c:v>170.0</c:v>
                </c:pt>
                <c:pt idx="34">
                  <c:v>180.0</c:v>
                </c:pt>
                <c:pt idx="35">
                  <c:v>190.0</c:v>
                </c:pt>
                <c:pt idx="36">
                  <c:v>200.0</c:v>
                </c:pt>
                <c:pt idx="37">
                  <c:v>210.0</c:v>
                </c:pt>
                <c:pt idx="38">
                  <c:v>220.0</c:v>
                </c:pt>
                <c:pt idx="39">
                  <c:v>230.0</c:v>
                </c:pt>
                <c:pt idx="40">
                  <c:v>240.0</c:v>
                </c:pt>
                <c:pt idx="41">
                  <c:v>250.0</c:v>
                </c:pt>
                <c:pt idx="42">
                  <c:v>260.0</c:v>
                </c:pt>
                <c:pt idx="43">
                  <c:v>270.0</c:v>
                </c:pt>
                <c:pt idx="44">
                  <c:v>280.0</c:v>
                </c:pt>
                <c:pt idx="45">
                  <c:v>290.0</c:v>
                </c:pt>
                <c:pt idx="46">
                  <c:v>300.0</c:v>
                </c:pt>
              </c:numCache>
            </c:numRef>
          </c:xVal>
          <c:yVal>
            <c:numRef>
              <c:f>Saffir!$N$21:$BH$21</c:f>
              <c:numCache>
                <c:formatCode>0.0</c:formatCode>
                <c:ptCount val="47"/>
                <c:pt idx="0">
                  <c:v>17.63183333333333</c:v>
                </c:pt>
                <c:pt idx="1">
                  <c:v>18.74781866340677</c:v>
                </c:pt>
                <c:pt idx="2">
                  <c:v>19.86380399348003</c:v>
                </c:pt>
                <c:pt idx="3">
                  <c:v>20.97978932355327</c:v>
                </c:pt>
                <c:pt idx="4">
                  <c:v>20.60925968621379</c:v>
                </c:pt>
                <c:pt idx="5">
                  <c:v>20.08913042587168</c:v>
                </c:pt>
                <c:pt idx="6">
                  <c:v>19.58212800519209</c:v>
                </c:pt>
                <c:pt idx="7">
                  <c:v>19.08792113360429</c:v>
                </c:pt>
                <c:pt idx="8">
                  <c:v>18.60618688153253</c:v>
                </c:pt>
                <c:pt idx="9">
                  <c:v>18.13661046938464</c:v>
                </c:pt>
                <c:pt idx="10">
                  <c:v>17.67888506186486</c:v>
                </c:pt>
                <c:pt idx="11">
                  <c:v>17.23271156747903</c:v>
                </c:pt>
                <c:pt idx="12">
                  <c:v>16.7977984430995</c:v>
                </c:pt>
                <c:pt idx="13">
                  <c:v>16.37386150346114</c:v>
                </c:pt>
                <c:pt idx="14">
                  <c:v>15.96062373546717</c:v>
                </c:pt>
                <c:pt idx="15">
                  <c:v>15.55781511717991</c:v>
                </c:pt>
                <c:pt idx="16">
                  <c:v>15.16517244138059</c:v>
                </c:pt>
                <c:pt idx="17">
                  <c:v>14.78243914358184</c:v>
                </c:pt>
                <c:pt idx="18">
                  <c:v>14.4093651343807</c:v>
                </c:pt>
                <c:pt idx="19">
                  <c:v>14.04570663604281</c:v>
                </c:pt>
                <c:pt idx="20">
                  <c:v>13.69122602321052</c:v>
                </c:pt>
                <c:pt idx="21">
                  <c:v>12.04858578192282</c:v>
                </c:pt>
                <c:pt idx="22">
                  <c:v>10.60302555068856</c:v>
                </c:pt>
                <c:pt idx="23">
                  <c:v>9.330900145744101</c:v>
                </c:pt>
                <c:pt idx="24">
                  <c:v>8.211401275383451</c:v>
                </c:pt>
                <c:pt idx="25">
                  <c:v>7.226217176498555</c:v>
                </c:pt>
                <c:pt idx="26">
                  <c:v>6.359233087105998</c:v>
                </c:pt>
                <c:pt idx="27">
                  <c:v>5.596267655456582</c:v>
                </c:pt>
                <c:pt idx="28">
                  <c:v>4.92484097414363</c:v>
                </c:pt>
                <c:pt idx="29">
                  <c:v>4.333970444918823</c:v>
                </c:pt>
                <c:pt idx="30">
                  <c:v>3.81399113515458</c:v>
                </c:pt>
                <c:pt idx="31">
                  <c:v>3.356397687504349</c:v>
                </c:pt>
                <c:pt idx="32">
                  <c:v>2.953705196860123</c:v>
                </c:pt>
                <c:pt idx="33">
                  <c:v>2.59932677895675</c:v>
                </c:pt>
                <c:pt idx="34">
                  <c:v>2.287465827999341</c:v>
                </c:pt>
                <c:pt idx="35">
                  <c:v>2.01302120096067</c:v>
                </c:pt>
                <c:pt idx="36">
                  <c:v>1.771503777637319</c:v>
                </c:pt>
                <c:pt idx="37">
                  <c:v>1.558963031629109</c:v>
                </c:pt>
                <c:pt idx="38">
                  <c:v>1.371922411154906</c:v>
                </c:pt>
                <c:pt idx="39">
                  <c:v>1.207322472722288</c:v>
                </c:pt>
                <c:pt idx="40">
                  <c:v>1.062470837482134</c:v>
                </c:pt>
                <c:pt idx="41">
                  <c:v>0.934998151698987</c:v>
                </c:pt>
                <c:pt idx="42">
                  <c:v>0.822819330977842</c:v>
                </c:pt>
                <c:pt idx="43">
                  <c:v>0.724099454315062</c:v>
                </c:pt>
                <c:pt idx="44">
                  <c:v>0.637223750098654</c:v>
                </c:pt>
                <c:pt idx="45">
                  <c:v>0.560771183115843</c:v>
                </c:pt>
                <c:pt idx="46">
                  <c:v>0.493491210527632</c:v>
                </c:pt>
              </c:numCache>
            </c:numRef>
          </c:yVal>
          <c:smooth val="0"/>
        </c:ser>
        <c:ser>
          <c:idx val="21"/>
          <c:order val="1"/>
          <c:tx>
            <c:strRef>
              <c:f>Saffir!$M$10</c:f>
              <c:strCache>
                <c:ptCount val="1"/>
                <c:pt idx="0">
                  <c:v>Cat. 4</c:v>
                </c:pt>
              </c:strCache>
            </c:strRef>
          </c:tx>
          <c:spPr>
            <a:ln>
              <a:solidFill>
                <a:srgbClr val="946810"/>
              </a:solidFill>
            </a:ln>
          </c:spPr>
          <c:marker>
            <c:symbol val="none"/>
          </c:marker>
          <c:xVal>
            <c:numRef>
              <c:f>Saffir!$N$4:$BH$4</c:f>
              <c:numCache>
                <c:formatCode>General</c:formatCode>
                <c:ptCount val="47"/>
                <c:pt idx="0">
                  <c:v>0.0</c:v>
                </c:pt>
                <c:pt idx="1">
                  <c:v>2.0</c:v>
                </c:pt>
                <c:pt idx="2">
                  <c:v>4.0</c:v>
                </c:pt>
                <c:pt idx="3">
                  <c:v>6.0</c:v>
                </c:pt>
                <c:pt idx="4">
                  <c:v>8.0</c:v>
                </c:pt>
                <c:pt idx="5">
                  <c:v>10.0</c:v>
                </c:pt>
                <c:pt idx="6">
                  <c:v>12.0</c:v>
                </c:pt>
                <c:pt idx="7">
                  <c:v>14.0</c:v>
                </c:pt>
                <c:pt idx="8">
                  <c:v>16.0</c:v>
                </c:pt>
                <c:pt idx="9">
                  <c:v>18.0</c:v>
                </c:pt>
                <c:pt idx="10">
                  <c:v>20.0</c:v>
                </c:pt>
                <c:pt idx="11">
                  <c:v>22.0</c:v>
                </c:pt>
                <c:pt idx="12">
                  <c:v>24.0</c:v>
                </c:pt>
                <c:pt idx="13">
                  <c:v>26.0</c:v>
                </c:pt>
                <c:pt idx="14">
                  <c:v>28.0</c:v>
                </c:pt>
                <c:pt idx="15">
                  <c:v>30.0</c:v>
                </c:pt>
                <c:pt idx="16">
                  <c:v>32.0</c:v>
                </c:pt>
                <c:pt idx="17">
                  <c:v>34.0</c:v>
                </c:pt>
                <c:pt idx="18">
                  <c:v>36.0</c:v>
                </c:pt>
                <c:pt idx="19">
                  <c:v>38.0</c:v>
                </c:pt>
                <c:pt idx="20">
                  <c:v>40.0</c:v>
                </c:pt>
                <c:pt idx="21">
                  <c:v>50.0</c:v>
                </c:pt>
                <c:pt idx="22">
                  <c:v>60.0</c:v>
                </c:pt>
                <c:pt idx="23">
                  <c:v>70.0</c:v>
                </c:pt>
                <c:pt idx="24">
                  <c:v>80.0</c:v>
                </c:pt>
                <c:pt idx="25">
                  <c:v>90.0</c:v>
                </c:pt>
                <c:pt idx="26">
                  <c:v>100.0</c:v>
                </c:pt>
                <c:pt idx="27">
                  <c:v>110.0</c:v>
                </c:pt>
                <c:pt idx="28">
                  <c:v>120.0</c:v>
                </c:pt>
                <c:pt idx="29">
                  <c:v>130.0</c:v>
                </c:pt>
                <c:pt idx="30">
                  <c:v>140.0</c:v>
                </c:pt>
                <c:pt idx="31">
                  <c:v>150.0</c:v>
                </c:pt>
                <c:pt idx="32">
                  <c:v>160.0</c:v>
                </c:pt>
                <c:pt idx="33">
                  <c:v>170.0</c:v>
                </c:pt>
                <c:pt idx="34">
                  <c:v>180.0</c:v>
                </c:pt>
                <c:pt idx="35">
                  <c:v>190.0</c:v>
                </c:pt>
                <c:pt idx="36">
                  <c:v>200.0</c:v>
                </c:pt>
                <c:pt idx="37">
                  <c:v>210.0</c:v>
                </c:pt>
                <c:pt idx="38">
                  <c:v>220.0</c:v>
                </c:pt>
                <c:pt idx="39">
                  <c:v>230.0</c:v>
                </c:pt>
                <c:pt idx="40">
                  <c:v>240.0</c:v>
                </c:pt>
                <c:pt idx="41">
                  <c:v>250.0</c:v>
                </c:pt>
                <c:pt idx="42">
                  <c:v>260.0</c:v>
                </c:pt>
                <c:pt idx="43">
                  <c:v>270.0</c:v>
                </c:pt>
                <c:pt idx="44">
                  <c:v>280.0</c:v>
                </c:pt>
                <c:pt idx="45">
                  <c:v>290.0</c:v>
                </c:pt>
                <c:pt idx="46">
                  <c:v>300.0</c:v>
                </c:pt>
              </c:numCache>
            </c:numRef>
          </c:xVal>
          <c:yVal>
            <c:numRef>
              <c:f>Saffir!$N$20:$BH$20</c:f>
              <c:numCache>
                <c:formatCode>0.0</c:formatCode>
                <c:ptCount val="47"/>
                <c:pt idx="0">
                  <c:v>15.72683333333333</c:v>
                </c:pt>
                <c:pt idx="1">
                  <c:v>16.23133646224453</c:v>
                </c:pt>
                <c:pt idx="2">
                  <c:v>16.73583959115559</c:v>
                </c:pt>
                <c:pt idx="3">
                  <c:v>17.24034272006669</c:v>
                </c:pt>
                <c:pt idx="4">
                  <c:v>17.74484584897788</c:v>
                </c:pt>
                <c:pt idx="5">
                  <c:v>18.24934897788899</c:v>
                </c:pt>
                <c:pt idx="6">
                  <c:v>18.75385210680023</c:v>
                </c:pt>
                <c:pt idx="7">
                  <c:v>18.36923641993979</c:v>
                </c:pt>
                <c:pt idx="8">
                  <c:v>17.9446077042486</c:v>
                </c:pt>
                <c:pt idx="9">
                  <c:v>17.52979483185472</c:v>
                </c:pt>
                <c:pt idx="10">
                  <c:v>17.12457089681403</c:v>
                </c:pt>
                <c:pt idx="11">
                  <c:v>16.72871423840734</c:v>
                </c:pt>
                <c:pt idx="12">
                  <c:v>16.34200831989099</c:v>
                </c:pt>
                <c:pt idx="13">
                  <c:v>15.96424161004793</c:v>
                </c:pt>
                <c:pt idx="14">
                  <c:v>15.59520746748004</c:v>
                </c:pt>
                <c:pt idx="15">
                  <c:v>15.23470402757301</c:v>
                </c:pt>
                <c:pt idx="16">
                  <c:v>14.88253409207475</c:v>
                </c:pt>
                <c:pt idx="17">
                  <c:v>14.53850502122618</c:v>
                </c:pt>
                <c:pt idx="18">
                  <c:v>14.20242862838647</c:v>
                </c:pt>
                <c:pt idx="19">
                  <c:v>13.87412107709265</c:v>
                </c:pt>
                <c:pt idx="20">
                  <c:v>13.55340278050004</c:v>
                </c:pt>
                <c:pt idx="21">
                  <c:v>12.05764986297078</c:v>
                </c:pt>
                <c:pt idx="22">
                  <c:v>10.72696816973329</c:v>
                </c:pt>
                <c:pt idx="23">
                  <c:v>9.543140447944781</c:v>
                </c:pt>
                <c:pt idx="24">
                  <c:v>8.489959899961524</c:v>
                </c:pt>
                <c:pt idx="25">
                  <c:v>7.55300830959454</c:v>
                </c:pt>
                <c:pt idx="26">
                  <c:v>6.719458654340954</c:v>
                </c:pt>
                <c:pt idx="27">
                  <c:v>5.977899501320882</c:v>
                </c:pt>
                <c:pt idx="28">
                  <c:v>5.318178782870598</c:v>
                </c:pt>
                <c:pt idx="29">
                  <c:v>4.731264813054448</c:v>
                </c:pt>
                <c:pt idx="30">
                  <c:v>4.209122642387774</c:v>
                </c:pt>
                <c:pt idx="31">
                  <c:v>3.744604058047625</c:v>
                </c:pt>
                <c:pt idx="32">
                  <c:v>3.331349723654533</c:v>
                </c:pt>
                <c:pt idx="33">
                  <c:v>2.963702118904269</c:v>
                </c:pt>
                <c:pt idx="34">
                  <c:v>2.636628087177223</c:v>
                </c:pt>
                <c:pt idx="35">
                  <c:v>2.345649930790604</c:v>
                </c:pt>
                <c:pt idx="36">
                  <c:v>2.08678411057534</c:v>
                </c:pt>
                <c:pt idx="37">
                  <c:v>1.856486710564646</c:v>
                </c:pt>
                <c:pt idx="38">
                  <c:v>1.651604921197584</c:v>
                </c:pt>
                <c:pt idx="39">
                  <c:v>1.469333876833637</c:v>
                </c:pt>
                <c:pt idx="40">
                  <c:v>1.307178256677451</c:v>
                </c:pt>
                <c:pt idx="41">
                  <c:v>1.16291812342376</c:v>
                </c:pt>
                <c:pt idx="42">
                  <c:v>1.03457853194778</c:v>
                </c:pt>
                <c:pt idx="43">
                  <c:v>0.920402491979386</c:v>
                </c:pt>
                <c:pt idx="44">
                  <c:v>0.818826914615151</c:v>
                </c:pt>
                <c:pt idx="45">
                  <c:v>0.728461213372268</c:v>
                </c:pt>
                <c:pt idx="46">
                  <c:v>0.648068266829269</c:v>
                </c:pt>
              </c:numCache>
            </c:numRef>
          </c:yVal>
          <c:smooth val="0"/>
        </c:ser>
        <c:ser>
          <c:idx val="17"/>
          <c:order val="2"/>
          <c:tx>
            <c:strRef>
              <c:f>Saffir!$M$9</c:f>
              <c:strCache>
                <c:ptCount val="1"/>
                <c:pt idx="0">
                  <c:v>Cat. 3</c:v>
                </c:pt>
              </c:strCache>
            </c:strRef>
          </c:tx>
          <c:spPr>
            <a:ln w="28575">
              <a:solidFill>
                <a:srgbClr val="CC6600"/>
              </a:solidFill>
            </a:ln>
          </c:spPr>
          <c:marker>
            <c:symbol val="none"/>
          </c:marker>
          <c:xVal>
            <c:numRef>
              <c:f>Saffir!$N$4:$BH$4</c:f>
              <c:numCache>
                <c:formatCode>General</c:formatCode>
                <c:ptCount val="47"/>
                <c:pt idx="0">
                  <c:v>0.0</c:v>
                </c:pt>
                <c:pt idx="1">
                  <c:v>2.0</c:v>
                </c:pt>
                <c:pt idx="2">
                  <c:v>4.0</c:v>
                </c:pt>
                <c:pt idx="3">
                  <c:v>6.0</c:v>
                </c:pt>
                <c:pt idx="4">
                  <c:v>8.0</c:v>
                </c:pt>
                <c:pt idx="5">
                  <c:v>10.0</c:v>
                </c:pt>
                <c:pt idx="6">
                  <c:v>12.0</c:v>
                </c:pt>
                <c:pt idx="7">
                  <c:v>14.0</c:v>
                </c:pt>
                <c:pt idx="8">
                  <c:v>16.0</c:v>
                </c:pt>
                <c:pt idx="9">
                  <c:v>18.0</c:v>
                </c:pt>
                <c:pt idx="10">
                  <c:v>20.0</c:v>
                </c:pt>
                <c:pt idx="11">
                  <c:v>22.0</c:v>
                </c:pt>
                <c:pt idx="12">
                  <c:v>24.0</c:v>
                </c:pt>
                <c:pt idx="13">
                  <c:v>26.0</c:v>
                </c:pt>
                <c:pt idx="14">
                  <c:v>28.0</c:v>
                </c:pt>
                <c:pt idx="15">
                  <c:v>30.0</c:v>
                </c:pt>
                <c:pt idx="16">
                  <c:v>32.0</c:v>
                </c:pt>
                <c:pt idx="17">
                  <c:v>34.0</c:v>
                </c:pt>
                <c:pt idx="18">
                  <c:v>36.0</c:v>
                </c:pt>
                <c:pt idx="19">
                  <c:v>38.0</c:v>
                </c:pt>
                <c:pt idx="20">
                  <c:v>40.0</c:v>
                </c:pt>
                <c:pt idx="21">
                  <c:v>50.0</c:v>
                </c:pt>
                <c:pt idx="22">
                  <c:v>60.0</c:v>
                </c:pt>
                <c:pt idx="23">
                  <c:v>70.0</c:v>
                </c:pt>
                <c:pt idx="24">
                  <c:v>80.0</c:v>
                </c:pt>
                <c:pt idx="25">
                  <c:v>90.0</c:v>
                </c:pt>
                <c:pt idx="26">
                  <c:v>100.0</c:v>
                </c:pt>
                <c:pt idx="27">
                  <c:v>110.0</c:v>
                </c:pt>
                <c:pt idx="28">
                  <c:v>120.0</c:v>
                </c:pt>
                <c:pt idx="29">
                  <c:v>130.0</c:v>
                </c:pt>
                <c:pt idx="30">
                  <c:v>140.0</c:v>
                </c:pt>
                <c:pt idx="31">
                  <c:v>150.0</c:v>
                </c:pt>
                <c:pt idx="32">
                  <c:v>160.0</c:v>
                </c:pt>
                <c:pt idx="33">
                  <c:v>170.0</c:v>
                </c:pt>
                <c:pt idx="34">
                  <c:v>180.0</c:v>
                </c:pt>
                <c:pt idx="35">
                  <c:v>190.0</c:v>
                </c:pt>
                <c:pt idx="36">
                  <c:v>200.0</c:v>
                </c:pt>
                <c:pt idx="37">
                  <c:v>210.0</c:v>
                </c:pt>
                <c:pt idx="38">
                  <c:v>220.0</c:v>
                </c:pt>
                <c:pt idx="39">
                  <c:v>230.0</c:v>
                </c:pt>
                <c:pt idx="40">
                  <c:v>240.0</c:v>
                </c:pt>
                <c:pt idx="41">
                  <c:v>250.0</c:v>
                </c:pt>
                <c:pt idx="42">
                  <c:v>260.0</c:v>
                </c:pt>
                <c:pt idx="43">
                  <c:v>270.0</c:v>
                </c:pt>
                <c:pt idx="44">
                  <c:v>280.0</c:v>
                </c:pt>
                <c:pt idx="45">
                  <c:v>290.0</c:v>
                </c:pt>
                <c:pt idx="46">
                  <c:v>300.0</c:v>
                </c:pt>
              </c:numCache>
            </c:numRef>
          </c:xVal>
          <c:yVal>
            <c:numRef>
              <c:f>Saffir!$N$19:$BH$19</c:f>
              <c:numCache>
                <c:formatCode>0.0</c:formatCode>
                <c:ptCount val="47"/>
                <c:pt idx="0">
                  <c:v>12.93283333333335</c:v>
                </c:pt>
                <c:pt idx="1">
                  <c:v>13.16978884026258</c:v>
                </c:pt>
                <c:pt idx="2">
                  <c:v>13.40674434719183</c:v>
                </c:pt>
                <c:pt idx="3">
                  <c:v>13.64369985412108</c:v>
                </c:pt>
                <c:pt idx="4">
                  <c:v>13.88065536105033</c:v>
                </c:pt>
                <c:pt idx="5">
                  <c:v>14.11761086797957</c:v>
                </c:pt>
                <c:pt idx="6">
                  <c:v>14.35456637490891</c:v>
                </c:pt>
                <c:pt idx="7">
                  <c:v>14.59152188183807</c:v>
                </c:pt>
                <c:pt idx="8">
                  <c:v>14.82847738876732</c:v>
                </c:pt>
                <c:pt idx="9">
                  <c:v>15.06543289569666</c:v>
                </c:pt>
                <c:pt idx="10">
                  <c:v>15.30238840262582</c:v>
                </c:pt>
                <c:pt idx="11">
                  <c:v>15.19876176532463</c:v>
                </c:pt>
                <c:pt idx="12">
                  <c:v>14.88598268666902</c:v>
                </c:pt>
                <c:pt idx="13">
                  <c:v>14.57964036605677</c:v>
                </c:pt>
                <c:pt idx="14">
                  <c:v>14.27960233985185</c:v>
                </c:pt>
                <c:pt idx="15">
                  <c:v>13.98573887041987</c:v>
                </c:pt>
                <c:pt idx="16">
                  <c:v>13.6979228900293</c:v>
                </c:pt>
                <c:pt idx="17">
                  <c:v>13.41602994590702</c:v>
                </c:pt>
                <c:pt idx="18">
                  <c:v>13.13993814642426</c:v>
                </c:pt>
                <c:pt idx="19">
                  <c:v>12.86952810839023</c:v>
                </c:pt>
                <c:pt idx="20">
                  <c:v>12.60468290543036</c:v>
                </c:pt>
                <c:pt idx="21">
                  <c:v>11.3600026869141</c:v>
                </c:pt>
                <c:pt idx="22">
                  <c:v>10.2382314584921</c:v>
                </c:pt>
                <c:pt idx="23">
                  <c:v>9.227232271556168</c:v>
                </c:pt>
                <c:pt idx="24">
                  <c:v>8.316066670150002</c:v>
                </c:pt>
                <c:pt idx="25">
                  <c:v>7.49487634288369</c:v>
                </c:pt>
                <c:pt idx="26">
                  <c:v>6.754776461418697</c:v>
                </c:pt>
                <c:pt idx="27">
                  <c:v>6.087759551504608</c:v>
                </c:pt>
                <c:pt idx="28">
                  <c:v>5.48660885650563</c:v>
                </c:pt>
                <c:pt idx="29">
                  <c:v>4.944820256057215</c:v>
                </c:pt>
                <c:pt idx="30">
                  <c:v>4.456531895056007</c:v>
                </c:pt>
                <c:pt idx="31">
                  <c:v>4.016460761606608</c:v>
                </c:pt>
                <c:pt idx="32">
                  <c:v>3.619845527734682</c:v>
                </c:pt>
                <c:pt idx="33">
                  <c:v>3.262395034433127</c:v>
                </c:pt>
                <c:pt idx="34">
                  <c:v>2.940241863678218</c:v>
                </c:pt>
                <c:pt idx="35">
                  <c:v>2.649900495090754</c:v>
                </c:pt>
                <c:pt idx="36">
                  <c:v>2.388229594519747</c:v>
                </c:pt>
                <c:pt idx="37">
                  <c:v>2.152398026532173</c:v>
                </c:pt>
                <c:pt idx="38">
                  <c:v>1.939854223082434</c:v>
                </c:pt>
                <c:pt idx="39">
                  <c:v>1.748298576947481</c:v>
                </c:pt>
                <c:pt idx="40">
                  <c:v>1.575658561239576</c:v>
                </c:pt>
                <c:pt idx="41">
                  <c:v>1.42006630580364</c:v>
                </c:pt>
                <c:pt idx="42">
                  <c:v>1.279838387888003</c:v>
                </c:pt>
                <c:pt idx="43">
                  <c:v>1.153457618434803</c:v>
                </c:pt>
                <c:pt idx="44">
                  <c:v>1.039556626927578</c:v>
                </c:pt>
                <c:pt idx="45">
                  <c:v>0.9369030671933</c:v>
                </c:pt>
                <c:pt idx="46">
                  <c:v>0.844386284093558</c:v>
                </c:pt>
              </c:numCache>
            </c:numRef>
          </c:yVal>
          <c:smooth val="0"/>
        </c:ser>
        <c:ser>
          <c:idx val="13"/>
          <c:order val="3"/>
          <c:tx>
            <c:strRef>
              <c:f>Saffir!$M$8</c:f>
              <c:strCache>
                <c:ptCount val="1"/>
                <c:pt idx="0">
                  <c:v>Cat. 2</c:v>
                </c:pt>
              </c:strCache>
            </c:strRef>
          </c:tx>
          <c:spPr>
            <a:ln w="28575">
              <a:solidFill>
                <a:srgbClr val="DAA600"/>
              </a:solidFill>
            </a:ln>
          </c:spPr>
          <c:marker>
            <c:symbol val="none"/>
          </c:marker>
          <c:xVal>
            <c:numRef>
              <c:f>Saffir!$N$4:$BH$4</c:f>
              <c:numCache>
                <c:formatCode>General</c:formatCode>
                <c:ptCount val="47"/>
                <c:pt idx="0">
                  <c:v>0.0</c:v>
                </c:pt>
                <c:pt idx="1">
                  <c:v>2.0</c:v>
                </c:pt>
                <c:pt idx="2">
                  <c:v>4.0</c:v>
                </c:pt>
                <c:pt idx="3">
                  <c:v>6.0</c:v>
                </c:pt>
                <c:pt idx="4">
                  <c:v>8.0</c:v>
                </c:pt>
                <c:pt idx="5">
                  <c:v>10.0</c:v>
                </c:pt>
                <c:pt idx="6">
                  <c:v>12.0</c:v>
                </c:pt>
                <c:pt idx="7">
                  <c:v>14.0</c:v>
                </c:pt>
                <c:pt idx="8">
                  <c:v>16.0</c:v>
                </c:pt>
                <c:pt idx="9">
                  <c:v>18.0</c:v>
                </c:pt>
                <c:pt idx="10">
                  <c:v>20.0</c:v>
                </c:pt>
                <c:pt idx="11">
                  <c:v>22.0</c:v>
                </c:pt>
                <c:pt idx="12">
                  <c:v>24.0</c:v>
                </c:pt>
                <c:pt idx="13">
                  <c:v>26.0</c:v>
                </c:pt>
                <c:pt idx="14">
                  <c:v>28.0</c:v>
                </c:pt>
                <c:pt idx="15">
                  <c:v>30.0</c:v>
                </c:pt>
                <c:pt idx="16">
                  <c:v>32.0</c:v>
                </c:pt>
                <c:pt idx="17">
                  <c:v>34.0</c:v>
                </c:pt>
                <c:pt idx="18">
                  <c:v>36.0</c:v>
                </c:pt>
                <c:pt idx="19">
                  <c:v>38.0</c:v>
                </c:pt>
                <c:pt idx="20">
                  <c:v>40.0</c:v>
                </c:pt>
                <c:pt idx="21">
                  <c:v>50.0</c:v>
                </c:pt>
                <c:pt idx="22">
                  <c:v>60.0</c:v>
                </c:pt>
                <c:pt idx="23">
                  <c:v>70.0</c:v>
                </c:pt>
                <c:pt idx="24">
                  <c:v>80.0</c:v>
                </c:pt>
                <c:pt idx="25">
                  <c:v>90.0</c:v>
                </c:pt>
                <c:pt idx="26">
                  <c:v>100.0</c:v>
                </c:pt>
                <c:pt idx="27">
                  <c:v>110.0</c:v>
                </c:pt>
                <c:pt idx="28">
                  <c:v>120.0</c:v>
                </c:pt>
                <c:pt idx="29">
                  <c:v>130.0</c:v>
                </c:pt>
                <c:pt idx="30">
                  <c:v>140.0</c:v>
                </c:pt>
                <c:pt idx="31">
                  <c:v>150.0</c:v>
                </c:pt>
                <c:pt idx="32">
                  <c:v>160.0</c:v>
                </c:pt>
                <c:pt idx="33">
                  <c:v>170.0</c:v>
                </c:pt>
                <c:pt idx="34">
                  <c:v>180.0</c:v>
                </c:pt>
                <c:pt idx="35">
                  <c:v>190.0</c:v>
                </c:pt>
                <c:pt idx="36">
                  <c:v>200.0</c:v>
                </c:pt>
                <c:pt idx="37">
                  <c:v>210.0</c:v>
                </c:pt>
                <c:pt idx="38">
                  <c:v>220.0</c:v>
                </c:pt>
                <c:pt idx="39">
                  <c:v>230.0</c:v>
                </c:pt>
                <c:pt idx="40">
                  <c:v>240.0</c:v>
                </c:pt>
                <c:pt idx="41">
                  <c:v>250.0</c:v>
                </c:pt>
                <c:pt idx="42">
                  <c:v>260.0</c:v>
                </c:pt>
                <c:pt idx="43">
                  <c:v>270.0</c:v>
                </c:pt>
                <c:pt idx="44">
                  <c:v>280.0</c:v>
                </c:pt>
                <c:pt idx="45">
                  <c:v>290.0</c:v>
                </c:pt>
                <c:pt idx="46">
                  <c:v>300.0</c:v>
                </c:pt>
              </c:numCache>
            </c:numRef>
          </c:xVal>
          <c:yVal>
            <c:numRef>
              <c:f>Saffir!$N$18:$BH$18</c:f>
              <c:numCache>
                <c:formatCode>0.0</c:formatCode>
                <c:ptCount val="47"/>
                <c:pt idx="0">
                  <c:v>10.77383333333333</c:v>
                </c:pt>
                <c:pt idx="1">
                  <c:v>10.91967668689097</c:v>
                </c:pt>
                <c:pt idx="2">
                  <c:v>11.06552004044866</c:v>
                </c:pt>
                <c:pt idx="3">
                  <c:v>11.21136339400625</c:v>
                </c:pt>
                <c:pt idx="4">
                  <c:v>11.35720674756393</c:v>
                </c:pt>
                <c:pt idx="5">
                  <c:v>11.50305010112153</c:v>
                </c:pt>
                <c:pt idx="6">
                  <c:v>11.64889345467911</c:v>
                </c:pt>
                <c:pt idx="7">
                  <c:v>11.79473680823681</c:v>
                </c:pt>
                <c:pt idx="8">
                  <c:v>11.94058016179445</c:v>
                </c:pt>
                <c:pt idx="9">
                  <c:v>12.0864235153521</c:v>
                </c:pt>
                <c:pt idx="10">
                  <c:v>12.23226686890973</c:v>
                </c:pt>
                <c:pt idx="11">
                  <c:v>12.37811022246737</c:v>
                </c:pt>
                <c:pt idx="12">
                  <c:v>12.52395357602501</c:v>
                </c:pt>
                <c:pt idx="13">
                  <c:v>12.6697969295827</c:v>
                </c:pt>
                <c:pt idx="14">
                  <c:v>12.7122482293166</c:v>
                </c:pt>
                <c:pt idx="15">
                  <c:v>12.47109186829507</c:v>
                </c:pt>
                <c:pt idx="16">
                  <c:v>12.23451033852385</c:v>
                </c:pt>
                <c:pt idx="17">
                  <c:v>12.00241685365043</c:v>
                </c:pt>
                <c:pt idx="18">
                  <c:v>11.77472627369342</c:v>
                </c:pt>
                <c:pt idx="19">
                  <c:v>11.55135507381077</c:v>
                </c:pt>
                <c:pt idx="20">
                  <c:v>11.3322213136594</c:v>
                </c:pt>
                <c:pt idx="21">
                  <c:v>10.29735337193952</c:v>
                </c:pt>
                <c:pt idx="22">
                  <c:v>9.35699043741628</c:v>
                </c:pt>
                <c:pt idx="23">
                  <c:v>8.50250223367911</c:v>
                </c:pt>
                <c:pt idx="24">
                  <c:v>7.726046608387847</c:v>
                </c:pt>
                <c:pt idx="25">
                  <c:v>7.020497561122379</c:v>
                </c:pt>
                <c:pt idx="26">
                  <c:v>6.3793798437892</c:v>
                </c:pt>
                <c:pt idx="27">
                  <c:v>5.796809533374113</c:v>
                </c:pt>
                <c:pt idx="28">
                  <c:v>5.267440031640685</c:v>
                </c:pt>
                <c:pt idx="29">
                  <c:v>4.786412996181533</c:v>
                </c:pt>
                <c:pt idx="30">
                  <c:v>4.349313752487016</c:v>
                </c:pt>
                <c:pt idx="31">
                  <c:v>3.95213077782126</c:v>
                </c:pt>
                <c:pt idx="32">
                  <c:v>3.591218885064478</c:v>
                </c:pt>
                <c:pt idx="33">
                  <c:v>3.263265768637766</c:v>
                </c:pt>
                <c:pt idx="34">
                  <c:v>2.965261605481815</c:v>
                </c:pt>
                <c:pt idx="35">
                  <c:v>2.6944714321001</c:v>
                </c:pt>
                <c:pt idx="36">
                  <c:v>2.448410044153216</c:v>
                </c:pt>
                <c:pt idx="37">
                  <c:v>2.22481918824354</c:v>
                </c:pt>
                <c:pt idx="38">
                  <c:v>2.021646836565119</c:v>
                </c:pt>
                <c:pt idx="39">
                  <c:v>1.837028354209969</c:v>
                </c:pt>
                <c:pt idx="40">
                  <c:v>1.669269386291589</c:v>
                </c:pt>
                <c:pt idx="41">
                  <c:v>1.516830307830839</c:v>
                </c:pt>
                <c:pt idx="42">
                  <c:v>1.378312093691217</c:v>
                </c:pt>
                <c:pt idx="43">
                  <c:v>1.252443478883407</c:v>
                </c:pt>
                <c:pt idx="44">
                  <c:v>1.138069291401717</c:v>
                </c:pt>
                <c:pt idx="45">
                  <c:v>1.034139850515505</c:v>
                </c:pt>
                <c:pt idx="46">
                  <c:v>0.939701333217625</c:v>
                </c:pt>
              </c:numCache>
            </c:numRef>
          </c:yVal>
          <c:smooth val="0"/>
        </c:ser>
        <c:ser>
          <c:idx val="9"/>
          <c:order val="4"/>
          <c:tx>
            <c:strRef>
              <c:f>Saffir!$M$7</c:f>
              <c:strCache>
                <c:ptCount val="1"/>
                <c:pt idx="0">
                  <c:v>Cat. 1</c:v>
                </c:pt>
              </c:strCache>
            </c:strRef>
          </c:tx>
          <c:spPr>
            <a:ln w="28575">
              <a:solidFill>
                <a:srgbClr val="FFC000"/>
              </a:solidFill>
            </a:ln>
          </c:spPr>
          <c:marker>
            <c:symbol val="none"/>
          </c:marker>
          <c:xVal>
            <c:numRef>
              <c:f>Saffir!$N$4:$BH$4</c:f>
              <c:numCache>
                <c:formatCode>General</c:formatCode>
                <c:ptCount val="47"/>
                <c:pt idx="0">
                  <c:v>0.0</c:v>
                </c:pt>
                <c:pt idx="1">
                  <c:v>2.0</c:v>
                </c:pt>
                <c:pt idx="2">
                  <c:v>4.0</c:v>
                </c:pt>
                <c:pt idx="3">
                  <c:v>6.0</c:v>
                </c:pt>
                <c:pt idx="4">
                  <c:v>8.0</c:v>
                </c:pt>
                <c:pt idx="5">
                  <c:v>10.0</c:v>
                </c:pt>
                <c:pt idx="6">
                  <c:v>12.0</c:v>
                </c:pt>
                <c:pt idx="7">
                  <c:v>14.0</c:v>
                </c:pt>
                <c:pt idx="8">
                  <c:v>16.0</c:v>
                </c:pt>
                <c:pt idx="9">
                  <c:v>18.0</c:v>
                </c:pt>
                <c:pt idx="10">
                  <c:v>20.0</c:v>
                </c:pt>
                <c:pt idx="11">
                  <c:v>22.0</c:v>
                </c:pt>
                <c:pt idx="12">
                  <c:v>24.0</c:v>
                </c:pt>
                <c:pt idx="13">
                  <c:v>26.0</c:v>
                </c:pt>
                <c:pt idx="14">
                  <c:v>28.0</c:v>
                </c:pt>
                <c:pt idx="15">
                  <c:v>30.0</c:v>
                </c:pt>
                <c:pt idx="16">
                  <c:v>32.0</c:v>
                </c:pt>
                <c:pt idx="17">
                  <c:v>34.0</c:v>
                </c:pt>
                <c:pt idx="18">
                  <c:v>36.0</c:v>
                </c:pt>
                <c:pt idx="19">
                  <c:v>38.0</c:v>
                </c:pt>
                <c:pt idx="20">
                  <c:v>40.0</c:v>
                </c:pt>
                <c:pt idx="21">
                  <c:v>50.0</c:v>
                </c:pt>
                <c:pt idx="22">
                  <c:v>60.0</c:v>
                </c:pt>
                <c:pt idx="23">
                  <c:v>70.0</c:v>
                </c:pt>
                <c:pt idx="24">
                  <c:v>80.0</c:v>
                </c:pt>
                <c:pt idx="25">
                  <c:v>90.0</c:v>
                </c:pt>
                <c:pt idx="26">
                  <c:v>100.0</c:v>
                </c:pt>
                <c:pt idx="27">
                  <c:v>110.0</c:v>
                </c:pt>
                <c:pt idx="28">
                  <c:v>120.0</c:v>
                </c:pt>
                <c:pt idx="29">
                  <c:v>130.0</c:v>
                </c:pt>
                <c:pt idx="30">
                  <c:v>140.0</c:v>
                </c:pt>
                <c:pt idx="31">
                  <c:v>150.0</c:v>
                </c:pt>
                <c:pt idx="32">
                  <c:v>160.0</c:v>
                </c:pt>
                <c:pt idx="33">
                  <c:v>170.0</c:v>
                </c:pt>
                <c:pt idx="34">
                  <c:v>180.0</c:v>
                </c:pt>
                <c:pt idx="35">
                  <c:v>190.0</c:v>
                </c:pt>
                <c:pt idx="36">
                  <c:v>200.0</c:v>
                </c:pt>
                <c:pt idx="37">
                  <c:v>210.0</c:v>
                </c:pt>
                <c:pt idx="38">
                  <c:v>220.0</c:v>
                </c:pt>
                <c:pt idx="39">
                  <c:v>230.0</c:v>
                </c:pt>
                <c:pt idx="40">
                  <c:v>240.0</c:v>
                </c:pt>
                <c:pt idx="41">
                  <c:v>250.0</c:v>
                </c:pt>
                <c:pt idx="42">
                  <c:v>260.0</c:v>
                </c:pt>
                <c:pt idx="43">
                  <c:v>270.0</c:v>
                </c:pt>
                <c:pt idx="44">
                  <c:v>280.0</c:v>
                </c:pt>
                <c:pt idx="45">
                  <c:v>290.0</c:v>
                </c:pt>
                <c:pt idx="46">
                  <c:v>300.0</c:v>
                </c:pt>
              </c:numCache>
            </c:numRef>
          </c:xVal>
          <c:yVal>
            <c:numRef>
              <c:f>Saffir!$N$17:$BH$17</c:f>
              <c:numCache>
                <c:formatCode>0.0</c:formatCode>
                <c:ptCount val="47"/>
                <c:pt idx="0">
                  <c:v>9.122833333333334</c:v>
                </c:pt>
                <c:pt idx="1">
                  <c:v>9.224268014876733</c:v>
                </c:pt>
                <c:pt idx="2">
                  <c:v>9.32570269642033</c:v>
                </c:pt>
                <c:pt idx="3">
                  <c:v>9.427137377963752</c:v>
                </c:pt>
                <c:pt idx="4">
                  <c:v>9.528572059507206</c:v>
                </c:pt>
                <c:pt idx="5">
                  <c:v>9.63000674105065</c:v>
                </c:pt>
                <c:pt idx="6">
                  <c:v>9.731441422594063</c:v>
                </c:pt>
                <c:pt idx="7">
                  <c:v>9.83287610413761</c:v>
                </c:pt>
                <c:pt idx="8">
                  <c:v>9.93431078568101</c:v>
                </c:pt>
                <c:pt idx="9">
                  <c:v>10.03574546722455</c:v>
                </c:pt>
                <c:pt idx="10">
                  <c:v>10.13718014876802</c:v>
                </c:pt>
                <c:pt idx="11">
                  <c:v>10.23861483031147</c:v>
                </c:pt>
                <c:pt idx="12">
                  <c:v>10.340049511855</c:v>
                </c:pt>
                <c:pt idx="13">
                  <c:v>10.44148419339842</c:v>
                </c:pt>
                <c:pt idx="14">
                  <c:v>10.54291887494188</c:v>
                </c:pt>
                <c:pt idx="15">
                  <c:v>10.64435355648535</c:v>
                </c:pt>
                <c:pt idx="16">
                  <c:v>10.74578823802882</c:v>
                </c:pt>
                <c:pt idx="17">
                  <c:v>10.63949650894656</c:v>
                </c:pt>
                <c:pt idx="18">
                  <c:v>10.44904686158587</c:v>
                </c:pt>
                <c:pt idx="19">
                  <c:v>10.26200631052503</c:v>
                </c:pt>
                <c:pt idx="20">
                  <c:v>10.07831383208778</c:v>
                </c:pt>
                <c:pt idx="21">
                  <c:v>9.208012079104595</c:v>
                </c:pt>
                <c:pt idx="22">
                  <c:v>8.412864280827024</c:v>
                </c:pt>
                <c:pt idx="23">
                  <c:v>7.686380599806668</c:v>
                </c:pt>
                <c:pt idx="24">
                  <c:v>7.02263162140023</c:v>
                </c:pt>
                <c:pt idx="25">
                  <c:v>6.416199959071887</c:v>
                </c:pt>
                <c:pt idx="26">
                  <c:v>5.862136038766811</c:v>
                </c:pt>
                <c:pt idx="27">
                  <c:v>5.355917701476978</c:v>
                </c:pt>
                <c:pt idx="28">
                  <c:v>4.89341329428259</c:v>
                </c:pt>
                <c:pt idx="29">
                  <c:v>4.47084794862664</c:v>
                </c:pt>
                <c:pt idx="30">
                  <c:v>4.084772770592116</c:v>
                </c:pt>
                <c:pt idx="31">
                  <c:v>3.732036691718902</c:v>
                </c:pt>
                <c:pt idx="32">
                  <c:v>3.409760750612631</c:v>
                </c:pt>
                <c:pt idx="33">
                  <c:v>3.11531459543701</c:v>
                </c:pt>
                <c:pt idx="34">
                  <c:v>2.846295015507798</c:v>
                </c:pt>
                <c:pt idx="35">
                  <c:v>2.60050632676735</c:v>
                </c:pt>
                <c:pt idx="36">
                  <c:v>2.375942451049977</c:v>
                </c:pt>
                <c:pt idx="37">
                  <c:v>2.170770542873008</c:v>
                </c:pt>
                <c:pt idx="38">
                  <c:v>1.983316030117932</c:v>
                </c:pt>
                <c:pt idx="39">
                  <c:v>1.81204894650761</c:v>
                </c:pt>
                <c:pt idx="40">
                  <c:v>1.655571444327043</c:v>
                </c:pt>
                <c:pt idx="41">
                  <c:v>1.512606385469746</c:v>
                </c:pt>
                <c:pt idx="42">
                  <c:v>1.381986917691655</c:v>
                </c:pt>
                <c:pt idx="43">
                  <c:v>1.262646950996282</c:v>
                </c:pt>
                <c:pt idx="44">
                  <c:v>1.15361245642118</c:v>
                </c:pt>
                <c:pt idx="45">
                  <c:v>1.053993516208176</c:v>
                </c:pt>
                <c:pt idx="46">
                  <c:v>0.962977060472463</c:v>
                </c:pt>
              </c:numCache>
            </c:numRef>
          </c:yVal>
          <c:smooth val="0"/>
        </c:ser>
        <c:ser>
          <c:idx val="5"/>
          <c:order val="5"/>
          <c:tx>
            <c:strRef>
              <c:f>Saffir!$M$6</c:f>
              <c:strCache>
                <c:ptCount val="1"/>
                <c:pt idx="0">
                  <c:v>Trop. Storm</c:v>
                </c:pt>
              </c:strCache>
            </c:strRef>
          </c:tx>
          <c:spPr>
            <a:ln w="28575">
              <a:solidFill>
                <a:srgbClr val="70AC2E"/>
              </a:solidFill>
            </a:ln>
          </c:spPr>
          <c:marker>
            <c:symbol val="none"/>
          </c:marker>
          <c:xVal>
            <c:numRef>
              <c:f>Saffir!$N$4:$BH$4</c:f>
              <c:numCache>
                <c:formatCode>General</c:formatCode>
                <c:ptCount val="47"/>
                <c:pt idx="0">
                  <c:v>0.0</c:v>
                </c:pt>
                <c:pt idx="1">
                  <c:v>2.0</c:v>
                </c:pt>
                <c:pt idx="2">
                  <c:v>4.0</c:v>
                </c:pt>
                <c:pt idx="3">
                  <c:v>6.0</c:v>
                </c:pt>
                <c:pt idx="4">
                  <c:v>8.0</c:v>
                </c:pt>
                <c:pt idx="5">
                  <c:v>10.0</c:v>
                </c:pt>
                <c:pt idx="6">
                  <c:v>12.0</c:v>
                </c:pt>
                <c:pt idx="7">
                  <c:v>14.0</c:v>
                </c:pt>
                <c:pt idx="8">
                  <c:v>16.0</c:v>
                </c:pt>
                <c:pt idx="9">
                  <c:v>18.0</c:v>
                </c:pt>
                <c:pt idx="10">
                  <c:v>20.0</c:v>
                </c:pt>
                <c:pt idx="11">
                  <c:v>22.0</c:v>
                </c:pt>
                <c:pt idx="12">
                  <c:v>24.0</c:v>
                </c:pt>
                <c:pt idx="13">
                  <c:v>26.0</c:v>
                </c:pt>
                <c:pt idx="14">
                  <c:v>28.0</c:v>
                </c:pt>
                <c:pt idx="15">
                  <c:v>30.0</c:v>
                </c:pt>
                <c:pt idx="16">
                  <c:v>32.0</c:v>
                </c:pt>
                <c:pt idx="17">
                  <c:v>34.0</c:v>
                </c:pt>
                <c:pt idx="18">
                  <c:v>36.0</c:v>
                </c:pt>
                <c:pt idx="19">
                  <c:v>38.0</c:v>
                </c:pt>
                <c:pt idx="20">
                  <c:v>40.0</c:v>
                </c:pt>
                <c:pt idx="21">
                  <c:v>50.0</c:v>
                </c:pt>
                <c:pt idx="22">
                  <c:v>60.0</c:v>
                </c:pt>
                <c:pt idx="23">
                  <c:v>70.0</c:v>
                </c:pt>
                <c:pt idx="24">
                  <c:v>80.0</c:v>
                </c:pt>
                <c:pt idx="25">
                  <c:v>90.0</c:v>
                </c:pt>
                <c:pt idx="26">
                  <c:v>100.0</c:v>
                </c:pt>
                <c:pt idx="27">
                  <c:v>110.0</c:v>
                </c:pt>
                <c:pt idx="28">
                  <c:v>120.0</c:v>
                </c:pt>
                <c:pt idx="29">
                  <c:v>130.0</c:v>
                </c:pt>
                <c:pt idx="30">
                  <c:v>140.0</c:v>
                </c:pt>
                <c:pt idx="31">
                  <c:v>150.0</c:v>
                </c:pt>
                <c:pt idx="32">
                  <c:v>160.0</c:v>
                </c:pt>
                <c:pt idx="33">
                  <c:v>170.0</c:v>
                </c:pt>
                <c:pt idx="34">
                  <c:v>180.0</c:v>
                </c:pt>
                <c:pt idx="35">
                  <c:v>190.0</c:v>
                </c:pt>
                <c:pt idx="36">
                  <c:v>200.0</c:v>
                </c:pt>
                <c:pt idx="37">
                  <c:v>210.0</c:v>
                </c:pt>
                <c:pt idx="38">
                  <c:v>220.0</c:v>
                </c:pt>
                <c:pt idx="39">
                  <c:v>230.0</c:v>
                </c:pt>
                <c:pt idx="40">
                  <c:v>240.0</c:v>
                </c:pt>
                <c:pt idx="41">
                  <c:v>250.0</c:v>
                </c:pt>
                <c:pt idx="42">
                  <c:v>260.0</c:v>
                </c:pt>
                <c:pt idx="43">
                  <c:v>270.0</c:v>
                </c:pt>
                <c:pt idx="44">
                  <c:v>280.0</c:v>
                </c:pt>
                <c:pt idx="45">
                  <c:v>290.0</c:v>
                </c:pt>
                <c:pt idx="46">
                  <c:v>300.0</c:v>
                </c:pt>
              </c:numCache>
            </c:numRef>
          </c:xVal>
          <c:yVal>
            <c:numRef>
              <c:f>Saffir!$N$16:$BH$16</c:f>
              <c:numCache>
                <c:formatCode>0.0</c:formatCode>
                <c:ptCount val="47"/>
                <c:pt idx="0">
                  <c:v>6.709833333333357</c:v>
                </c:pt>
                <c:pt idx="1">
                  <c:v>6.766779269061122</c:v>
                </c:pt>
                <c:pt idx="2">
                  <c:v>6.823725204788898</c:v>
                </c:pt>
                <c:pt idx="3">
                  <c:v>6.880671140516697</c:v>
                </c:pt>
                <c:pt idx="4">
                  <c:v>6.937617076244486</c:v>
                </c:pt>
                <c:pt idx="5">
                  <c:v>6.99456301197228</c:v>
                </c:pt>
                <c:pt idx="6">
                  <c:v>7.051508947700062</c:v>
                </c:pt>
                <c:pt idx="7">
                  <c:v>7.108454883427846</c:v>
                </c:pt>
                <c:pt idx="8">
                  <c:v>7.165400819155604</c:v>
                </c:pt>
                <c:pt idx="9">
                  <c:v>7.22234675488343</c:v>
                </c:pt>
                <c:pt idx="10">
                  <c:v>7.27929269061126</c:v>
                </c:pt>
                <c:pt idx="11">
                  <c:v>7.336238626339004</c:v>
                </c:pt>
                <c:pt idx="12">
                  <c:v>7.393184562066732</c:v>
                </c:pt>
                <c:pt idx="13">
                  <c:v>7.45013049779458</c:v>
                </c:pt>
                <c:pt idx="14">
                  <c:v>7.507076433522371</c:v>
                </c:pt>
                <c:pt idx="15">
                  <c:v>7.564022369250148</c:v>
                </c:pt>
                <c:pt idx="16">
                  <c:v>7.620968304977945</c:v>
                </c:pt>
                <c:pt idx="17">
                  <c:v>7.677914240705669</c:v>
                </c:pt>
                <c:pt idx="18">
                  <c:v>7.734860176433521</c:v>
                </c:pt>
                <c:pt idx="19">
                  <c:v>7.791806112161313</c:v>
                </c:pt>
                <c:pt idx="20">
                  <c:v>7.848752047889095</c:v>
                </c:pt>
                <c:pt idx="21">
                  <c:v>7.227444550361597</c:v>
                </c:pt>
                <c:pt idx="22">
                  <c:v>6.64928999102489</c:v>
                </c:pt>
                <c:pt idx="23">
                  <c:v>6.117384516292249</c:v>
                </c:pt>
                <c:pt idx="24">
                  <c:v>5.628028461788435</c:v>
                </c:pt>
                <c:pt idx="25">
                  <c:v>5.177818115297823</c:v>
                </c:pt>
                <c:pt idx="26">
                  <c:v>4.763622042271416</c:v>
                </c:pt>
                <c:pt idx="27">
                  <c:v>4.382559305157988</c:v>
                </c:pt>
                <c:pt idx="28">
                  <c:v>4.03197942506552</c:v>
                </c:pt>
                <c:pt idx="29">
                  <c:v>3.709443946375889</c:v>
                </c:pt>
                <c:pt idx="30">
                  <c:v>3.412709476085958</c:v>
                </c:pt>
                <c:pt idx="31">
                  <c:v>3.139712079905027</c:v>
                </c:pt>
                <c:pt idx="32">
                  <c:v>2.888552926575937</c:v>
                </c:pt>
                <c:pt idx="33">
                  <c:v>2.657485080569168</c:v>
                </c:pt>
                <c:pt idx="34">
                  <c:v>2.444901351286393</c:v>
                </c:pt>
                <c:pt idx="35">
                  <c:v>2.249323114258728</c:v>
                </c:pt>
                <c:pt idx="36">
                  <c:v>2.06939002658598</c:v>
                </c:pt>
                <c:pt idx="37">
                  <c:v>1.903850565081996</c:v>
                </c:pt>
                <c:pt idx="38">
                  <c:v>1.751553321315118</c:v>
                </c:pt>
                <c:pt idx="39">
                  <c:v>1.611438992995698</c:v>
                </c:pt>
                <c:pt idx="40">
                  <c:v>1.482533016007348</c:v>
                </c:pt>
                <c:pt idx="41">
                  <c:v>1.363938785833831</c:v>
                </c:pt>
                <c:pt idx="42">
                  <c:v>1.25483142123335</c:v>
                </c:pt>
                <c:pt idx="43">
                  <c:v>1.154452026783524</c:v>
                </c:pt>
                <c:pt idx="44">
                  <c:v>1.062102414390145</c:v>
                </c:pt>
                <c:pt idx="45">
                  <c:v>0.977140247045463</c:v>
                </c:pt>
                <c:pt idx="46">
                  <c:v>0.89897457105802</c:v>
                </c:pt>
              </c:numCache>
            </c:numRef>
          </c:yVal>
          <c:smooth val="0"/>
        </c:ser>
        <c:ser>
          <c:idx val="1"/>
          <c:order val="6"/>
          <c:tx>
            <c:strRef>
              <c:f>Saffir!$M$5</c:f>
              <c:strCache>
                <c:ptCount val="1"/>
                <c:pt idx="0">
                  <c:v>Trop. Depression</c:v>
                </c:pt>
              </c:strCache>
            </c:strRef>
          </c:tx>
          <c:spPr>
            <a:ln w="28575">
              <a:solidFill>
                <a:srgbClr val="0070C0"/>
              </a:solidFill>
            </a:ln>
          </c:spPr>
          <c:marker>
            <c:symbol val="none"/>
          </c:marker>
          <c:xVal>
            <c:numRef>
              <c:f>Saffir!$N$4:$BH$4</c:f>
              <c:numCache>
                <c:formatCode>General</c:formatCode>
                <c:ptCount val="47"/>
                <c:pt idx="0">
                  <c:v>0.0</c:v>
                </c:pt>
                <c:pt idx="1">
                  <c:v>2.0</c:v>
                </c:pt>
                <c:pt idx="2">
                  <c:v>4.0</c:v>
                </c:pt>
                <c:pt idx="3">
                  <c:v>6.0</c:v>
                </c:pt>
                <c:pt idx="4">
                  <c:v>8.0</c:v>
                </c:pt>
                <c:pt idx="5">
                  <c:v>10.0</c:v>
                </c:pt>
                <c:pt idx="6">
                  <c:v>12.0</c:v>
                </c:pt>
                <c:pt idx="7">
                  <c:v>14.0</c:v>
                </c:pt>
                <c:pt idx="8">
                  <c:v>16.0</c:v>
                </c:pt>
                <c:pt idx="9">
                  <c:v>18.0</c:v>
                </c:pt>
                <c:pt idx="10">
                  <c:v>20.0</c:v>
                </c:pt>
                <c:pt idx="11">
                  <c:v>22.0</c:v>
                </c:pt>
                <c:pt idx="12">
                  <c:v>24.0</c:v>
                </c:pt>
                <c:pt idx="13">
                  <c:v>26.0</c:v>
                </c:pt>
                <c:pt idx="14">
                  <c:v>28.0</c:v>
                </c:pt>
                <c:pt idx="15">
                  <c:v>30.0</c:v>
                </c:pt>
                <c:pt idx="16">
                  <c:v>32.0</c:v>
                </c:pt>
                <c:pt idx="17">
                  <c:v>34.0</c:v>
                </c:pt>
                <c:pt idx="18">
                  <c:v>36.0</c:v>
                </c:pt>
                <c:pt idx="19">
                  <c:v>38.0</c:v>
                </c:pt>
                <c:pt idx="20">
                  <c:v>40.0</c:v>
                </c:pt>
                <c:pt idx="21">
                  <c:v>50.0</c:v>
                </c:pt>
                <c:pt idx="22">
                  <c:v>60.0</c:v>
                </c:pt>
                <c:pt idx="23">
                  <c:v>70.0</c:v>
                </c:pt>
                <c:pt idx="24">
                  <c:v>80.0</c:v>
                </c:pt>
                <c:pt idx="25">
                  <c:v>90.0</c:v>
                </c:pt>
                <c:pt idx="26">
                  <c:v>100.0</c:v>
                </c:pt>
                <c:pt idx="27">
                  <c:v>110.0</c:v>
                </c:pt>
                <c:pt idx="28">
                  <c:v>120.0</c:v>
                </c:pt>
                <c:pt idx="29">
                  <c:v>130.0</c:v>
                </c:pt>
                <c:pt idx="30">
                  <c:v>140.0</c:v>
                </c:pt>
                <c:pt idx="31">
                  <c:v>150.0</c:v>
                </c:pt>
                <c:pt idx="32">
                  <c:v>160.0</c:v>
                </c:pt>
                <c:pt idx="33">
                  <c:v>170.0</c:v>
                </c:pt>
                <c:pt idx="34">
                  <c:v>180.0</c:v>
                </c:pt>
                <c:pt idx="35">
                  <c:v>190.0</c:v>
                </c:pt>
                <c:pt idx="36">
                  <c:v>200.0</c:v>
                </c:pt>
                <c:pt idx="37">
                  <c:v>210.0</c:v>
                </c:pt>
                <c:pt idx="38">
                  <c:v>220.0</c:v>
                </c:pt>
                <c:pt idx="39">
                  <c:v>230.0</c:v>
                </c:pt>
                <c:pt idx="40">
                  <c:v>240.0</c:v>
                </c:pt>
                <c:pt idx="41">
                  <c:v>250.0</c:v>
                </c:pt>
                <c:pt idx="42">
                  <c:v>260.0</c:v>
                </c:pt>
                <c:pt idx="43">
                  <c:v>270.0</c:v>
                </c:pt>
                <c:pt idx="44">
                  <c:v>280.0</c:v>
                </c:pt>
                <c:pt idx="45">
                  <c:v>290.0</c:v>
                </c:pt>
                <c:pt idx="46">
                  <c:v>300.0</c:v>
                </c:pt>
              </c:numCache>
            </c:numRef>
          </c:xVal>
          <c:yVal>
            <c:numRef>
              <c:f>Saffir!$N$15:$BH$15</c:f>
              <c:numCache>
                <c:formatCode>0.0</c:formatCode>
                <c:ptCount val="47"/>
                <c:pt idx="0">
                  <c:v>2.899833333333317</c:v>
                </c:pt>
                <c:pt idx="1">
                  <c:v>2.912663114355204</c:v>
                </c:pt>
                <c:pt idx="2">
                  <c:v>2.925492895377128</c:v>
                </c:pt>
                <c:pt idx="3">
                  <c:v>2.938322676399026</c:v>
                </c:pt>
                <c:pt idx="4">
                  <c:v>2.951152457420924</c:v>
                </c:pt>
                <c:pt idx="5">
                  <c:v>2.963982238442825</c:v>
                </c:pt>
                <c:pt idx="6">
                  <c:v>2.976812019464694</c:v>
                </c:pt>
                <c:pt idx="7">
                  <c:v>2.989641800486618</c:v>
                </c:pt>
                <c:pt idx="8">
                  <c:v>3.002471581508515</c:v>
                </c:pt>
                <c:pt idx="9">
                  <c:v>3.015301362530421</c:v>
                </c:pt>
                <c:pt idx="10">
                  <c:v>3.028131143552331</c:v>
                </c:pt>
                <c:pt idx="11">
                  <c:v>3.040960924574199</c:v>
                </c:pt>
                <c:pt idx="12">
                  <c:v>3.05379070559612</c:v>
                </c:pt>
                <c:pt idx="13">
                  <c:v>3.066620486618003</c:v>
                </c:pt>
                <c:pt idx="14">
                  <c:v>3.079450267639903</c:v>
                </c:pt>
                <c:pt idx="15">
                  <c:v>3.0922800486618</c:v>
                </c:pt>
                <c:pt idx="16">
                  <c:v>3.105109829683698</c:v>
                </c:pt>
                <c:pt idx="17">
                  <c:v>3.1179396107056</c:v>
                </c:pt>
                <c:pt idx="18">
                  <c:v>3.130769391727495</c:v>
                </c:pt>
                <c:pt idx="19">
                  <c:v>3.143599172749406</c:v>
                </c:pt>
                <c:pt idx="20">
                  <c:v>3.156428953771277</c:v>
                </c:pt>
                <c:pt idx="21">
                  <c:v>3.220577858880798</c:v>
                </c:pt>
                <c:pt idx="22">
                  <c:v>3.04363108725824</c:v>
                </c:pt>
                <c:pt idx="23">
                  <c:v>2.825522831034377</c:v>
                </c:pt>
                <c:pt idx="24">
                  <c:v>2.62304433087135</c:v>
                </c:pt>
                <c:pt idx="25">
                  <c:v>2.435075549963793</c:v>
                </c:pt>
                <c:pt idx="26">
                  <c:v>2.260576713951995</c:v>
                </c:pt>
                <c:pt idx="27">
                  <c:v>2.098582559271271</c:v>
                </c:pt>
                <c:pt idx="28">
                  <c:v>1.948196993668186</c:v>
                </c:pt>
                <c:pt idx="29">
                  <c:v>1.808588139346656</c:v>
                </c:pt>
                <c:pt idx="30">
                  <c:v>1.678983731325112</c:v>
                </c:pt>
                <c:pt idx="31">
                  <c:v>1.558666845549892</c:v>
                </c:pt>
                <c:pt idx="32">
                  <c:v>1.446971933134251</c:v>
                </c:pt>
                <c:pt idx="33">
                  <c:v>1.343281138786024</c:v>
                </c:pt>
                <c:pt idx="34">
                  <c:v>1.247020883058725</c:v>
                </c:pt>
                <c:pt idx="35">
                  <c:v>1.157658689520451</c:v>
                </c:pt>
                <c:pt idx="36">
                  <c:v>1.074700239289494</c:v>
                </c:pt>
                <c:pt idx="37">
                  <c:v>0.997686636643603</c:v>
                </c:pt>
                <c:pt idx="38">
                  <c:v>0.926191870577127</c:v>
                </c:pt>
                <c:pt idx="39">
                  <c:v>0.859820458264388</c:v>
                </c:pt>
                <c:pt idx="40">
                  <c:v>0.798205257393712</c:v>
                </c:pt>
                <c:pt idx="41">
                  <c:v>0.741005435270825</c:v>
                </c:pt>
                <c:pt idx="42">
                  <c:v>0.687904583457367</c:v>
                </c:pt>
                <c:pt idx="43">
                  <c:v>0.63860896751548</c:v>
                </c:pt>
                <c:pt idx="44">
                  <c:v>0.592845902176574</c:v>
                </c:pt>
                <c:pt idx="45">
                  <c:v>0.550362242946478</c:v>
                </c:pt>
                <c:pt idx="46">
                  <c:v>0.510922985802913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2054237576"/>
        <c:axId val="-2055043224"/>
      </c:scatterChart>
      <c:valAx>
        <c:axId val="-2054237576"/>
        <c:scaling>
          <c:orientation val="minMax"/>
          <c:max val="310.0"/>
          <c:min val="0.0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Radius r (km)</a:t>
                </a:r>
              </a:p>
            </c:rich>
          </c:tx>
          <c:layout>
            <c:manualLayout>
              <c:xMode val="edge"/>
              <c:yMode val="edge"/>
              <c:x val="0.449064602809121"/>
              <c:y val="0.903230547465881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-2055043224"/>
        <c:crosses val="autoZero"/>
        <c:crossBetween val="midCat"/>
      </c:valAx>
      <c:valAx>
        <c:axId val="-2055043224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Tropical Rainfall Rate TRR</a:t>
                </a:r>
              </a:p>
              <a:p>
                <a:pPr>
                  <a:defRPr/>
                </a:pPr>
                <a:r>
                  <a:rPr lang="en-US"/>
                  <a:t> (mm h-1)</a:t>
                </a:r>
              </a:p>
            </c:rich>
          </c:tx>
          <c:layout>
            <c:manualLayout>
              <c:xMode val="edge"/>
              <c:yMode val="edge"/>
              <c:x val="0.00847202339125751"/>
              <c:y val="0.200532880637627"/>
            </c:manualLayout>
          </c:layout>
          <c:overlay val="0"/>
        </c:title>
        <c:numFmt formatCode="0" sourceLinked="0"/>
        <c:majorTickMark val="out"/>
        <c:minorTickMark val="none"/>
        <c:tickLblPos val="nextTo"/>
        <c:crossAx val="-2054237576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687325460265463"/>
          <c:y val="0.0855114137979757"/>
          <c:w val="0.234868420429029"/>
          <c:h val="0.633741928034041"/>
        </c:manualLayout>
      </c:layout>
      <c:overlay val="0"/>
    </c:legend>
    <c:plotVisOnly val="1"/>
    <c:dispBlanksAs val="gap"/>
    <c:showDLblsOverMax val="0"/>
  </c:chart>
  <c:spPr>
    <a:ln>
      <a:noFill/>
    </a:ln>
  </c:spPr>
  <c:txPr>
    <a:bodyPr/>
    <a:lstStyle/>
    <a:p>
      <a:pPr>
        <a:defRPr>
          <a:latin typeface="Arial"/>
          <a:cs typeface="Arial"/>
        </a:defRPr>
      </a:pPr>
      <a:endParaRPr lang="en-US"/>
    </a:p>
  </c:txPr>
  <c:externalData r:id="rId1">
    <c:autoUpdate val="0"/>
  </c:externalData>
  <c:userShapes r:id="rId2"/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0.0766</cdr:x>
      <cdr:y>0.59185</cdr:y>
    </cdr:from>
    <cdr:to>
      <cdr:x>0.16667</cdr:x>
      <cdr:y>0.64708</cdr:y>
    </cdr:to>
    <cdr:sp macro="" textlink="">
      <cdr:nvSpPr>
        <cdr:cNvPr id="2" name="TextBox 1"/>
        <cdr:cNvSpPr txBox="1"/>
      </cdr:nvSpPr>
      <cdr:spPr>
        <a:xfrm xmlns:a="http://schemas.openxmlformats.org/drawingml/2006/main">
          <a:off x="404037" y="1998920"/>
          <a:ext cx="475114" cy="186544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lIns="0" tIns="0" rIns="0" bIns="0" rtlCol="0"/>
        <a:lstStyle xmlns:a="http://schemas.openxmlformats.org/drawingml/2006/main">
          <a:lvl1pPr marL="0" indent="0">
            <a:defRPr sz="1100">
              <a:latin typeface="SwissReSans"/>
            </a:defRPr>
          </a:lvl1pPr>
          <a:lvl2pPr marL="457200" indent="0">
            <a:defRPr sz="1100">
              <a:latin typeface="SwissReSans"/>
            </a:defRPr>
          </a:lvl2pPr>
          <a:lvl3pPr marL="914400" indent="0">
            <a:defRPr sz="1100">
              <a:latin typeface="SwissReSans"/>
            </a:defRPr>
          </a:lvl3pPr>
          <a:lvl4pPr marL="1371600" indent="0">
            <a:defRPr sz="1100">
              <a:latin typeface="SwissReSans"/>
            </a:defRPr>
          </a:lvl4pPr>
          <a:lvl5pPr marL="1828800" indent="0">
            <a:defRPr sz="1100">
              <a:latin typeface="SwissReSans"/>
            </a:defRPr>
          </a:lvl5pPr>
          <a:lvl6pPr marL="2286000" indent="0">
            <a:defRPr sz="1100">
              <a:latin typeface="SwissReSans"/>
            </a:defRPr>
          </a:lvl6pPr>
          <a:lvl7pPr marL="2743200" indent="0">
            <a:defRPr sz="1100">
              <a:latin typeface="SwissReSans"/>
            </a:defRPr>
          </a:lvl7pPr>
          <a:lvl8pPr marL="3200400" indent="0">
            <a:defRPr sz="1100">
              <a:latin typeface="SwissReSans"/>
            </a:defRPr>
          </a:lvl8pPr>
          <a:lvl9pPr marL="3657600" indent="0">
            <a:defRPr sz="1100">
              <a:latin typeface="SwissReSans"/>
            </a:defRPr>
          </a:lvl9pPr>
        </a:lstStyle>
        <a:p xmlns:a="http://schemas.openxmlformats.org/drawingml/2006/main">
          <a:r>
            <a:rPr lang="en-US" sz="1050">
              <a:solidFill>
                <a:srgbClr val="00A249"/>
              </a:solidFill>
            </a:rPr>
            <a:t>TRR(r</a:t>
          </a:r>
          <a:r>
            <a:rPr lang="en-US" sz="900">
              <a:solidFill>
                <a:srgbClr val="00A249"/>
              </a:solidFill>
            </a:rPr>
            <a:t>o</a:t>
          </a:r>
          <a:r>
            <a:rPr lang="en-US" sz="1050">
              <a:solidFill>
                <a:srgbClr val="00A249"/>
              </a:solidFill>
            </a:rPr>
            <a:t>)</a:t>
          </a:r>
        </a:p>
      </cdr:txBody>
    </cdr:sp>
  </cdr:relSizeAnchor>
  <cdr:relSizeAnchor xmlns:cdr="http://schemas.openxmlformats.org/drawingml/2006/chartDrawing">
    <cdr:from>
      <cdr:x>0.24188</cdr:x>
      <cdr:y>0.87203</cdr:y>
    </cdr:from>
    <cdr:to>
      <cdr:x>0.28219</cdr:x>
      <cdr:y>0.9161</cdr:y>
    </cdr:to>
    <cdr:sp macro="" textlink="">
      <cdr:nvSpPr>
        <cdr:cNvPr id="3" name="TextBox 2"/>
        <cdr:cNvSpPr txBox="1"/>
      </cdr:nvSpPr>
      <cdr:spPr>
        <a:xfrm xmlns:a="http://schemas.openxmlformats.org/drawingml/2006/main">
          <a:off x="1275906" y="2945218"/>
          <a:ext cx="212652" cy="14885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lIns="0" tIns="0" rIns="0" bIns="0" rtlCol="0"/>
        <a:lstStyle xmlns:a="http://schemas.openxmlformats.org/drawingml/2006/main">
          <a:lvl1pPr marL="0" indent="0">
            <a:defRPr sz="1100">
              <a:latin typeface="SwissReSans"/>
            </a:defRPr>
          </a:lvl1pPr>
          <a:lvl2pPr marL="457200" indent="0">
            <a:defRPr sz="1100">
              <a:latin typeface="SwissReSans"/>
            </a:defRPr>
          </a:lvl2pPr>
          <a:lvl3pPr marL="914400" indent="0">
            <a:defRPr sz="1100">
              <a:latin typeface="SwissReSans"/>
            </a:defRPr>
          </a:lvl3pPr>
          <a:lvl4pPr marL="1371600" indent="0">
            <a:defRPr sz="1100">
              <a:latin typeface="SwissReSans"/>
            </a:defRPr>
          </a:lvl4pPr>
          <a:lvl5pPr marL="1828800" indent="0">
            <a:defRPr sz="1100">
              <a:latin typeface="SwissReSans"/>
            </a:defRPr>
          </a:lvl5pPr>
          <a:lvl6pPr marL="2286000" indent="0">
            <a:defRPr sz="1100">
              <a:latin typeface="SwissReSans"/>
            </a:defRPr>
          </a:lvl6pPr>
          <a:lvl7pPr marL="2743200" indent="0">
            <a:defRPr sz="1100">
              <a:latin typeface="SwissReSans"/>
            </a:defRPr>
          </a:lvl7pPr>
          <a:lvl8pPr marL="3200400" indent="0">
            <a:defRPr sz="1100">
              <a:latin typeface="SwissReSans"/>
            </a:defRPr>
          </a:lvl8pPr>
          <a:lvl9pPr marL="3657600" indent="0">
            <a:defRPr sz="1100">
              <a:latin typeface="SwissReSans"/>
            </a:defRPr>
          </a:lvl9pPr>
        </a:lstStyle>
        <a:p xmlns:a="http://schemas.openxmlformats.org/drawingml/2006/main">
          <a:r>
            <a:rPr lang="en-US" sz="1050">
              <a:solidFill>
                <a:srgbClr val="00A249"/>
              </a:solidFill>
            </a:rPr>
            <a:t>r</a:t>
          </a:r>
          <a:r>
            <a:rPr lang="en-US" sz="1000">
              <a:solidFill>
                <a:srgbClr val="00A249"/>
              </a:solidFill>
            </a:rPr>
            <a:t>m</a:t>
          </a:r>
          <a:endParaRPr lang="en-US" sz="1050">
            <a:solidFill>
              <a:srgbClr val="00A249"/>
            </a:solidFill>
          </a:endParaRPr>
        </a:p>
      </cdr:txBody>
    </cdr:sp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70AA305-7812-624F-ABC4-EEEABE13AF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786</Words>
  <Characters>4483</Characters>
  <Application>Microsoft Macintosh Word</Application>
  <DocSecurity>0</DocSecurity>
  <Lines>37</Lines>
  <Paragraphs>10</Paragraphs>
  <ScaleCrop>false</ScaleCrop>
  <Company>Swiss Re</Company>
  <LinksUpToDate>false</LinksUpToDate>
  <CharactersWithSpaces>5259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Bresch</dc:creator>
  <cp:keywords/>
  <dc:description/>
  <cp:lastModifiedBy>David Bresch</cp:lastModifiedBy>
  <cp:revision>5</cp:revision>
  <cp:lastPrinted>2014-12-05T09:45:00Z</cp:lastPrinted>
  <dcterms:created xsi:type="dcterms:W3CDTF">2014-12-05T12:21:00Z</dcterms:created>
  <dcterms:modified xsi:type="dcterms:W3CDTF">2014-12-22T18:52:00Z</dcterms:modified>
</cp:coreProperties>
</file>