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23201c"/>
          <w:sz w:val="46"/>
          <w:szCs w:val="46"/>
        </w:rPr>
        <w:t xml:space="preserve">Babilonia como sistema</w:t>
      </w:r>
    </w:p>
    <w:p>
      <w:pPr>
        <w:spacing w:after="120"/>
        <w:jc w:val="center"/>
      </w:pPr>
      <w:r>
        <w:rPr>
          <w:i/>
          <w:iCs/>
          <w:color w:val="6a6258"/>
          <w:sz w:val="24"/>
          <w:szCs w:val="24"/>
        </w:rPr>
        <w:t xml:space="preserve">Isomorfismos estructurales entre una civilización y un organismo — con sus modos de colapso y sus límites</w:t>
      </w:r>
    </w:p>
    <w:p>
      <w:pPr>
        <w:pBdr>
          <w:bottom w:val="single" w:color="b9a98a" w:sz="6" w:space="6"/>
        </w:pBdr>
        <w:spacing w:after="220"/>
        <w:jc w:val="center"/>
      </w:pPr>
      <w:r>
        <w:rPr>
          <w:sz w:val="2"/>
          <w:szCs w:val="2"/>
        </w:rPr>
        <w:t xml:space="preserve"/>
      </w:r>
    </w:p>
    <w:p>
      <w:pPr>
        <w:spacing w:after="60"/>
        <w:ind w:left="720" w:right="720"/>
        <w:jc w:val="both"/>
      </w:pPr>
      <w:r>
        <w:rPr>
          <w:i/>
          <w:iCs/>
          <w:color w:val="555049"/>
          <w:sz w:val="20"/>
          <w:szCs w:val="20"/>
        </w:rPr>
        <w:t xml:space="preserve">«El isomorfismo del que hablamos es más que una mera analogía: es consecuencia de que, en ciertos aspectos, modelos conceptuales correspondientes pueden aplicarse a fenómenos distintos… siempre que la comparación sea disciplinada y no meramente metafórica.»</w:t>
      </w:r>
    </w:p>
    <w:p>
      <w:pPr>
        <w:spacing w:after="260"/>
        <w:ind w:right="720"/>
        <w:jc w:val="right"/>
      </w:pPr>
      <w:r>
        <w:rPr>
          <w:color w:val="6a6258"/>
          <w:sz w:val="18"/>
          <w:szCs w:val="18"/>
        </w:rPr>
        <w:t xml:space="preserve">— Ludwig von Bertalanffy, </w:t>
      </w:r>
      <w:r>
        <w:rPr>
          <w:i/>
          <w:iCs/>
          <w:color w:val="6a6258"/>
          <w:sz w:val="18"/>
          <w:szCs w:val="18"/>
        </w:rPr>
        <w:t xml:space="preserve">Teoría general de los sistemas</w:t>
      </w:r>
      <w:r>
        <w:rPr>
          <w:color w:val="6a6258"/>
          <w:sz w:val="18"/>
          <w:szCs w:val="18"/>
        </w:rPr>
        <w:t xml:space="preserve"> (1968)</w:t>
      </w:r>
    </w:p>
    <w:p>
      <w:pPr>
        <w:pStyle w:val="Heading1"/>
      </w:pPr>
      <w:r>
        <w:t xml:space="preserve">1 · Marco: isomorfismo, no metáfora</w:t>
      </w:r>
    </w:p>
    <w:p>
      <w:pPr>
        <w:jc w:val="both"/>
      </w:pPr>
      <w:r>
        <w:t xml:space="preserve">Los babilonios funcionan sorprendentemente bien como caso de estudio, porque dejaron un sustrato físico y textual legible: ríos, canales, arcilla y archivos. Conviene tomar en serio la palabra </w:t>
      </w:r>
      <w:r>
        <w:rPr>
          <w:i/>
          <w:iCs/>
        </w:rPr>
        <w:t xml:space="preserve">isomorfismo</w:t>
      </w:r>
      <w:r>
        <w:t xml:space="preserve">. En sentido estricto es un mapeo biyectivo que preserva la estructura: las relaciones de un sistema se corresponden una a una con las del otro. Casi ninguna de estas parejas civilización↔organismo es perfectamente biyectiva; son homomorfismos estructurales, o «leyes isomorfas» en el sentido preciso que les dio Ludwig von Bertalanffy en su Teoría General de Sistemas: la misma forma abstracta realizada en materiales distintos.</w:t>
      </w:r>
    </w:p>
    <w:p>
      <w:pPr>
        <w:jc w:val="both"/>
      </w:pPr>
      <w:r>
        <w:t xml:space="preserve">Su tesis —y la de la cibernética de Norbert Wiener, y hoy la de las leyes de escala de Geoffrey West y el Instituto Santa Fe— es que esa recurrencia no es coincidencia sino consecuencia de restricciones compartidas. Lo marco por honestidad: hay un gradiente que va del isomorfismo casi literal, donde el mapeo aguanta cuenta por cuenta, a la analogía apenas sugerente. Este documento recorre ese gradiente, se detiene en el caso más ajustado, añade un eje temporal —cómo cada correspondencia predice un modo distinto de colapso— y termina nombrando dónde el mapeo se rompe, que es la parte que separa esto del misticismo.</w:t>
      </w:r>
    </w:p>
    <w:p>
      <w:pPr>
        <w:pStyle w:val="Heading1"/>
      </w:pPr>
      <w:r>
        <w:t xml:space="preserve">2 · El eje hidráulico: casi las mismas ecuaciones</w:t>
      </w:r>
    </w:p>
    <w:p>
      <w:pPr>
        <w:jc w:val="both"/>
      </w:pPr>
      <w:r>
        <w:t xml:space="preserve">El caso más ajustado —casi las mismas ecuaciones— es el hidráulico. Mesopotamia es literalmente «entre ríos»: antes que ninguna otra cosa, la civilización era una máquina para repartir el agua del Tigris y el Éufrates.</w:t>
      </w:r>
    </w:p>
    <w:p>
      <w:pPr>
        <w:pStyle w:val="Heading2"/>
      </w:pPr>
      <w:r>
        <w:t xml:space="preserve">2.1 · El árbol de transporte y la ley de Murray</w:t>
      </w:r>
    </w:p>
    <w:p>
      <w:pPr>
        <w:jc w:val="both"/>
      </w:pPr>
      <w:r>
        <w:t xml:space="preserve">La red de riego se ramifica desde los cauces madre hasta la última acequia de parcela. Es, topológicamente, un </w:t>
      </w:r>
      <w:r>
        <w:rPr>
          <w:i/>
          <w:iCs/>
        </w:rPr>
        <w:t xml:space="preserve">árbol de transporte</w:t>
      </w:r>
      <w:r>
        <w:t xml:space="preserve"> que debe irrigar un área: exactamente el problema que resuelven el xilema y el floema en una planta, y las arterias y los capilares en un animal. Y lo resuelve, dentro de un margen, con la misma regla. En 1926, Cecil D. Murray dedujo por cálculo variacional —minimizando la suma del trabajo de bombeo y el coste metabólico de mantener el fluido— que en cada bifurcación el cubo del radio del conducto madre iguala la suma de los cubos de los radios de las hijas: R³ = a³ + b³, la </w:t>
      </w:r>
      <w:r>
        <w:rPr>
          <w:i/>
          <w:iCs/>
        </w:rPr>
        <w:t xml:space="preserve">ley del cubo</w:t>
      </w:r>
      <w:r>
        <w:t xml:space="preserve">. Es la fórmula del reparto eficiente. Un canalero que ensancha el canal primario a costa de estrechar los secundarios está, sin saberlo, tanteando el mismo óptimo que la evolución fijó en la aorta y sus ramas.</w:t>
      </w:r>
    </w:p>
    <w:p>
      <w:pPr>
        <w:pStyle w:val="Heading2"/>
      </w:pPr>
      <w:r>
        <w:t xml:space="preserve">2.2 · El escalamiento de West–Brown–Enquist</w:t>
      </w:r>
    </w:p>
    <w:p>
      <w:pPr>
        <w:jc w:val="both"/>
      </w:pPr>
      <w:r>
        <w:t xml:space="preserve">West, Brown y Enquist llevaron esa intuición hasta una ley de escala. Su modelo de 1997 deriva el célebre exponente ¾ del metabolismo —por qué un animal mil veces más grande gasta solo unas 178 veces más energía, y no mil— de tres supuestos sobre cualquier red de distribución de recursos: que llena el espacio ramificándose de forma jerárquica; que termina en unidades de tamaño invariante (el capilar, el peciolo de la hoja); y que minimiza la energía y el tiempo del reparto. La geometría casi fractal de la red impone la economía de escala. Una ciudad de regadío obedece la misma lógica: hay un coste ineludible en sostener la red troncal, y por eso las grandes infraestructuras hidráulicas escalan sublinealmente con la población servida, igual que el sistema circulatorio con la masa corporal.</w:t>
      </w:r>
    </w:p>
    <w:p>
      <w:pPr>
        <w:pStyle w:val="Heading2"/>
      </w:pPr>
      <w:r>
        <w:t xml:space="preserve">2.3 · La patología: azolvamiento y salinización</w:t>
      </w:r>
    </w:p>
    <w:p>
      <w:pPr>
        <w:jc w:val="both"/>
      </w:pPr>
      <w:r>
        <w:t xml:space="preserve">La correspondencia no se detiene en la anatomía sana; llega hasta la patología, y ahí se vuelve inquietantemente literal. El </w:t>
      </w:r>
      <w:r>
        <w:rPr>
          <w:i/>
          <w:iCs/>
        </w:rPr>
        <w:t xml:space="preserve">azolvamiento</w:t>
      </w:r>
      <w:r>
        <w:t xml:space="preserve"> —el limo que los ríos depositan y que va cegando los canales— es una arteriosclerosis: pérdida de luz y de caudal por acumulación de material en la pared del conducto. Y la </w:t>
      </w:r>
      <w:r>
        <w:rPr>
          <w:i/>
          <w:iCs/>
        </w:rPr>
        <w:t xml:space="preserve">salinización</w:t>
      </w:r>
      <w:r>
        <w:t xml:space="preserve"> del suelo es el fallo excretor: la sal que el agua de riego trae disuelta y deja atrás al evaporarse es un desecho que el sistema, sin drenaje, no consigue eliminar, y que se concentra en la zona de raíces hasta esterilizarla.</w:t>
      </w:r>
    </w:p>
    <w:p>
      <w:pPr>
        <w:jc w:val="both"/>
      </w:pPr>
      <w:r>
        <w:t xml:space="preserve">De las dos, la salinización fue la letal, y su curso está documentado con una precisión que pocos colapsos antiguos permiten. Thorkild Jacobsen y Robert McCormick Adams lo reconstruyeron en 1958 a partir de los propios archivos cuneiformes de cosecha. Hacia el 3500 a. C., el sur mesopotámico sembraba trigo y cebada casi a partes iguales. La cebada tolera mejor la sal; mil años después ya era el 83 % de la cosecha, y hacia el 1700 a. C. el trigo había desaparecido por completo del aluvión meridional. El rendimiento medio de la cebada —el cultivo resistente, el que quedaba— cayó de unos 2537 litros por hectárea alrededor del 2400 a. C. a 1460 hacia el 2100, y siguió bajando. El campo se defendió cambiando a la planta más tolerante, hasta que ya no hubo planta más tolerante a la que cambiar.</w:t>
      </w:r>
    </w:p>
    <w:p>
      <w:pPr>
        <w:jc w:val="both"/>
      </w:pPr>
      <w:r>
        <w:t xml:space="preserve">Dinámicamente —y no como mero adorno retórico— esa curva es la forma misma de la senescencia, del sobrepaso ecológico y del punto de no retorno: una variable lenta, la concentración de sal, que se acumula de modo monótono, casi invisible en la escala de una vida humana, hasta cruzar un umbral tras el cual el rendimiento se desploma y no vuelve. Es el éxito erosionando su propio sustrato: cada cosecha regada era racional, y la suma de cosechas racionales salinizó la tierra. La civilización que mejor domesticó el agua murió, en parte, de lo que el agua dejaba atrás.</w:t>
      </w:r>
    </w:p>
    <w:p>
      <w:pPr>
        <w:pStyle w:val="Heading1"/>
      </w:pPr>
      <w:r>
        <w:t xml:space="preserve">3 · La aritmética: base sesenta, redundancia y notación posicional</w:t>
      </w:r>
    </w:p>
    <w:p>
      <w:pPr>
        <w:jc w:val="both"/>
      </w:pPr>
      <w:r>
        <w:t xml:space="preserve">Su matemática esconde dos isomorfismos más, y ninguno es capricho de anticuario. La base sexagesimal se suele contar como una rareza; es, en realidad, una decisión de ingeniería. Sesenta es el número más pequeño divisible por 1, 2, 3, 4, 5 y 6, y es altamente compuesto: tiene doce divisores. Casi cualquier partición de un todo —en tercios, cuartos, quintos, sextos— sale exacta, sin el residuo incómodo con que el diez castiga a quien quiere dividir por tres. Elegir una base muy divisible es </w:t>
      </w:r>
      <w:r>
        <w:rPr>
          <w:i/>
          <w:iCs/>
        </w:rPr>
        <w:t xml:space="preserve">comprar tolerancia a fallos</w:t>
      </w:r>
      <w:r>
        <w:t xml:space="preserve">: muchos caminos exactos al mismo resultado. Es el mismo principio que la degeneración biológica —varios codones para un aminoácido, rutas metabólicas redundantes, más de un modo de llegar—, y por la misma razón: la redundancia es lo que vuelve robusto a un sistema frente al ruido y a la avería.</w:t>
      </w:r>
    </w:p>
    <w:p>
      <w:pPr>
        <w:jc w:val="both"/>
      </w:pPr>
      <w:r>
        <w:t xml:space="preserve">El segundo isomorfismo es la notación posicional, y es más hondo. En el sistema babilonio un mismo signo vale uno, sesenta o tres mil seiscientos según el lugar que ocupa; el significado no está en el símbolo, sino en su posición. Esa es, exactamente, la abstracción que el desarrollo embrionario usa para construir un cuerpo. En el modelo de la «bandera francesa» que Lewis Wolpert formuló en 1969, el destino de una célula —qué órgano será— no lo lleva escrito de antemano: lo fija su posición dentro de un gradiente de morfógeno, leyendo la concentración local contra unos umbrales. Mismo signo, distinto significado según dónde esté. Cifra y célula comparten el truco de que </w:t>
      </w:r>
      <w:r>
        <w:rPr>
          <w:i/>
          <w:iCs/>
        </w:rPr>
        <w:t xml:space="preserve">el lugar es información</w:t>
      </w:r>
      <w:r>
        <w:t xml:space="preserve">.</w:t>
      </w:r>
    </w:p>
    <w:p>
      <w:pPr>
        <w:jc w:val="both"/>
      </w:pPr>
      <w:r>
        <w:t xml:space="preserve">Hasta el punto débil se refleja. Los babilonios tardaron en adoptar un marcador para la casilla vacía y nunca tuvieron un cero terminal: un signo aislado podía ser 1 o 60, y solo el contexto decidía. Es el mismo problema con que tropieza cualquier sistema que codifica por posición —interpretar la ausencia de señal—. ¿Un hueco es un cero, es decir un valor, o es el borde del mensaje? El desarrollo se enfrenta a la misma pregunta cuando una célula debe decidir si la falta de morfógeno significa «posición cero» o «fuera del campo».</w:t>
      </w:r>
    </w:p>
    <w:p>
      <w:pPr>
        <w:pStyle w:val="Heading1"/>
      </w:pPr>
      <w:r>
        <w:t xml:space="preserve">4 · El cuneiforme y la herencia</w:t>
      </w:r>
    </w:p>
    <w:p>
      <w:pPr>
        <w:jc w:val="both"/>
      </w:pPr>
      <w:r>
        <w:t xml:space="preserve">El cuneiforme cierra el paralelo por su lado más exacto: la herencia. Es un código discreto y combinatorio —un inventario finito de signos que se recombinan— impreso sobre un soporte durable y copiado a mano por generaciones de escribas. El mapeo es limpio, casi pieza por pieza. La tablilla es el cromosoma: el soporte físico de la información. El repertorio de signos es el alfabeto de codones. El escriba que lee un original y lo vuelve a inscribir es la polimerasa que replica y el ribosoma que traduce. La escuela de escribas —la </w:t>
      </w:r>
      <w:r>
        <w:rPr>
          <w:i/>
          <w:iCs/>
        </w:rPr>
        <w:t xml:space="preserve">edubba</w:t>
      </w:r>
      <w:r>
        <w:t xml:space="preserve">, la «casa de las tablillas», donde se estandarizaba y se corregía copiando y recopiando— es la maquinaria de corrección de errores. La recensión canónica —el </w:t>
      </w:r>
      <w:r>
        <w:rPr>
          <w:i/>
          <w:iCs/>
        </w:rPr>
        <w:t xml:space="preserve">Gilgamesh</w:t>
      </w:r>
      <w:r>
        <w:t xml:space="preserve"> «estándar» que se fija y se conserva— es un genoma de consenso. Y los deslices de copia son mutaciones: a veces podemos incluso ordenarlas en un árbol, el </w:t>
      </w:r>
      <w:r>
        <w:rPr>
          <w:i/>
          <w:iCs/>
        </w:rPr>
        <w:t xml:space="preserve">stemma</w:t>
      </w:r>
      <w:r>
        <w:t xml:space="preserve"> que la crítica textual levanta para reconstruir qué manuscrito desciende de cuál, con la misma lógica con que una filogenia ordena especies por mutaciones compartidas.</w:t>
      </w:r>
    </w:p>
    <w:p>
      <w:pPr>
        <w:jc w:val="both"/>
      </w:pPr>
      <w:r>
        <w:t xml:space="preserve">Información almacenada de forma discreta, replicada con error y curada por selección: ese bucle es, en abstracto, lo que define lo hereditario. Aquí corre en una versión lamarckiana y horizontal —las ideas saltan de lado entre contemporáneos y se eligen a propósito, no solo de padres a hijos por supervivencia diferencial—, y esa diferencia, como se verá en el §8, es justo donde el isomorfismo empieza a ceder.</w:t>
      </w:r>
    </w:p>
    <w:p>
      <w:pPr>
        <w:pStyle w:val="Heading1"/>
      </w:pPr>
      <w:r>
        <w:t xml:space="preserve">5 · Cuatro isomorfismos más</w:t>
      </w:r>
    </w:p>
    <w:p>
      <w:pPr>
        <w:jc w:val="both"/>
      </w:pPr>
      <w:r>
        <w:t xml:space="preserve">Quedan cuatro correspondencias que no cabían en el diagrama y son igual de nítidas.</w:t>
      </w:r>
    </w:p>
    <w:p>
      <w:pPr>
        <w:jc w:val="both"/>
      </w:pPr>
      <w:r>
        <w:rPr>
          <w:b/>
          <w:bCs/>
        </w:rPr>
        <w:t xml:space="preserve">Presagios como modelo predictivo.</w:t>
      </w:r>
      <w:r>
        <w:t xml:space="preserve"> El </w:t>
      </w:r>
      <w:r>
        <w:rPr>
          <w:i/>
          <w:iCs/>
        </w:rPr>
        <w:t xml:space="preserve">Enuma Anu Enlil</w:t>
      </w:r>
      <w:r>
        <w:t xml:space="preserve"> recogía en decenas de tablillas los augurios del cielo; la extispicina leía el hígado de la víctima sacrificada. Ambos eran, en el fondo, tablas enormes de «si observo X, entonces Y»: un modelo generativo aprendido, un depósito de </w:t>
      </w:r>
      <w:r>
        <w:rPr>
          <w:i/>
          <w:iCs/>
        </w:rPr>
        <w:t xml:space="preserve">priors</w:t>
      </w:r>
      <w:r>
        <w:t xml:space="preserve"> acumulados por siglos de observación que se contrastan con la señal entrante para anticipar lo que viene. Es la misma abstracción que la codificación predictiva del cerebro —percibir es minimizar la sorpresa contra un modelo interno del mundo— y que la memoria inmunológica, que guarda el antígeno ya visto para responder antes la próxima vez.</w:t>
      </w:r>
    </w:p>
    <w:p>
      <w:pPr>
        <w:jc w:val="both"/>
      </w:pPr>
      <w:r>
        <w:rPr>
          <w:b/>
          <w:bCs/>
        </w:rPr>
        <w:t xml:space="preserve">Astronomía aritmética como análisis en frecuencias.</w:t>
      </w:r>
      <w:r>
        <w:t xml:space="preserve"> Sin ecuaciones diferenciales, solo con aritmética, los astrónomos babilonios descubrieron que un fenómeno complejo se descompone en periodicidades superpuestas. Sus funciones «en escalón» (el Sistema A) y «en zigzag» (el Sistema B) modelaban la velocidad variable del Sol y la Luna como oscilaciones lineales entre un máximo y un mínimo; y el ciclo de Saros —223 meses sinódicos, unos 18 años y 11 días— les permitía predecir eclipses porque, tras ese lapso, la geometría Sol–Tierra–Luna casi se repite. Es la intuición que hay detrás del análisis de Fourier: todo lo periódico se deja escribir como suma de ritmos simples. Y es también como la biología mide el tiempo: con relojes circadianos y de ciclo celular acoplados, osciladores encajados unos en otros.</w:t>
      </w:r>
    </w:p>
    <w:p>
      <w:pPr>
        <w:jc w:val="both"/>
      </w:pPr>
      <w:r>
        <w:rPr>
          <w:b/>
          <w:bCs/>
        </w:rPr>
        <w:t xml:space="preserve">Hammurabi como controlador por retroalimentación.</w:t>
      </w:r>
      <w:r>
        <w:t xml:space="preserve"> Una base de reglas condicionales que asigna a cada transgresión una respuesta proporcional —la </w:t>
      </w:r>
      <w:r>
        <w:rPr>
          <w:i/>
          <w:iCs/>
        </w:rPr>
        <w:t xml:space="preserve">lex talionis</w:t>
      </w:r>
      <w:r>
        <w:t xml:space="preserve">, que escala el castigo a la ofensa— es, punto por punto, un controlador por retroalimentación: detecta la desviación respecto de un punto de consigna (el orden querido) y corrige en proporción al error. Es, además, exactamente la lógica del sistema inmune: discriminar lo propio de lo ajeno y responder de forma graduada, ni de más ni de menos.</w:t>
      </w:r>
    </w:p>
    <w:p>
      <w:pPr>
        <w:jc w:val="both"/>
      </w:pPr>
      <w:r>
        <w:rPr>
          <w:b/>
          <w:bCs/>
        </w:rPr>
        <w:t xml:space="preserve">La economía del templo como metabolismo.</w:t>
      </w:r>
      <w:r>
        <w:t xml:space="preserve"> El zigurat concentraba el grano de la comunidad para reasignarlo; ese fondo central es el metabolismo de un superorganismo. Como una colonia de hormigas, o como el propio cuerpo, un integrador central almacena y amortigua los flujos para que un choque no se propague. La hambruna y la mala estación son, para la ciudad, lo que el ayuno y el estrés para el organismo; y el granero del templo hace de hígado y de tejido adiposo, guardando en la abundancia para gastar en la escasez.</w:t>
      </w:r>
    </w:p>
    <w:p>
      <w:pPr>
        <w:pStyle w:val="Heading1"/>
      </w:pPr>
      <w:r>
        <w:t xml:space="preserve">6 · Por qué riman una ciudad, un cuerpo y un sistema</w:t>
      </w:r>
    </w:p>
    <w:p>
      <w:pPr>
        <w:jc w:val="both"/>
      </w:pPr>
      <w:r>
        <w:t xml:space="preserve">La razón de fondo por la que una ciudad, un cuerpo y un «sistema» riman es que los tres son </w:t>
      </w:r>
      <w:r>
        <w:rPr>
          <w:i/>
          <w:iCs/>
        </w:rPr>
        <w:t xml:space="preserve">sistemas abiertos</w:t>
      </w:r>
      <w:r>
        <w:t xml:space="preserve">: mantienen su organización lejos del equilibrio gracias a un flujo constante de materia, energía e información, y lo hacen bajo restricción y bajo selección. Ese espacio de soluciones es estrecho, y por eso las arquitecturas convergen una y otra vez sobre el mismo puñado de trucos: transporte ramificado para repartir, regulación por retroalimentación para estabilizar, códigos discretos y replicables para heredar, redundancia para aguantar la avería, dinámica descompuesta en ciclos para medir el tiempo.</w:t>
      </w:r>
    </w:p>
    <w:p>
      <w:pPr>
        <w:jc w:val="both"/>
      </w:pPr>
      <w:r>
        <w:t xml:space="preserve">Que la convergencia sea real y no poética es lo que sugieren las leyes de escala de Geoffrey West y sus colaboradores en el Instituto Santa Fe: exponentes de potencia que atraviesan organismos, ciudades y empresas. Aquí conviene la precisión, porque el eslogan simplifica: no es </w:t>
      </w:r>
      <w:r>
        <w:rPr>
          <w:i/>
          <w:iCs/>
        </w:rPr>
        <w:t xml:space="preserve">una sola</w:t>
      </w:r>
      <w:r>
        <w:t xml:space="preserve"> ley con un solo exponente. Los organismos —y, resulta, también las empresas— escalan sublinealmente, con exponentes en torno a ¾: economías de escala, ritmo de vida que se frena con el tamaño. Las ciudades escalan superlinealmente, con exponentes en torno a 1,15 en sus productos socioeconómicos: rendimientos crecientes, ritmo que se acelera. Lo compartido no es el número, sino la </w:t>
      </w:r>
      <w:r>
        <w:rPr>
          <w:i/>
          <w:iCs/>
        </w:rPr>
        <w:t xml:space="preserve">forma</w:t>
      </w:r>
      <w:r>
        <w:t xml:space="preserve"> —que haya una ley de potencia limpia gobernando el tamaño—, y esa forma es la huella de que, por debajo, hay una red de distribución óptima haciendo el mismo trabajo.</w:t>
      </w:r>
    </w:p>
    <w:p>
      <w:pPr>
        <w:pStyle w:val="Heading1"/>
      </w:pPr>
      <w:r>
        <w:t xml:space="preserve">7 · El eje temporal: cada isomorfismo predice su colapso</w:t>
      </w:r>
    </w:p>
    <w:p>
      <w:pPr>
        <w:jc w:val="both"/>
      </w:pPr>
      <w:r>
        <w:t xml:space="preserve">Hasta aquí el catálogo es estático: dice cómo están </w:t>
      </w:r>
      <w:r>
        <w:rPr>
          <w:i/>
          <w:iCs/>
        </w:rPr>
        <w:t xml:space="preserve">construidos</w:t>
      </w:r>
      <w:r>
        <w:t xml:space="preserve"> los tres tipos de sistema. Pero un isomorfismo que se toma en serio debería predecir también cómo </w:t>
      </w:r>
      <w:r>
        <w:rPr>
          <w:i/>
          <w:iCs/>
        </w:rPr>
        <w:t xml:space="preserve">mueren</w:t>
      </w:r>
      <w:r>
        <w:t xml:space="preserve">, porque la arquitectura que sostiene a un sistema es la misma que fija sus modos de fallo. Y en efecto: cada uno de los mapeos anteriores lleva dentro una forma característica de colapso. No son nueve historias sueltas; se agrupan en un puñado de arquetipos dinámicos.</w:t>
      </w:r>
    </w:p>
    <w:tbl>
      <w:tblPr>
        <w:tblW w:type="dxa" w:w="9360"/>
        <w:tblBorders>
          <w:top w:val="single" w:color="cfc8bd" w:sz="4"/>
          <w:left w:val="single" w:color="cfc8bd" w:sz="4"/>
          <w:bottom w:val="single" w:color="cfc8bd" w:sz="4"/>
          <w:right w:val="single" w:color="cfc8bd" w:sz="4"/>
          <w:insideH w:val="single" w:color="cfc8bd" w:sz="4"/>
          <w:insideV w:val="single" w:color="cfc8bd" w:sz="4"/>
        </w:tblBorders>
      </w:tblPr>
      <w:tblGrid>
        <w:gridCol w:w="2500"/>
        <w:gridCol w:w="3200"/>
        <w:gridCol w:w="3660"/>
      </w:tblGrid>
      <w:tr>
        <w:trPr>
          <w:tblHeader/>
        </w:trPr>
        <w:tc>
          <w:tcPr>
            <w:tcW w:type="dxa" w:w="0"/>
            <w:shd w:fill="3a352f" w:color="auto" w:val="clear"/>
            <w:tcMar>
              <w:top w:type="dxa" w:w="80"/>
              <w:left w:type="dxa" w:w="120"/>
              <w:bottom w:type="dxa" w:w="80"/>
              <w:right w:type="dxa" w:w="120"/>
            </w:tcMar>
          </w:tcPr>
          <w:p>
            <w:r>
              <w:rPr>
                <w:b/>
                <w:bCs/>
                <w:color w:val="ffffff"/>
                <w:sz w:val="19"/>
                <w:szCs w:val="19"/>
              </w:rPr>
              <w:t xml:space="preserve">Isomorfismo</w:t>
            </w:r>
          </w:p>
        </w:tc>
        <w:tc>
          <w:tcPr>
            <w:tcW w:type="dxa" w:w="0"/>
            <w:shd w:fill="3a352f" w:color="auto" w:val="clear"/>
            <w:tcMar>
              <w:top w:type="dxa" w:w="80"/>
              <w:left w:type="dxa" w:w="120"/>
              <w:bottom w:type="dxa" w:w="80"/>
              <w:right w:type="dxa" w:w="120"/>
            </w:tcMar>
          </w:tcPr>
          <w:p>
            <w:r>
              <w:rPr>
                <w:b/>
                <w:bCs/>
                <w:color w:val="ffffff"/>
                <w:sz w:val="19"/>
                <w:szCs w:val="19"/>
              </w:rPr>
              <w:t xml:space="preserve">Qué falla</w:t>
            </w:r>
          </w:p>
        </w:tc>
        <w:tc>
          <w:tcPr>
            <w:tcW w:type="dxa" w:w="0"/>
            <w:shd w:fill="3a352f" w:color="auto" w:val="clear"/>
            <w:tcMar>
              <w:top w:type="dxa" w:w="80"/>
              <w:left w:type="dxa" w:w="120"/>
              <w:bottom w:type="dxa" w:w="80"/>
              <w:right w:type="dxa" w:w="120"/>
            </w:tcMar>
          </w:tcPr>
          <w:p>
            <w:r>
              <w:rPr>
                <w:b/>
                <w:bCs/>
                <w:color w:val="ffffff"/>
                <w:sz w:val="19"/>
                <w:szCs w:val="19"/>
              </w:rPr>
              <w:t xml:space="preserve">Firma dinámica del colapso</w:t>
            </w:r>
          </w:p>
        </w:tc>
      </w:tr>
      <w:tr>
        <w:tc>
          <w:tcPr>
            <w:tcW w:type="dxa" w:w="0"/>
            <w:shd w:fill="ffffff" w:color="auto" w:val="clear"/>
            <w:tcMar>
              <w:top w:type="dxa" w:w="80"/>
              <w:left w:type="dxa" w:w="120"/>
              <w:bottom w:type="dxa" w:w="80"/>
              <w:right w:type="dxa" w:w="120"/>
            </w:tcMar>
          </w:tcPr>
          <w:p>
            <w:r>
              <w:rPr>
                <w:color w:val="222222"/>
                <w:sz w:val="19"/>
                <w:szCs w:val="19"/>
              </w:rPr>
              <w:t xml:space="preserve">Hidráulico — salinización</w:t>
            </w:r>
          </w:p>
        </w:tc>
        <w:tc>
          <w:tcPr>
            <w:tcW w:type="dxa" w:w="0"/>
            <w:shd w:fill="ffffff" w:color="auto" w:val="clear"/>
            <w:tcMar>
              <w:top w:type="dxa" w:w="80"/>
              <w:left w:type="dxa" w:w="120"/>
              <w:bottom w:type="dxa" w:w="80"/>
              <w:right w:type="dxa" w:w="120"/>
            </w:tcMar>
          </w:tcPr>
          <w:p>
            <w:r>
              <w:rPr>
                <w:color w:val="222222"/>
                <w:sz w:val="19"/>
                <w:szCs w:val="19"/>
              </w:rPr>
              <w:t xml:space="preserve">Acumulación de una variable lenta que envenena el sustrato</w:t>
            </w:r>
          </w:p>
        </w:tc>
        <w:tc>
          <w:tcPr>
            <w:tcW w:type="dxa" w:w="0"/>
            <w:shd w:fill="ffffff" w:color="auto" w:val="clear"/>
            <w:tcMar>
              <w:top w:type="dxa" w:w="80"/>
              <w:left w:type="dxa" w:w="120"/>
              <w:bottom w:type="dxa" w:w="80"/>
              <w:right w:type="dxa" w:w="120"/>
            </w:tcMar>
          </w:tcPr>
          <w:p>
            <w:r>
              <w:rPr>
                <w:color w:val="222222"/>
                <w:sz w:val="19"/>
                <w:szCs w:val="19"/>
              </w:rPr>
              <w:t xml:space="preserve">Umbral / bifurcación: latente y luego súbito, con histéresis (casi irreversible)</w:t>
            </w:r>
          </w:p>
        </w:tc>
      </w:tr>
      <w:tr>
        <w:tc>
          <w:tcPr>
            <w:tcW w:type="dxa" w:w="0"/>
            <w:shd w:fill="f6f3ee" w:color="auto" w:val="clear"/>
            <w:tcMar>
              <w:top w:type="dxa" w:w="80"/>
              <w:left w:type="dxa" w:w="120"/>
              <w:bottom w:type="dxa" w:w="80"/>
              <w:right w:type="dxa" w:w="120"/>
            </w:tcMar>
          </w:tcPr>
          <w:p>
            <w:r>
              <w:rPr>
                <w:color w:val="222222"/>
                <w:sz w:val="19"/>
                <w:szCs w:val="19"/>
              </w:rPr>
              <w:t xml:space="preserve">Hidráulico — azolvamiento</w:t>
            </w:r>
          </w:p>
        </w:tc>
        <w:tc>
          <w:tcPr>
            <w:tcW w:type="dxa" w:w="0"/>
            <w:shd w:fill="f6f3ee" w:color="auto" w:val="clear"/>
            <w:tcMar>
              <w:top w:type="dxa" w:w="80"/>
              <w:left w:type="dxa" w:w="120"/>
              <w:bottom w:type="dxa" w:w="80"/>
              <w:right w:type="dxa" w:w="120"/>
            </w:tcMar>
          </w:tcPr>
          <w:p>
            <w:r>
              <w:rPr>
                <w:color w:val="222222"/>
                <w:sz w:val="19"/>
                <w:szCs w:val="19"/>
              </w:rPr>
              <w:t xml:space="preserve">Degradación del propio canal de transporte</w:t>
            </w:r>
          </w:p>
        </w:tc>
        <w:tc>
          <w:tcPr>
            <w:tcW w:type="dxa" w:w="0"/>
            <w:shd w:fill="f6f3ee" w:color="auto" w:val="clear"/>
            <w:tcMar>
              <w:top w:type="dxa" w:w="80"/>
              <w:left w:type="dxa" w:w="120"/>
              <w:bottom w:type="dxa" w:w="80"/>
              <w:right w:type="dxa" w:w="120"/>
            </w:tcMar>
          </w:tcPr>
          <w:p>
            <w:r>
              <w:rPr>
                <w:color w:val="222222"/>
                <w:sz w:val="19"/>
                <w:szCs w:val="19"/>
              </w:rPr>
              <w:t xml:space="preserve">Decaimiento monótono del caudal: insuficiencia progresiva (isquemia)</w:t>
            </w:r>
          </w:p>
        </w:tc>
      </w:tr>
      <w:tr>
        <w:tc>
          <w:tcPr>
            <w:tcW w:type="dxa" w:w="0"/>
            <w:shd w:fill="ffffff" w:color="auto" w:val="clear"/>
            <w:tcMar>
              <w:top w:type="dxa" w:w="80"/>
              <w:left w:type="dxa" w:w="120"/>
              <w:bottom w:type="dxa" w:w="80"/>
              <w:right w:type="dxa" w:w="120"/>
            </w:tcMar>
          </w:tcPr>
          <w:p>
            <w:r>
              <w:rPr>
                <w:color w:val="222222"/>
                <w:sz w:val="19"/>
                <w:szCs w:val="19"/>
              </w:rPr>
              <w:t xml:space="preserve">Base sexagesimal — degeneración</w:t>
            </w:r>
          </w:p>
        </w:tc>
        <w:tc>
          <w:tcPr>
            <w:tcW w:type="dxa" w:w="0"/>
            <w:shd w:fill="ffffff" w:color="auto" w:val="clear"/>
            <w:tcMar>
              <w:top w:type="dxa" w:w="80"/>
              <w:left w:type="dxa" w:w="120"/>
              <w:bottom w:type="dxa" w:w="80"/>
              <w:right w:type="dxa" w:w="120"/>
            </w:tcMar>
          </w:tcPr>
          <w:p>
            <w:r>
              <w:rPr>
                <w:color w:val="222222"/>
                <w:sz w:val="19"/>
                <w:szCs w:val="19"/>
              </w:rPr>
              <w:t xml:space="preserve">Erosión de la redundancia que absorbía los fallos</w:t>
            </w:r>
          </w:p>
        </w:tc>
        <w:tc>
          <w:tcPr>
            <w:tcW w:type="dxa" w:w="0"/>
            <w:shd w:fill="ffffff" w:color="auto" w:val="clear"/>
            <w:tcMar>
              <w:top w:type="dxa" w:w="80"/>
              <w:left w:type="dxa" w:w="120"/>
              <w:bottom w:type="dxa" w:w="80"/>
              <w:right w:type="dxa" w:w="120"/>
            </w:tcMar>
          </w:tcPr>
          <w:p>
            <w:r>
              <w:rPr>
                <w:color w:val="222222"/>
                <w:sz w:val="19"/>
                <w:szCs w:val="19"/>
              </w:rPr>
              <w:t xml:space="preserve">Fragilización: parece intacto hasta el choque que ya no amortigua</w:t>
            </w:r>
          </w:p>
        </w:tc>
      </w:tr>
      <w:tr>
        <w:tc>
          <w:tcPr>
            <w:tcW w:type="dxa" w:w="0"/>
            <w:shd w:fill="f6f3ee" w:color="auto" w:val="clear"/>
            <w:tcMar>
              <w:top w:type="dxa" w:w="80"/>
              <w:left w:type="dxa" w:w="120"/>
              <w:bottom w:type="dxa" w:w="80"/>
              <w:right w:type="dxa" w:w="120"/>
            </w:tcMar>
          </w:tcPr>
          <w:p>
            <w:r>
              <w:rPr>
                <w:color w:val="222222"/>
                <w:sz w:val="19"/>
                <w:szCs w:val="19"/>
              </w:rPr>
              <w:t xml:space="preserve">Notación / información posicional</w:t>
            </w:r>
          </w:p>
        </w:tc>
        <w:tc>
          <w:tcPr>
            <w:tcW w:type="dxa" w:w="0"/>
            <w:shd w:fill="f6f3ee" w:color="auto" w:val="clear"/>
            <w:tcMar>
              <w:top w:type="dxa" w:w="80"/>
              <w:left w:type="dxa" w:w="120"/>
              <w:bottom w:type="dxa" w:w="80"/>
              <w:right w:type="dxa" w:w="120"/>
            </w:tcMar>
          </w:tcPr>
          <w:p>
            <w:r>
              <w:rPr>
                <w:color w:val="222222"/>
                <w:sz w:val="19"/>
                <w:szCs w:val="19"/>
              </w:rPr>
              <w:t xml:space="preserve">Pérdida del marco que da sentido al signo</w:t>
            </w:r>
          </w:p>
        </w:tc>
        <w:tc>
          <w:tcPr>
            <w:tcW w:type="dxa" w:w="0"/>
            <w:shd w:fill="f6f3ee" w:color="auto" w:val="clear"/>
            <w:tcMar>
              <w:top w:type="dxa" w:w="80"/>
              <w:left w:type="dxa" w:w="120"/>
              <w:bottom w:type="dxa" w:w="80"/>
              <w:right w:type="dxa" w:w="120"/>
            </w:tcMar>
          </w:tcPr>
          <w:p>
            <w:r>
              <w:rPr>
                <w:color w:val="222222"/>
                <w:sz w:val="19"/>
                <w:szCs w:val="19"/>
              </w:rPr>
              <w:t xml:space="preserve">Ambigüedad: la misma señal se lee mal (¿cero o borde?)</w:t>
            </w:r>
          </w:p>
        </w:tc>
      </w:tr>
      <w:tr>
        <w:tc>
          <w:tcPr>
            <w:tcW w:type="dxa" w:w="0"/>
            <w:shd w:fill="ffffff" w:color="auto" w:val="clear"/>
            <w:tcMar>
              <w:top w:type="dxa" w:w="80"/>
              <w:left w:type="dxa" w:w="120"/>
              <w:bottom w:type="dxa" w:w="80"/>
              <w:right w:type="dxa" w:w="120"/>
            </w:tcMar>
          </w:tcPr>
          <w:p>
            <w:r>
              <w:rPr>
                <w:color w:val="222222"/>
                <w:sz w:val="19"/>
                <w:szCs w:val="19"/>
              </w:rPr>
              <w:t xml:space="preserve">Cuneiforme — herencia</w:t>
            </w:r>
          </w:p>
        </w:tc>
        <w:tc>
          <w:tcPr>
            <w:tcW w:type="dxa" w:w="0"/>
            <w:shd w:fill="ffffff" w:color="auto" w:val="clear"/>
            <w:tcMar>
              <w:top w:type="dxa" w:w="80"/>
              <w:left w:type="dxa" w:w="120"/>
              <w:bottom w:type="dxa" w:w="80"/>
              <w:right w:type="dxa" w:w="120"/>
            </w:tcMar>
          </w:tcPr>
          <w:p>
            <w:r>
              <w:rPr>
                <w:color w:val="222222"/>
                <w:sz w:val="19"/>
                <w:szCs w:val="19"/>
              </w:rPr>
              <w:t xml:space="preserve">Errores de copia por encima de la capacidad de corrección</w:t>
            </w:r>
          </w:p>
        </w:tc>
        <w:tc>
          <w:tcPr>
            <w:tcW w:type="dxa" w:w="0"/>
            <w:shd w:fill="ffffff" w:color="auto" w:val="clear"/>
            <w:tcMar>
              <w:top w:type="dxa" w:w="80"/>
              <w:left w:type="dxa" w:w="120"/>
              <w:bottom w:type="dxa" w:w="80"/>
              <w:right w:type="dxa" w:w="120"/>
            </w:tcMar>
          </w:tcPr>
          <w:p>
            <w:r>
              <w:rPr>
                <w:color w:val="222222"/>
                <w:sz w:val="19"/>
                <w:szCs w:val="19"/>
              </w:rPr>
              <w:t xml:space="preserve">Catástrofe de error: el canon se disgrega en variantes (stemma)</w:t>
            </w:r>
          </w:p>
        </w:tc>
      </w:tr>
      <w:tr>
        <w:tc>
          <w:tcPr>
            <w:tcW w:type="dxa" w:w="0"/>
            <w:shd w:fill="f6f3ee" w:color="auto" w:val="clear"/>
            <w:tcMar>
              <w:top w:type="dxa" w:w="80"/>
              <w:left w:type="dxa" w:w="120"/>
              <w:bottom w:type="dxa" w:w="80"/>
              <w:right w:type="dxa" w:w="120"/>
            </w:tcMar>
          </w:tcPr>
          <w:p>
            <w:r>
              <w:rPr>
                <w:color w:val="222222"/>
                <w:sz w:val="19"/>
                <w:szCs w:val="19"/>
              </w:rPr>
              <w:t xml:space="preserve">Presagios — modelo generativo</w:t>
            </w:r>
          </w:p>
        </w:tc>
        <w:tc>
          <w:tcPr>
            <w:tcW w:type="dxa" w:w="0"/>
            <w:shd w:fill="f6f3ee" w:color="auto" w:val="clear"/>
            <w:tcMar>
              <w:top w:type="dxa" w:w="80"/>
              <w:left w:type="dxa" w:w="120"/>
              <w:bottom w:type="dxa" w:w="80"/>
              <w:right w:type="dxa" w:w="120"/>
            </w:tcMar>
          </w:tcPr>
          <w:p>
            <w:r>
              <w:rPr>
                <w:color w:val="222222"/>
                <w:sz w:val="19"/>
                <w:szCs w:val="19"/>
              </w:rPr>
              <w:t xml:space="preserve">Priors rígidos que dejan de ajustar al mundo</w:t>
            </w:r>
          </w:p>
        </w:tc>
        <w:tc>
          <w:tcPr>
            <w:tcW w:type="dxa" w:w="0"/>
            <w:shd w:fill="f6f3ee" w:color="auto" w:val="clear"/>
            <w:tcMar>
              <w:top w:type="dxa" w:w="80"/>
              <w:left w:type="dxa" w:w="120"/>
              <w:bottom w:type="dxa" w:w="80"/>
              <w:right w:type="dxa" w:w="120"/>
            </w:tcMar>
          </w:tcPr>
          <w:p>
            <w:r>
              <w:rPr>
                <w:color w:val="222222"/>
                <w:sz w:val="19"/>
                <w:szCs w:val="19"/>
              </w:rPr>
              <w:t xml:space="preserve">Desajuste del modelo: sorpresa confiada; «pelear la guerra anterior»</w:t>
            </w:r>
          </w:p>
        </w:tc>
      </w:tr>
      <w:tr>
        <w:tc>
          <w:tcPr>
            <w:tcW w:type="dxa" w:w="0"/>
            <w:shd w:fill="ffffff" w:color="auto" w:val="clear"/>
            <w:tcMar>
              <w:top w:type="dxa" w:w="80"/>
              <w:left w:type="dxa" w:w="120"/>
              <w:bottom w:type="dxa" w:w="80"/>
              <w:right w:type="dxa" w:w="120"/>
            </w:tcMar>
          </w:tcPr>
          <w:p>
            <w:r>
              <w:rPr>
                <w:color w:val="222222"/>
                <w:sz w:val="19"/>
                <w:szCs w:val="19"/>
              </w:rPr>
              <w:t xml:space="preserve">Astronomía — ciclos acoplados</w:t>
            </w:r>
          </w:p>
        </w:tc>
        <w:tc>
          <w:tcPr>
            <w:tcW w:type="dxa" w:w="0"/>
            <w:shd w:fill="ffffff" w:color="auto" w:val="clear"/>
            <w:tcMar>
              <w:top w:type="dxa" w:w="80"/>
              <w:left w:type="dxa" w:w="120"/>
              <w:bottom w:type="dxa" w:w="80"/>
              <w:right w:type="dxa" w:w="120"/>
            </w:tcMar>
          </w:tcPr>
          <w:p>
            <w:r>
              <w:rPr>
                <w:color w:val="222222"/>
                <w:sz w:val="19"/>
                <w:szCs w:val="19"/>
              </w:rPr>
              <w:t xml:space="preserve">Deriva de fase entre calendario y estación</w:t>
            </w:r>
          </w:p>
        </w:tc>
        <w:tc>
          <w:tcPr>
            <w:tcW w:type="dxa" w:w="0"/>
            <w:shd w:fill="ffffff" w:color="auto" w:val="clear"/>
            <w:tcMar>
              <w:top w:type="dxa" w:w="80"/>
              <w:left w:type="dxa" w:w="120"/>
              <w:bottom w:type="dxa" w:w="80"/>
              <w:right w:type="dxa" w:w="120"/>
            </w:tcMar>
          </w:tcPr>
          <w:p>
            <w:r>
              <w:rPr>
                <w:color w:val="222222"/>
                <w:sz w:val="19"/>
                <w:szCs w:val="19"/>
              </w:rPr>
              <w:t xml:space="preserve">Desincronización: los ciclos dejan de coincidir; se actúa a destiempo</w:t>
            </w:r>
          </w:p>
        </w:tc>
      </w:tr>
      <w:tr>
        <w:tc>
          <w:tcPr>
            <w:tcW w:type="dxa" w:w="0"/>
            <w:shd w:fill="f6f3ee" w:color="auto" w:val="clear"/>
            <w:tcMar>
              <w:top w:type="dxa" w:w="80"/>
              <w:left w:type="dxa" w:w="120"/>
              <w:bottom w:type="dxa" w:w="80"/>
              <w:right w:type="dxa" w:w="120"/>
            </w:tcMar>
          </w:tcPr>
          <w:p>
            <w:r>
              <w:rPr>
                <w:color w:val="222222"/>
                <w:sz w:val="19"/>
                <w:szCs w:val="19"/>
              </w:rPr>
              <w:t xml:space="preserve">Hammurabi — controlador</w:t>
            </w:r>
          </w:p>
        </w:tc>
        <w:tc>
          <w:tcPr>
            <w:tcW w:type="dxa" w:w="0"/>
            <w:shd w:fill="f6f3ee" w:color="auto" w:val="clear"/>
            <w:tcMar>
              <w:top w:type="dxa" w:w="80"/>
              <w:left w:type="dxa" w:w="120"/>
              <w:bottom w:type="dxa" w:w="80"/>
              <w:right w:type="dxa" w:w="120"/>
            </w:tcMar>
          </w:tcPr>
          <w:p>
            <w:r>
              <w:rPr>
                <w:color w:val="222222"/>
                <w:sz w:val="19"/>
                <w:szCs w:val="19"/>
              </w:rPr>
              <w:t xml:space="preserve">Ganancia mal ajustada del lazo de realimentación</w:t>
            </w:r>
          </w:p>
        </w:tc>
        <w:tc>
          <w:tcPr>
            <w:tcW w:type="dxa" w:w="0"/>
            <w:shd w:fill="f6f3ee" w:color="auto" w:val="clear"/>
            <w:tcMar>
              <w:top w:type="dxa" w:w="80"/>
              <w:left w:type="dxa" w:w="120"/>
              <w:bottom w:type="dxa" w:w="80"/>
              <w:right w:type="dxa" w:w="120"/>
            </w:tcMar>
          </w:tcPr>
          <w:p>
            <w:r>
              <w:rPr>
                <w:color w:val="222222"/>
                <w:sz w:val="19"/>
                <w:szCs w:val="19"/>
              </w:rPr>
              <w:t xml:space="preserve">Inestabilidad: oscilación y escalada (venganza) o deriva del punto de consigna</w:t>
            </w:r>
          </w:p>
        </w:tc>
      </w:tr>
      <w:tr>
        <w:tc>
          <w:tcPr>
            <w:tcW w:type="dxa" w:w="0"/>
            <w:shd w:fill="ffffff" w:color="auto" w:val="clear"/>
            <w:tcMar>
              <w:top w:type="dxa" w:w="80"/>
              <w:left w:type="dxa" w:w="120"/>
              <w:bottom w:type="dxa" w:w="80"/>
              <w:right w:type="dxa" w:w="120"/>
            </w:tcMar>
          </w:tcPr>
          <w:p>
            <w:r>
              <w:rPr>
                <w:color w:val="222222"/>
                <w:sz w:val="19"/>
                <w:szCs w:val="19"/>
              </w:rPr>
              <w:t xml:space="preserve">Templo — integrador</w:t>
            </w:r>
          </w:p>
        </w:tc>
        <w:tc>
          <w:tcPr>
            <w:tcW w:type="dxa" w:w="0"/>
            <w:shd w:fill="ffffff" w:color="auto" w:val="clear"/>
            <w:tcMar>
              <w:top w:type="dxa" w:w="80"/>
              <w:left w:type="dxa" w:w="120"/>
              <w:bottom w:type="dxa" w:w="80"/>
              <w:right w:type="dxa" w:w="120"/>
            </w:tcMar>
          </w:tcPr>
          <w:p>
            <w:r>
              <w:rPr>
                <w:color w:val="222222"/>
                <w:sz w:val="19"/>
                <w:szCs w:val="19"/>
              </w:rPr>
              <w:t xml:space="preserve">Agotamiento o captura del amortiguador central</w:t>
            </w:r>
          </w:p>
        </w:tc>
        <w:tc>
          <w:tcPr>
            <w:tcW w:type="dxa" w:w="0"/>
            <w:shd w:fill="ffffff" w:color="auto" w:val="clear"/>
            <w:tcMar>
              <w:top w:type="dxa" w:w="80"/>
              <w:left w:type="dxa" w:w="120"/>
              <w:bottom w:type="dxa" w:w="80"/>
              <w:right w:type="dxa" w:w="120"/>
            </w:tcMar>
          </w:tcPr>
          <w:p>
            <w:r>
              <w:rPr>
                <w:color w:val="222222"/>
                <w:sz w:val="19"/>
                <w:szCs w:val="19"/>
              </w:rPr>
              <w:t xml:space="preserve">Saturación del integrador: el granero se vacía y el flujo deja de suavizarse</w:t>
            </w:r>
          </w:p>
        </w:tc>
      </w:tr>
    </w:tbl>
    <w:p>
      <w:pPr>
        <w:spacing w:after="60"/>
      </w:pPr>
      <w:r>
        <w:rPr>
          <w:sz w:val="8"/>
          <w:szCs w:val="8"/>
        </w:rPr>
        <w:t xml:space="preserve"/>
      </w:r>
    </w:p>
    <w:p>
      <w:pPr>
        <w:jc w:val="both"/>
      </w:pPr>
      <w:r>
        <w:rPr>
          <w:b/>
          <w:bCs/>
        </w:rPr>
        <w:t xml:space="preserve">El umbral.</w:t>
      </w:r>
      <w:r>
        <w:t xml:space="preserve"> La salinización es su caso puro: una variable lenta que se acumula de modo monótono, invisible mientras el rendimiento aguanta, y que al cruzar cierto punto lo derrumba sin vuelta atrás. Es la dinámica de la bifurcación de pliegue, con histéresis —desalinizar cuesta mucho más que salinizar—, y trae consigo su propia señal de alarma: el </w:t>
      </w:r>
      <w:r>
        <w:rPr>
          <w:i/>
          <w:iCs/>
        </w:rPr>
        <w:t xml:space="preserve">enlentecimiento crítico</w:t>
      </w:r>
      <w:r>
        <w:t xml:space="preserve">, la lentitud creciente con que el sistema se recupera de las malas rachas justo antes del vuelco. La senescencia biológica y los puntos de no retorno ecológicos tienen esta misma forma.</w:t>
      </w:r>
    </w:p>
    <w:p>
      <w:pPr>
        <w:jc w:val="both"/>
      </w:pPr>
      <w:r>
        <w:rPr>
          <w:b/>
          <w:bCs/>
        </w:rPr>
        <w:t xml:space="preserve">El decaimiento monótono.</w:t>
      </w:r>
      <w:r>
        <w:t xml:space="preserve"> El azolvamiento no cruza un umbral: degrada. El canal entrega cada año un poco menos de caudal; la red compensa un tiempo abriendo rutas colaterales —como la circulación colateral esquiva una arteria ocluida— y luego, sin drama, llega la insuficiencia. A esta misma familia pertenece la erosión de la redundancia: mientras la base sexagesimal o el código genético conservan sus caminos alternativos, el sistema absorbe golpes; pero cada camino que se pierde lo vuelve más quebradizo, hasta el choque que ya no tiene con qué amortiguar. El fallo no se ve venir porque, hasta el final, el sistema «funciona».</w:t>
      </w:r>
    </w:p>
    <w:p>
      <w:pPr>
        <w:jc w:val="both"/>
      </w:pPr>
      <w:r>
        <w:rPr>
          <w:b/>
          <w:bCs/>
        </w:rPr>
        <w:t xml:space="preserve">La catástrofe de error.</w:t>
      </w:r>
      <w:r>
        <w:t xml:space="preserve"> Es la patología propia de todo lo que se hereda copiando. Si la tasa de error de copia supera la capacidad de corrección, la información se degrada más rápido de lo que se restaura: el genoma —o el texto canónico— se disgrega en variantes y el consenso se pierde. En el cuneiforme esto tuvo una versión terminal: cuando la </w:t>
      </w:r>
      <w:r>
        <w:rPr>
          <w:i/>
          <w:iCs/>
        </w:rPr>
        <w:t xml:space="preserve">edubba</w:t>
      </w:r>
      <w:r>
        <w:t xml:space="preserve"> dejó de formar escribas, la «polimerasa» se detuvo y el sistema entero dejó de replicarse; la escritura murió, y con ella el acceso a mil años de tablillas. El mismo arquetipo, en el modelo generativo de los presagios, es el sobreajuste: </w:t>
      </w:r>
      <w:r>
        <w:rPr>
          <w:i/>
          <w:iCs/>
        </w:rPr>
        <w:t xml:space="preserve">priors</w:t>
      </w:r>
      <w:r>
        <w:t xml:space="preserve"> demasiado pegados al pasado que fallan ante lo genuinamente nuevo, y un sistema que, confiado, pelea la guerra anterior.</w:t>
      </w:r>
    </w:p>
    <w:p>
      <w:pPr>
        <w:jc w:val="both"/>
      </w:pPr>
      <w:r>
        <w:rPr>
          <w:b/>
          <w:bCs/>
        </w:rPr>
        <w:t xml:space="preserve">La desincronización.</w:t>
      </w:r>
      <w:r>
        <w:t xml:space="preserve"> Los relojes acoplados pueden perder la fase. Si el calendario deriva respecto de la estación —por un error de intercalación mantenido—, se siembra a destiempo y la coordinación que daba de comer se deshace sin que ninguna pieza esté, por separado, rota. Es la arritmia, el desfase circadiano, la pérdida de los puntos de control del ciclo celular: fallo por descoordinación, no por avería de las partes.</w:t>
      </w:r>
    </w:p>
    <w:p>
      <w:pPr>
        <w:jc w:val="both"/>
      </w:pPr>
      <w:r>
        <w:rPr>
          <w:b/>
          <w:bCs/>
        </w:rPr>
        <w:t xml:space="preserve">La inestabilidad del controlador.</w:t>
      </w:r>
      <w:r>
        <w:t xml:space="preserve"> Un lazo de retroalimentación mal ajustado no estabiliza: oscila. Demasiada ganancia y el castigo escala —la venganza llama a la venganza; la respuesta inmune se vuelve tormenta de citoquinas—; demasiado poca y la desviación se normaliza y el punto de consigna se corre. El derecho que quería amortiguar el conflicto puede, mal calibrado, amplificarlo.</w:t>
      </w:r>
    </w:p>
    <w:p>
      <w:pPr>
        <w:jc w:val="both"/>
      </w:pPr>
      <w:r>
        <w:rPr>
          <w:b/>
          <w:bCs/>
        </w:rPr>
        <w:t xml:space="preserve">El agotamiento del integrador.</w:t>
      </w:r>
      <w:r>
        <w:t xml:space="preserve"> El amortiguador central —el granero del templo, las reservas del hígado— funciona mientras el choque sea más corto que la despensa. Bajo un estrés sostenido, una sequía que no cede, el integrador se vacía y deja de suavizar el flujo; o, sin necesidad de sequía, se esclerotiza y lo capturan, y el órgano que repartía deja de repartir. La saturación del amortiguador convierte un mal año en una hambruna.</w:t>
      </w:r>
    </w:p>
    <w:p>
      <w:pPr>
        <w:jc w:val="both"/>
      </w:pPr>
      <w:r>
        <w:t xml:space="preserve">Lo revelador es que el arquetipo de colapso </w:t>
      </w:r>
      <w:r>
        <w:rPr>
          <w:i/>
          <w:iCs/>
        </w:rPr>
        <w:t xml:space="preserve">no es libre</w:t>
      </w:r>
      <w:r>
        <w:t xml:space="preserve">: lo elige la arquitectura. Un sistema que se sostiene acumulando una variable lenta morirá por umbral; uno que se sostiene copiando información morirá por catástrofe de error; uno que se sostiene con un amortiguador central morirá por agotamiento de ese amortiguador. El mismo isomorfismo que nombra cómo está hecho un sistema nombra cómo tiende a deshacerse —y, de paso, dónde poner los sensores: el enlentecimiento crítico antes de un umbral, la varianza creciente antes de una desincronización, la deriva del texto canónico antes de que el </w:t>
      </w:r>
      <w:r>
        <w:rPr>
          <w:i/>
          <w:iCs/>
        </w:rPr>
        <w:t xml:space="preserve">stemma</w:t>
      </w:r>
      <w:r>
        <w:t xml:space="preserve"> se parta—. Ahí es donde la analogía deja de ser adorno y empieza a pagar: predice el modo de la ruina.</w:t>
      </w:r>
    </w:p>
    <w:p>
      <w:pPr>
        <w:pStyle w:val="Heading1"/>
      </w:pPr>
      <w:r>
        <w:t xml:space="preserve">8 · El límite: dónde se rompe el mapeo</w:t>
      </w:r>
    </w:p>
    <w:p>
      <w:pPr>
        <w:jc w:val="both"/>
      </w:pPr>
      <w:r>
        <w:t xml:space="preserve">Queda marcar el límite, que es lo que separa esto del misticismo. El isomorfismo es rico, pero no es biyectivo, y conviene nombrar con precisión dónde cede. Una civilización tiene </w:t>
      </w:r>
      <w:r>
        <w:rPr>
          <w:i/>
          <w:iCs/>
        </w:rPr>
        <w:t xml:space="preserve">agentes con intención</w:t>
      </w:r>
      <w:r>
        <w:t xml:space="preserve">: sus piezas deliberan, anticipan el modelo y a veces lo burlan a propósito, cosa que ni una arteria ni un codón hacen. Su herencia es </w:t>
      </w:r>
      <w:r>
        <w:rPr>
          <w:i/>
          <w:iCs/>
        </w:rPr>
        <w:t xml:space="preserve">editable y horizontal</w:t>
      </w:r>
      <w:r>
        <w:t xml:space="preserve"> —las ideas se copian de lado, se corrigen queriendo, se importan del vecino—, de modo que el bucle hereditario es lamarckiano, no darwiniano. No hay un </w:t>
      </w:r>
      <w:r>
        <w:rPr>
          <w:i/>
          <w:iCs/>
        </w:rPr>
        <w:t xml:space="preserve">cuello de botella reproductivo</w:t>
      </w:r>
      <w:r>
        <w:t xml:space="preserve"> limpio que defina generaciones ni individuos nítidos; y las </w:t>
      </w:r>
      <w:r>
        <w:rPr>
          <w:i/>
          <w:iCs/>
        </w:rPr>
        <w:t xml:space="preserve">fronteras son porosas</w:t>
      </w:r>
      <w:r>
        <w:t xml:space="preserve">: una ciudad intercambia con otras sin dejar de ser ella.</w:t>
      </w:r>
    </w:p>
    <w:p>
      <w:pPr>
        <w:jc w:val="both"/>
      </w:pPr>
      <w:r>
        <w:t xml:space="preserve">Cada una de esas grietas es un lugar donde las ecuaciones del organismo dejan de aplicarse tal cual y hay que reescribirlas. Por eso el ejercicio honesto no es proclamar que la ciudad «es» un cuerpo, sino medir hasta dónde llega el parecido y señalar el punto exacto en que deja de valer. Nombrar dónde falla el mapeo no debilita el análisis: es el análisis.</w:t>
      </w:r>
    </w:p>
    <w:p>
      <w:pPr>
        <w:pStyle w:val="Heading1"/>
      </w:pPr>
      <w:r>
        <w:t xml:space="preserve">Fuentes</w:t>
      </w:r>
    </w:p>
    <w:p>
      <w:pPr>
        <w:spacing w:after="100"/>
        <w:ind w:left="360" w:hanging="360"/>
        <w:jc w:val="both"/>
      </w:pPr>
      <w:r>
        <w:rPr>
          <w:color w:val="3a3a3a"/>
          <w:sz w:val="19"/>
          <w:szCs w:val="19"/>
        </w:rPr>
        <w:t xml:space="preserve">Bertalanffy, L. von (1968). </w:t>
      </w:r>
      <w:r>
        <w:rPr>
          <w:i/>
          <w:iCs/>
          <w:color w:val="3a3a3a"/>
          <w:sz w:val="19"/>
          <w:szCs w:val="19"/>
        </w:rPr>
        <w:t xml:space="preserve">General System Theory: Foundations, Development, Applications</w:t>
      </w:r>
      <w:r>
        <w:rPr>
          <w:color w:val="3a3a3a"/>
          <w:sz w:val="19"/>
          <w:szCs w:val="19"/>
        </w:rPr>
        <w:t xml:space="preserve">. Nueva York: George Braziller. (Isomorfismo de leyes entre campos.)</w:t>
      </w:r>
    </w:p>
    <w:p>
      <w:pPr>
        <w:spacing w:after="100"/>
        <w:ind w:left="360" w:hanging="360"/>
        <w:jc w:val="both"/>
      </w:pPr>
      <w:r>
        <w:rPr>
          <w:color w:val="3a3a3a"/>
          <w:sz w:val="19"/>
          <w:szCs w:val="19"/>
        </w:rPr>
        <w:t xml:space="preserve">Wiener, N. (1948). </w:t>
      </w:r>
      <w:r>
        <w:rPr>
          <w:i/>
          <w:iCs/>
          <w:color w:val="3a3a3a"/>
          <w:sz w:val="19"/>
          <w:szCs w:val="19"/>
        </w:rPr>
        <w:t xml:space="preserve">Cybernetics: or Control and Communication in the Animal and the Machine</w:t>
      </w:r>
      <w:r>
        <w:rPr>
          <w:color w:val="3a3a3a"/>
          <w:sz w:val="19"/>
          <w:szCs w:val="19"/>
        </w:rPr>
        <w:t xml:space="preserve">. Cambridge, MA: MIT Press.</w:t>
      </w:r>
    </w:p>
    <w:p>
      <w:pPr>
        <w:spacing w:after="100"/>
        <w:ind w:left="360" w:hanging="360"/>
        <w:jc w:val="both"/>
      </w:pPr>
      <w:r>
        <w:rPr>
          <w:color w:val="3a3a3a"/>
          <w:sz w:val="19"/>
          <w:szCs w:val="19"/>
        </w:rPr>
        <w:t xml:space="preserve">Murray, C. D. (1926). «The Physiological Principle of Minimum Work. I. The Vascular System and the Cost of Blood Volume». </w:t>
      </w:r>
      <w:r>
        <w:rPr>
          <w:i/>
          <w:iCs/>
          <w:color w:val="3a3a3a"/>
          <w:sz w:val="19"/>
          <w:szCs w:val="19"/>
        </w:rPr>
        <w:t xml:space="preserve">PNAS</w:t>
      </w:r>
      <w:r>
        <w:rPr>
          <w:color w:val="3a3a3a"/>
          <w:sz w:val="19"/>
          <w:szCs w:val="19"/>
        </w:rPr>
        <w:t xml:space="preserve">, 12(3), 207–214. (Ley de Murray: R³ = a³ + b³.)</w:t>
      </w:r>
    </w:p>
    <w:p>
      <w:pPr>
        <w:spacing w:after="100"/>
        <w:ind w:left="360" w:hanging="360"/>
        <w:jc w:val="both"/>
      </w:pPr>
      <w:r>
        <w:rPr>
          <w:color w:val="3a3a3a"/>
          <w:sz w:val="19"/>
          <w:szCs w:val="19"/>
        </w:rPr>
        <w:t xml:space="preserve">West, G. B., Brown, J. H. y Enquist, B. J. (1997). «A General Model for the Origin of Allometric Scaling Laws in Biology». </w:t>
      </w:r>
      <w:r>
        <w:rPr>
          <w:i/>
          <w:iCs/>
          <w:color w:val="3a3a3a"/>
          <w:sz w:val="19"/>
          <w:szCs w:val="19"/>
        </w:rPr>
        <w:t xml:space="preserve">Science</w:t>
      </w:r>
      <w:r>
        <w:rPr>
          <w:color w:val="3a3a3a"/>
          <w:sz w:val="19"/>
          <w:szCs w:val="19"/>
        </w:rPr>
        <w:t xml:space="preserve">, 276(5309), 122–126. (Origen del exponente ¾.)</w:t>
      </w:r>
    </w:p>
    <w:p>
      <w:pPr>
        <w:spacing w:after="100"/>
        <w:ind w:left="360" w:hanging="360"/>
        <w:jc w:val="both"/>
      </w:pPr>
      <w:r>
        <w:rPr>
          <w:color w:val="3a3a3a"/>
          <w:sz w:val="19"/>
          <w:szCs w:val="19"/>
        </w:rPr>
        <w:t xml:space="preserve">West, G. B. (2017). </w:t>
      </w:r>
      <w:r>
        <w:rPr>
          <w:i/>
          <w:iCs/>
          <w:color w:val="3a3a3a"/>
          <w:sz w:val="19"/>
          <w:szCs w:val="19"/>
        </w:rPr>
        <w:t xml:space="preserve">Scale: The Universal Laws of Growth, Innovation, Sustainability, and the Pace of Life in Organisms, Cities, Economies, and Companies</w:t>
      </w:r>
      <w:r>
        <w:rPr>
          <w:color w:val="3a3a3a"/>
          <w:sz w:val="19"/>
          <w:szCs w:val="19"/>
        </w:rPr>
        <w:t xml:space="preserve">. Nueva York: Penguin Press. (Escalamiento sublineal vs. superlineal.)</w:t>
      </w:r>
    </w:p>
    <w:p>
      <w:pPr>
        <w:spacing w:after="100"/>
        <w:ind w:left="360" w:hanging="360"/>
        <w:jc w:val="both"/>
      </w:pPr>
      <w:r>
        <w:rPr>
          <w:color w:val="3a3a3a"/>
          <w:sz w:val="19"/>
          <w:szCs w:val="19"/>
        </w:rPr>
        <w:t xml:space="preserve">Jacobsen, T. y Adams, R. M. (1958). «Salt and Silt in Ancient Mesopotamian Agriculture». </w:t>
      </w:r>
      <w:r>
        <w:rPr>
          <w:i/>
          <w:iCs/>
          <w:color w:val="3a3a3a"/>
          <w:sz w:val="19"/>
          <w:szCs w:val="19"/>
        </w:rPr>
        <w:t xml:space="preserve">Science</w:t>
      </w:r>
      <w:r>
        <w:rPr>
          <w:color w:val="3a3a3a"/>
          <w:sz w:val="19"/>
          <w:szCs w:val="19"/>
        </w:rPr>
        <w:t xml:space="preserve">, 128(3334), 1251–1258. (Salinización; paso trigo→cebada; caída de rendimientos.)</w:t>
      </w:r>
    </w:p>
    <w:p>
      <w:pPr>
        <w:spacing w:after="100"/>
        <w:ind w:left="360" w:hanging="360"/>
        <w:jc w:val="both"/>
      </w:pPr>
      <w:r>
        <w:rPr>
          <w:color w:val="3a3a3a"/>
          <w:sz w:val="19"/>
          <w:szCs w:val="19"/>
        </w:rPr>
        <w:t xml:space="preserve">Wolpert, L. (1969). «Positional Information and the Spatial Pattern of Cellular Differentiation». </w:t>
      </w:r>
      <w:r>
        <w:rPr>
          <w:i/>
          <w:iCs/>
          <w:color w:val="3a3a3a"/>
          <w:sz w:val="19"/>
          <w:szCs w:val="19"/>
        </w:rPr>
        <w:t xml:space="preserve">Journal of Theoretical Biology</w:t>
      </w:r>
      <w:r>
        <w:rPr>
          <w:color w:val="3a3a3a"/>
          <w:sz w:val="19"/>
          <w:szCs w:val="19"/>
        </w:rPr>
        <w:t xml:space="preserve">, 25(1), 1–47. (Modelo de la bandera francesa.)</w:t>
      </w:r>
    </w:p>
    <w:p>
      <w:pPr>
        <w:spacing w:after="100"/>
        <w:ind w:left="360" w:hanging="360"/>
        <w:jc w:val="both"/>
      </w:pPr>
      <w:r>
        <w:rPr>
          <w:color w:val="3a3a3a"/>
          <w:sz w:val="19"/>
          <w:szCs w:val="19"/>
        </w:rPr>
        <w:t xml:space="preserve">Neugebauer, O. (1975). </w:t>
      </w:r>
      <w:r>
        <w:rPr>
          <w:i/>
          <w:iCs/>
          <w:color w:val="3a3a3a"/>
          <w:sz w:val="19"/>
          <w:szCs w:val="19"/>
        </w:rPr>
        <w:t xml:space="preserve">A History of Ancient Mathematical Astronomy</w:t>
      </w:r>
      <w:r>
        <w:rPr>
          <w:color w:val="3a3a3a"/>
          <w:sz w:val="19"/>
          <w:szCs w:val="19"/>
        </w:rPr>
        <w:t xml:space="preserve">. Berlín: Springer. (Sistemas A y B; funciones escalón y zigzag; ciclo de Saros.)</w:t>
      </w:r>
    </w:p>
    <w:p>
      <w:pPr>
        <w:spacing w:after="100"/>
        <w:ind w:left="360" w:hanging="360"/>
        <w:jc w:val="both"/>
      </w:pPr>
      <w:r>
        <w:rPr>
          <w:color w:val="3a3a3a"/>
          <w:sz w:val="19"/>
          <w:szCs w:val="19"/>
        </w:rPr>
        <w:t xml:space="preserve">Friston, K. (2010). «The Free-Energy Principle: A Unified Brain Theory?». </w:t>
      </w:r>
      <w:r>
        <w:rPr>
          <w:i/>
          <w:iCs/>
          <w:color w:val="3a3a3a"/>
          <w:sz w:val="19"/>
          <w:szCs w:val="19"/>
        </w:rPr>
        <w:t xml:space="preserve">Nature Reviews Neuroscience</w:t>
      </w:r>
      <w:r>
        <w:rPr>
          <w:color w:val="3a3a3a"/>
          <w:sz w:val="19"/>
          <w:szCs w:val="19"/>
        </w:rPr>
        <w:t xml:space="preserve">, 11(2), 127–138. (Codificación predictiva: percibir como minimizar la sorpresa.)</w:t>
      </w:r>
    </w:p>
    <w:p>
      <w:pPr>
        <w:spacing w:after="100"/>
        <w:ind w:left="360" w:hanging="360"/>
        <w:jc w:val="both"/>
      </w:pPr>
      <w:r>
        <w:rPr>
          <w:color w:val="3a3a3a"/>
          <w:sz w:val="19"/>
          <w:szCs w:val="19"/>
        </w:rPr>
        <w:t xml:space="preserve">Edelman, G. M. y Gally, J. A. (2001). «Degeneracy and Complexity in Biological Systems». </w:t>
      </w:r>
      <w:r>
        <w:rPr>
          <w:i/>
          <w:iCs/>
          <w:color w:val="3a3a3a"/>
          <w:sz w:val="19"/>
          <w:szCs w:val="19"/>
        </w:rPr>
        <w:t xml:space="preserve">PNAS</w:t>
      </w:r>
      <w:r>
        <w:rPr>
          <w:color w:val="3a3a3a"/>
          <w:sz w:val="19"/>
          <w:szCs w:val="19"/>
        </w:rPr>
        <w:t xml:space="preserve">, 98(24), 13763–13768. (Degeneración como fuente de robustez.)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1b18"/>
        <w:sz w:val="22"/>
        <w:szCs w:val="22"/>
      </w:rPr>
    </w:rPrDefault>
    <w:pPrDefault>
      <w:pPr>
        <w:spacing w:after="16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cfc0" w:sz="4" w:space="4"/>
      </w:pBdr>
      <w:spacing w:after="140" w:before="360"/>
      <w:outlineLvl w:val="0"/>
    </w:pPr>
    <w:rPr>
      <w:rFonts w:ascii="Georgia" w:cs="Georgia" w:eastAsia="Georgia" w:hAnsi="Georgia"/>
      <w:b/>
      <w:bCs/>
      <w:color w:val="2a2620"/>
      <w:sz w:val="30"/>
      <w:szCs w:val="30"/>
    </w:rPr>
  </w:style>
  <w:style w:type="paragraph" w:styleId="Heading2">
    <w:name w:val="Heading 2"/>
    <w:basedOn w:val="Normal"/>
    <w:next w:val="Normal"/>
    <w:qFormat/>
    <w:pPr>
      <w:spacing w:after="100" w:before="220"/>
      <w:outlineLvl w:val="1"/>
    </w:pPr>
    <w:rPr>
      <w:rFonts w:ascii="Georgia" w:cs="Georgia" w:eastAsia="Georgia" w:hAnsi="Georgia"/>
      <w:b/>
      <w:bCs/>
      <w:color w:val="5a53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Babilonia como sistema</dc:title>
  <dc:creator>Cowork</dc:creator>
  <dc:description>Isomorfismos estructurales entre civilización y organismo</dc:description>
  <cp:lastModifiedBy>Un-named</cp:lastModifiedBy>
  <cp:revision>1</cp:revision>
  <dcterms:created xsi:type="dcterms:W3CDTF">2026-07-14T03:55:52.475Z</dcterms:created>
  <dcterms:modified xsi:type="dcterms:W3CDTF">2026-07-14T03:55:52.475Z</dcterms:modified>
</cp:coreProperties>
</file>

<file path=docProps/custom.xml><?xml version="1.0" encoding="utf-8"?>
<Properties xmlns="http://schemas.openxmlformats.org/officeDocument/2006/custom-properties" xmlns:vt="http://schemas.openxmlformats.org/officeDocument/2006/docPropsVTypes"/>
</file>