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Isomorfismos entre la civilización babilónica, los organismos y los sistemas</w:t>
      </w:r>
    </w:p>
    <w:p>
      <w:pPr>
        <w:jc w:val="center"/>
      </w:pPr>
      <w:r>
        <w:rPr>
          <w:i/>
          <w:iCs/>
          <w:color w:val="5F5E5A"/>
          <w:sz w:val="26"/>
          <w:szCs w:val="26"/>
        </w:rPr>
        <w:t xml:space="preserve">Una lectura desde la Teoría General de Sistemas</w:t>
      </w:r>
    </w:p>
    <w:p>
      <w:pPr>
        <w:spacing w:after="240"/>
        <w:jc w:val="center"/>
      </w:pPr>
      <w:r>
        <w:rPr>
          <w:color w:val="888780"/>
          <w:sz w:val="18"/>
          <w:szCs w:val="18"/>
        </w:rPr>
        <w:t xml:space="preserve">Documento de trabajo · 14 de julio de 2026</w:t>
      </w:r>
    </w:p>
    <w:p>
      <w:pPr>
        <w:pStyle w:val="Heading1"/>
      </w:pPr>
      <w:r>
        <w:t xml:space="preserve">1. Qué se afirma cuando se dice «isomorfismo»</w:t>
      </w:r>
    </w:p>
    <w:p>
      <w:pPr>
        <w:jc w:val="both"/>
      </w:pPr>
      <w:r>
        <w:t xml:space="preserve">La palabra isomorfismo conviene usarla con rigor antes de aplicarla a algo tan vasto como una civilización. En su sentido matemático estricto —el de la teoría de modelos y el álgebra— un isomorfismo es una biyección entre dos estructuras que preserva todas sus relaciones y operaciones: cada elemento de una corresponde a uno y solo uno de la otra, y las relaciones se conservan en ambos sentidos. Dos estructuras isomorfas son, para todos los efectos internos, la misma estructura vestida con símbolos distintos. Un requisito más débil es el homomorfismo, un mapeo que preserva la estructura sin ser necesariamente biyectivo; y más débil aún, la equivalencia elemental: dos estructuras que satisfacen exactamente las mismas verdades de primer orden sin llegar a ser isomorfas. Esa jerarquía —isomorfía, homomorfía, equivalencia— es justo la que hace falta para hablar de Babilonia con honestidad: casi ninguna de las parejas que siguen es una biyección perfecta, pero muchas comparten la misma forma abstracta, la misma «física del sistema», realizada en materiales distintos.</w:t>
      </w:r>
    </w:p>
    <w:p>
      <w:pPr>
        <w:jc w:val="both"/>
      </w:pPr>
      <w:r>
        <w:t xml:space="preserve">Esa intuición tiene una tradición precisa. Ludwig von Bertalanffy fundó la Teoría General de Sistemas sobre exactamente esta idea: que leyes idénticas —crecimiento exponencial, saturación logística, estados estacionarios de sistemas abiertos, regulación por retroalimentación— reaparecen isomorfas en la física, la biología y lo social, y que esa reaparición no es casual sino consecuencia de restricciones compartidas. Norbert Wiener, con la cibernética, mostró que el control y la comunicación obedecen a las mismas ecuaciones en el animal y en la máquina. Douglas Hofstadter, en Gödel, Escher, Bach, hizo del isomorfismo entre sistemas formales el motor mismo del significado. Y el programa moderno de las leyes de escala —Geoffrey West y el Instituto de Santa Fe— halló una sola ley de potencia atravesando organismos, ciudades y empresas. Lo que sigue se mueve por ese gradiente que va del isomorfismo casi literal a la analogía fértil, y en cada caso intento señalar en qué punto del gradiente estamos.</w:t>
      </w:r>
    </w:p>
    <w:p>
      <w:pPr>
        <w:jc w:val="both"/>
      </w:pPr>
      <w:r>
        <w:t xml:space="preserve">Babilonia es un espécimen inusualmente bueno para el ejercicio porque dejó un sustrato legible: dependía de forma transparente de ríos y canales, escribía sobre un soporte imperecedero —la arcilla— y archivaba de manera obsesiva. Podemos leer su metabolismo casi como se lee el de un organismo.</w:t>
      </w:r>
    </w:p>
    <w:p>
      <w:pPr>
        <w:pStyle w:val="Heading1"/>
      </w:pPr>
      <w:r>
        <w:t xml:space="preserve">2. Las diez correspondencias</w:t>
      </w:r>
    </w:p>
    <w:p>
      <w:pPr>
        <w:jc w:val="both"/>
      </w:pPr>
      <w:r>
        <w:t xml:space="preserve">A grandes rasgos, diez rasgos del mundo babilónico comparten estructura con diez rasgos de los organismos y los sistemas. La tabla resume el mapeo; los párrafos que siguen lo justifican.</w:t>
      </w:r>
    </w:p>
    <w:p>
      <w:pPr>
        <w:spacing w:after="60"/>
      </w:pP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3120"/>
        <w:gridCol w:w="3120"/>
        <w:gridCol w:w="3120"/>
      </w:tblGrid>
      <w:tr>
        <w:trPr>
          <w:tblHeader/>
        </w:trPr>
        <w:tc>
          <w:tcPr>
            <w:tcW w:type="dxa" w:w="3120"/>
            <w:shd w:fill="EEEDFE" w:color="auto" w:val="clear"/>
            <w:tcMar>
              <w:top w:type="dxa" w:w="70"/>
              <w:left w:type="dxa" w:w="110"/>
              <w:bottom w:type="dxa" w:w="70"/>
              <w:right w:type="dxa" w:w="110"/>
            </w:tcMar>
          </w:tcPr>
          <w:p>
            <w:pPr>
              <w:spacing w:after="0" w:line="240" w:lineRule="auto"/>
            </w:pPr>
            <w:r>
              <w:rPr>
                <w:rFonts w:ascii="Georgia" w:cs="Georgia" w:eastAsia="Georgia" w:hAnsi="Georgia"/>
                <w:b/>
                <w:bCs/>
                <w:color w:val="26215C"/>
                <w:sz w:val="19"/>
                <w:szCs w:val="19"/>
              </w:rPr>
              <w:t xml:space="preserve">Babilonia</w:t>
            </w:r>
          </w:p>
        </w:tc>
        <w:tc>
          <w:tcPr>
            <w:tcW w:type="dxa" w:w="3120"/>
            <w:shd w:fill="EEEDFE" w:color="auto" w:val="clear"/>
            <w:tcMar>
              <w:top w:type="dxa" w:w="70"/>
              <w:left w:type="dxa" w:w="110"/>
              <w:bottom w:type="dxa" w:w="70"/>
              <w:right w:type="dxa" w:w="110"/>
            </w:tcMar>
          </w:tcPr>
          <w:p>
            <w:pPr>
              <w:spacing w:after="0" w:line="240" w:lineRule="auto"/>
            </w:pPr>
            <w:r>
              <w:rPr>
                <w:rFonts w:ascii="Georgia" w:cs="Georgia" w:eastAsia="Georgia" w:hAnsi="Georgia"/>
                <w:b/>
                <w:bCs/>
                <w:color w:val="26215C"/>
                <w:sz w:val="19"/>
                <w:szCs w:val="19"/>
              </w:rPr>
              <w:t xml:space="preserve">Estructura invariante</w:t>
            </w:r>
          </w:p>
        </w:tc>
        <w:tc>
          <w:tcPr>
            <w:tcW w:type="dxa" w:w="3120"/>
            <w:shd w:fill="EEEDFE" w:color="auto" w:val="clear"/>
            <w:tcMar>
              <w:top w:type="dxa" w:w="70"/>
              <w:left w:type="dxa" w:w="110"/>
              <w:bottom w:type="dxa" w:w="70"/>
              <w:right w:type="dxa" w:w="110"/>
            </w:tcMar>
          </w:tcPr>
          <w:p>
            <w:pPr>
              <w:spacing w:after="0" w:line="240" w:lineRule="auto"/>
            </w:pPr>
            <w:r>
              <w:rPr>
                <w:rFonts w:ascii="Georgia" w:cs="Georgia" w:eastAsia="Georgia" w:hAnsi="Georgia"/>
                <w:b/>
                <w:bCs/>
                <w:color w:val="26215C"/>
                <w:sz w:val="19"/>
                <w:szCs w:val="19"/>
              </w:rPr>
              <w:t xml:space="preserve">Organismo / Sistema</w:t>
            </w:r>
          </w:p>
        </w:tc>
      </w:tr>
      <w:tr>
        <w:trPr>
          <w:tblHeader w:val="false"/>
        </w:trPr>
        <w:tc>
          <w:tcPr>
            <w:tcW w:type="dxa" w:w="312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Canales de riego</w:t>
            </w:r>
          </w:p>
        </w:tc>
        <w:tc>
          <w:tcPr>
            <w:tcW w:type="dxa" w:w="312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Red ramificada de transporte</w:t>
            </w:r>
          </w:p>
        </w:tc>
        <w:tc>
          <w:tcPr>
            <w:tcW w:type="dxa" w:w="312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Sistema circulatorio y vascular</w:t>
            </w:r>
          </w:p>
        </w:tc>
      </w:tr>
      <w:tr>
        <w:trPr>
          <w:tblHeader w:val="false"/>
        </w:trPr>
        <w:tc>
          <w:tcPr>
            <w:tcW w:type="dxa" w:w="312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Base 60 (sexagesimal)</w:t>
            </w:r>
          </w:p>
        </w:tc>
        <w:tc>
          <w:tcPr>
            <w:tcW w:type="dxa" w:w="312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Redundancia / degeneración</w:t>
            </w:r>
          </w:p>
        </w:tc>
        <w:tc>
          <w:tcPr>
            <w:tcW w:type="dxa" w:w="312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Código genético; tolerancia a fallos</w:t>
            </w:r>
          </w:p>
        </w:tc>
      </w:tr>
      <w:tr>
        <w:trPr>
          <w:tblHeader w:val="false"/>
        </w:trPr>
        <w:tc>
          <w:tcPr>
            <w:tcW w:type="dxa" w:w="312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Cuneiforme + escuelas de escribas</w:t>
            </w:r>
          </w:p>
        </w:tc>
        <w:tc>
          <w:tcPr>
            <w:tcW w:type="dxa" w:w="312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Código discreto replicable</w:t>
            </w:r>
          </w:p>
        </w:tc>
        <w:tc>
          <w:tcPr>
            <w:tcW w:type="dxa" w:w="312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ADN y su maquinaria de copia</w:t>
            </w:r>
          </w:p>
        </w:tc>
      </w:tr>
      <w:tr>
        <w:trPr>
          <w:tblHeader w:val="false"/>
        </w:trPr>
        <w:tc>
          <w:tcPr>
            <w:tcW w:type="dxa" w:w="312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Notación posicional</w:t>
            </w:r>
          </w:p>
        </w:tc>
        <w:tc>
          <w:tcPr>
            <w:tcW w:type="dxa" w:w="312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Significado según la posición</w:t>
            </w:r>
          </w:p>
        </w:tc>
        <w:tc>
          <w:tcPr>
            <w:tcW w:type="dxa" w:w="312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Información posicional (morfógenos)</w:t>
            </w:r>
          </w:p>
        </w:tc>
      </w:tr>
      <w:tr>
        <w:trPr>
          <w:tblHeader w:val="false"/>
        </w:trPr>
        <w:tc>
          <w:tcPr>
            <w:tcW w:type="dxa" w:w="312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Catálogos de presagios (omina)</w:t>
            </w:r>
          </w:p>
        </w:tc>
        <w:tc>
          <w:tcPr>
            <w:tcW w:type="dxa" w:w="312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Modelo predictivo basado en priores</w:t>
            </w:r>
          </w:p>
        </w:tc>
        <w:tc>
          <w:tcPr>
            <w:tcW w:type="dxa" w:w="312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Codificación predictiva; memoria inmune</w:t>
            </w:r>
          </w:p>
        </w:tc>
      </w:tr>
      <w:tr>
        <w:trPr>
          <w:tblHeader w:val="false"/>
        </w:trPr>
        <w:tc>
          <w:tcPr>
            <w:tcW w:type="dxa" w:w="312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Astronomía aritmética (zigzag, Saros)</w:t>
            </w:r>
          </w:p>
        </w:tc>
        <w:tc>
          <w:tcPr>
            <w:tcW w:type="dxa" w:w="312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Descomposición en periodicidades</w:t>
            </w:r>
          </w:p>
        </w:tc>
        <w:tc>
          <w:tcPr>
            <w:tcW w:type="dxa" w:w="312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Osciladores biológicos; Fourier</w:t>
            </w:r>
          </w:p>
        </w:tc>
      </w:tr>
      <w:tr>
        <w:trPr>
          <w:tblHeader w:val="false"/>
        </w:trPr>
        <w:tc>
          <w:tcPr>
            <w:tcW w:type="dxa" w:w="312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Código de Hammurabi</w:t>
            </w:r>
          </w:p>
        </w:tc>
        <w:tc>
          <w:tcPr>
            <w:tcW w:type="dxa" w:w="312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Control por retroalimentación</w:t>
            </w:r>
          </w:p>
        </w:tc>
        <w:tc>
          <w:tcPr>
            <w:tcW w:type="dxa" w:w="312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Homeostasis; discriminación inmune</w:t>
            </w:r>
          </w:p>
        </w:tc>
      </w:tr>
      <w:tr>
        <w:trPr>
          <w:tblHeader w:val="false"/>
        </w:trPr>
        <w:tc>
          <w:tcPr>
            <w:tcW w:type="dxa" w:w="312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Economía redistributiva del templo</w:t>
            </w:r>
          </w:p>
        </w:tc>
        <w:tc>
          <w:tcPr>
            <w:tcW w:type="dxa" w:w="312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Integrador metabólico central</w:t>
            </w:r>
          </w:p>
        </w:tc>
        <w:tc>
          <w:tcPr>
            <w:tcW w:type="dxa" w:w="312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Metabolismo del superorganismo</w:t>
            </w:r>
          </w:p>
        </w:tc>
      </w:tr>
      <w:tr>
        <w:trPr>
          <w:tblHeader w:val="false"/>
        </w:trPr>
        <w:tc>
          <w:tcPr>
            <w:tcW w:type="dxa" w:w="312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Transmisión escribal del canon</w:t>
            </w:r>
          </w:p>
        </w:tc>
        <w:tc>
          <w:tcPr>
            <w:tcW w:type="dxa" w:w="312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Herencia con variación y selección</w:t>
            </w:r>
          </w:p>
        </w:tc>
        <w:tc>
          <w:tcPr>
            <w:tcW w:type="dxa" w:w="312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Filogenia; stemma textual</w:t>
            </w:r>
          </w:p>
        </w:tc>
      </w:tr>
      <w:tr>
        <w:trPr>
          <w:tblHeader w:val="false"/>
        </w:trPr>
        <w:tc>
          <w:tcPr>
            <w:tcW w:type="dxa" w:w="312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Salinización del suelo</w:t>
            </w:r>
          </w:p>
        </w:tc>
        <w:tc>
          <w:tcPr>
            <w:tcW w:type="dxa" w:w="312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Acumulación monótona de daño</w:t>
            </w:r>
          </w:p>
        </w:tc>
        <w:tc>
          <w:tcPr>
            <w:tcW w:type="dxa" w:w="312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Senescencia; puntos de no retorno</w:t>
            </w:r>
          </w:p>
        </w:tc>
      </w:tr>
    </w:tbl>
    <w:p>
      <w:pPr>
        <w:spacing w:after="60"/>
      </w:pPr>
    </w:p>
    <w:p>
      <w:pPr>
        <w:pStyle w:val="Heading2"/>
      </w:pPr>
      <w:r>
        <w:t xml:space="preserve">Redes, códigos y posiciones</w:t>
      </w:r>
    </w:p>
    <w:p>
      <w:pPr>
        <w:jc w:val="both"/>
      </w:pPr>
      <w:r>
        <w:t xml:space="preserve">El caso más ajustado —prácticamente las mismas ecuaciones— es el hidráulico, al que dedico la sección siguiente. Mesopotamia significa «entre ríos»: la civilización era una máquina para repartir el agua del Tigris y el Éufrates por una red de canales ramificados, es decir, un árbol de transporte que llena un área. Es el mismo problema de optimización que resuelven el xilema y el floema de las plantas y las arterias y capilares de los animales.</w:t>
      </w:r>
    </w:p>
    <w:p>
      <w:pPr>
        <w:jc w:val="both"/>
      </w:pPr>
      <w:r>
        <w:t xml:space="preserve">La base 60 no es un capricho. Sesenta es el número más pequeño divisible por 1, 2, 3, 4, 5 y 6; es altamente compuesto, de modo que casi cualquier partición o fracción sale exacta. Elegir una base muy divisible equivale a comprar tolerancia a fallos: siempre hay una manera limpia de repartir. Es el mismo principio que la degeneración biológica —varios codones para un mismo aminoácido, rutas metabólicas redundantes, representaciones distribuidas—: muchos caminos hacia el mismo resultado y, por ello, robustez frente a la perturbación.</w:t>
      </w:r>
    </w:p>
    <w:p>
      <w:pPr>
        <w:jc w:val="both"/>
      </w:pPr>
      <w:r>
        <w:t xml:space="preserve">El cuneiforme cierra el paralelo con la herencia. Es un código discreto y combinatorio impreso sobre un soporte durable y copiado a mano durante generaciones. El mapeo es limpio: la tablilla es el cromosoma; el inventario de signos, el alfabeto de codones; el escriba que lee y vuelve a instanciar el texto, la polimerasa o el ribosoma; la escuela de escribas —el edubba—, que estandarizaba signos y corregía al alumno, la maquinaria de corrección de errores; la recensión canónica —la versión «estándar» del poema de Gilgamesh— un genoma de consenso conservado; y los deslices de copia, mutaciones que a veces podemos rastrear en un stemma textual idéntico a una filogenia.</w:t>
      </w:r>
    </w:p>
    <w:p>
      <w:pPr>
        <w:jc w:val="both"/>
      </w:pPr>
      <w:r>
        <w:t xml:space="preserve">La notación posicional aporta un isomorfismo más sutil. En un sistema de valor posicional un mismo signo vale uno, sesenta o tres mil seiscientos según el lugar que ocupa. Esa es exactamente la abstracción de la información posicional en el desarrollo embrionario: el destino de una célula lo fija su posición dentro de un gradiente de morfógeno —el modelo de la «bandera francesa» de Lewis Wolpert—. El mismo símbolo, el mismo gen, el mismo dígito, significa cosas distintas según dónde esté. Incluso su dificultad con la casilla vacía —tardaron en introducir un signo de posición y nunca tuvieron un cero terminal— espeja el problema biológico de interpretar la ausencia de señal: ¿es un cero o es un borde?</w:t>
      </w:r>
    </w:p>
    <w:p>
      <w:pPr>
        <w:pStyle w:val="Heading2"/>
      </w:pPr>
      <w:r>
        <w:t xml:space="preserve">Predicción, ritmo y ley</w:t>
      </w:r>
    </w:p>
    <w:p>
      <w:pPr>
        <w:jc w:val="both"/>
      </w:pPr>
      <w:r>
        <w:t xml:space="preserve">Sus catálogos de presagios —el gran tratado celeste Enūma Anu Enlil, la extispicina que leía el hígado de los animales— eran tablas enormes de la forma «si observo X, entonces Y». Abstractamente eso es un modelo generativo aprendido: se acumulan priores y se contrasta la señal entrante contra ellos para anticipar. Es la misma estructura que la codificación predictiva del cerebro —percibir como minimizar la sorpresa frente a un modelo interno— y que la memoria del sistema inmune adaptativo, con su mapa antígeno→respuesta. Los babilonios construían, en arcilla, una memoria asociativa externa que anticipa el entorno: la función nuclear de cualquier controlador adaptativo.</w:t>
      </w:r>
    </w:p>
    <w:p>
      <w:pPr>
        <w:jc w:val="both"/>
      </w:pPr>
      <w:r>
        <w:t xml:space="preserve">Su astronomía matemática predecía la posición de la Luna y los planetas no con geometría sino con funciones aritméticas periódicas —las funciones «en zigzag», lineales de ida y vuelta, y las funciones escalón, los Sistemas A y B que catalogó Otto Neugebauer— y con ciclos como el de Saros (unos 18 años y 11 días) para los eclipses. Habían descubierto que un fenómeno complejo se descompone en periodicidades superpuestas, la misma intuición que sostiene el análisis de Fourier y que explica cómo la biología mide el tiempo: relojes circadianos, ciclo celular y otros osciladores acoplados que se superponen.</w:t>
      </w:r>
    </w:p>
    <w:p>
      <w:pPr>
        <w:jc w:val="both"/>
      </w:pPr>
      <w:r>
        <w:t xml:space="preserve">El Código de Hammurabi es una base de reglas condicionales que asigna a cada transgresión una respuesta proporcional —la ley del talión escala la pena a la ofensa—. Eso es, punto por punto, un controlador por retroalimentación: detectar la desviación respecto de un punto de consigna y aplicar una corrección proporcional al error; y es también la lógica inmune de distinguir lo propio de lo ajeno con una respuesta graduada. La ley es aquí el órgano homeostático de la sociedad.</w:t>
      </w:r>
    </w:p>
    <w:p>
      <w:pPr>
        <w:jc w:val="both"/>
      </w:pPr>
      <w:r>
        <w:t xml:space="preserve">La economía redistributiva centrada en el templo —el zigurat que acumulaba grano para reasignarlo— es el metabolismo de un superorganismo: como una colonia de hormigas o el propio cuerpo, un integrador central que amortigua los flujos frente a los choques; la hambruna o la estación son, para la ciudad, el ayuno o el estrés del organismo. Y la transmisión escribal del canon es herencia con variación y selección: información discreta, copiada con error y curada por una autoridad que selecciona; con la diferencia decisiva —a la que vuelvo al final— de que es lamarckiana y horizontal: las ideas saltan de lado y se eligen a propósito.</w:t>
      </w:r>
    </w:p>
    <w:p>
      <w:pPr>
        <w:pStyle w:val="Heading1"/>
      </w:pPr>
      <w:r>
        <w:t xml:space="preserve">3. Estudio en profundidad: el agua y la sal</w:t>
      </w:r>
    </w:p>
    <w:p>
      <w:pPr>
        <w:jc w:val="both"/>
      </w:pPr>
      <w:r>
        <w:t xml:space="preserve">De todas las correspondencias, la hidráulica es la que más se acerca a un isomorfismo verdadero, porque no comparte solo la forma sino las ecuaciones. Una red que debe llevar un recurso desde una fuente hasta cada punto de un territorio —agua a los campos, sangre a los tejidos, savia a las hojas— se enfrenta al mismo problema de optimización: minimizar la energía disipada en el transporte sujeta a la condición de llenar el espacio. West, Brown y Enquist demostraron en 1997 que de ese único principio —redes fractales que llenan el espacio, con ramas terminales invariantes y disipación mínima— se derivan las leyes alométricas de la biología, incluida la célebre escala de la tasa metabólica con la potencia 3/4 de la masa. La misma familia de soluciones describe el sistema cardiovascular de los vertebrados, el sistema vascular de las plantas y las tráqueas de los insectos.</w:t>
      </w:r>
    </w:p>
    <w:p>
      <w:pPr>
        <w:jc w:val="both"/>
      </w:pPr>
      <w:r>
        <w:t xml:space="preserve">El punto donde el paralelo se vuelve casi literal es la ley de Murray (1926): en una bifurcación óptima, el cubo del radio de la rama madre iguala la suma de los cubos de las ramas hijas (r₀³ = r₁³ + r₂³), porque esa relación minimiza el costo total de bombear el fluido y de mantener el conducto. El ingeniero de canales babilónico afrontaba el mismo compromiso con otras etiquetas: un canal más ancho transporta más agua pero cuesta más excavar y mantener, y pierde más por evaporación e infiltración. La topología resultante —troncales que se dividen en distributarios y estos en acequias de campo— es la de un árbol de transporte, y sus patologías son las de un árbol de transporte: el azolvamiento por sedimento que estrecha la luz del canal es, funcionalmente, la arteriosclerosis que estrecha la luz del vaso; ambas matan por pérdida de caudal.</w:t>
      </w:r>
    </w:p>
    <w:p>
      <w:pPr>
        <w:jc w:val="both"/>
      </w:pPr>
      <w:r>
        <w:t xml:space="preserve">Pero la patología que de verdad derribó al sur de Mesopotamia fue metabólica, no mecánica: la sal. Toda agua de riego lleva sales disueltas. Si se riega sin drenaje suficiente y el nivel freático sube, la evaporación en un clima árido concentra esas sales en la zona de las raíces. Es el equivalente exacto de un producto de desecho que el sistema no consigue excretar: se acumula de forma monótona hasta cruzar un umbral fisiológico. Thorkild Jacobsen y Robert McCormick Adams reunieron en 1958 la evidencia de ese proceso a partir de los propios archivos cuneiformes. Documentaron tres síntomas convergentes en el sur sumerio a lo largo del tercer milenio a. C.: la proporción de trigo —sensible a la sal— cae frente a la cebada —tolerante—, hasta que en algunos yacimientos el trigo casi desaparece hacia 1700 a. C.; aparecen menciones directas de que «la tierra se ha vuelto blanca»; y los rendimientos registrados en las tablillas se desploman, de unos 2.500 litros por hectárea hacia 2400 a. C. a alrededor de 1.460 hacia 2100 y a menos de 900 hacia 1700 a. C. en la región de Girsu y Lagash. El centro de gravedad de la civilización se desplazó hacia el norte, a Babilonia y Asiria, mientras las viejas ciudades sumerias del sur menguaban. Es la firma dinámica de la senescencia —una variable lenta, no reparada, que se acumula hasta un punto de no retorno— y también la del sobrepaso ecológico, donde el mismo proceso que produjo el éxito, el riego intensivo, erosiona la condición que lo hacía posible.</w:t>
      </w:r>
    </w:p>
    <w:p>
      <w:pPr>
        <w:jc w:val="both"/>
      </w:pPr>
      <w:r>
        <w:rPr>
          <w:b w:val="false"/>
          <w:bCs w:val="false"/>
          <w:i w:val="false"/>
          <w:iCs w:val="false"/>
        </w:rPr>
        <w:t xml:space="preserve">Conviene la cautela del buen sistémico: la tesis de Jacobsen y Adams ha sido matizada por la investigación posterior —el peso relativo de la sal frente a factores políticos, militares o de gestión hídrica sigue debatiéndose, y algunos autores han cuestionado la magnitud de las cifras—. Lo que no está en disputa es la </w:t>
      </w:r>
      <w:r>
        <w:rPr>
          <w:b w:val="false"/>
          <w:bCs w:val="false"/>
          <w:i/>
          <w:iCs/>
        </w:rPr>
        <w:t xml:space="preserve">forma</w:t>
      </w:r>
      <w:r>
        <w:rPr>
          <w:b w:val="false"/>
          <w:bCs w:val="false"/>
          <w:i w:val="false"/>
          <w:iCs w:val="false"/>
        </w:rPr>
        <w:t xml:space="preserve"> del proceso, y es esa forma, no una cifra concreta, la que constituye el isomorfismo con la senescencia y el colapso.</w:t>
      </w:r>
    </w:p>
    <w:p>
      <w:pPr>
        <w:pStyle w:val="Heading1"/>
      </w:pPr>
      <w:r>
        <w:t xml:space="preserve">4. El eje temporal: cada isomorfismo predice su propio colapso</w:t>
      </w:r>
    </w:p>
    <w:p>
      <w:pPr>
        <w:jc w:val="both"/>
      </w:pPr>
      <w:r>
        <w:t xml:space="preserve">Si las estructuras son de verdad compartidas, también deben serlo sus modos de fallo: cada arquitectura se rompe de una manera característica, y esa manera puede leerse tanto en el organismo como en la ciudad. Esta es quizá la parte más útil del ejercicio, porque convierte un catálogo de analogías en un conjunto de predicciones: dada la estructura, se anticipa la forma de su muerte.</w:t>
      </w:r>
    </w:p>
    <w:p>
      <w:pPr>
        <w:spacing w:after="60"/>
      </w:pP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100"/>
        <w:gridCol w:w="2340"/>
        <w:gridCol w:w="2460"/>
        <w:gridCol w:w="2460"/>
      </w:tblGrid>
      <w:tr>
        <w:trPr>
          <w:tblHeader/>
        </w:trPr>
        <w:tc>
          <w:tcPr>
            <w:tcW w:type="dxa" w:w="2100"/>
            <w:shd w:fill="EEEDFE" w:color="auto" w:val="clear"/>
            <w:tcMar>
              <w:top w:type="dxa" w:w="70"/>
              <w:left w:type="dxa" w:w="110"/>
              <w:bottom w:type="dxa" w:w="70"/>
              <w:right w:type="dxa" w:w="110"/>
            </w:tcMar>
          </w:tcPr>
          <w:p>
            <w:pPr>
              <w:spacing w:after="0" w:line="240" w:lineRule="auto"/>
            </w:pPr>
            <w:r>
              <w:rPr>
                <w:rFonts w:ascii="Georgia" w:cs="Georgia" w:eastAsia="Georgia" w:hAnsi="Georgia"/>
                <w:b/>
                <w:bCs/>
                <w:color w:val="26215C"/>
                <w:sz w:val="19"/>
                <w:szCs w:val="19"/>
              </w:rPr>
              <w:t xml:space="preserve">Estructura</w:t>
            </w:r>
          </w:p>
        </w:tc>
        <w:tc>
          <w:tcPr>
            <w:tcW w:type="dxa" w:w="2340"/>
            <w:shd w:fill="EEEDFE" w:color="auto" w:val="clear"/>
            <w:tcMar>
              <w:top w:type="dxa" w:w="70"/>
              <w:left w:type="dxa" w:w="110"/>
              <w:bottom w:type="dxa" w:w="70"/>
              <w:right w:type="dxa" w:w="110"/>
            </w:tcMar>
          </w:tcPr>
          <w:p>
            <w:pPr>
              <w:spacing w:after="0" w:line="240" w:lineRule="auto"/>
            </w:pPr>
            <w:r>
              <w:rPr>
                <w:rFonts w:ascii="Georgia" w:cs="Georgia" w:eastAsia="Georgia" w:hAnsi="Georgia"/>
                <w:b/>
                <w:bCs/>
                <w:color w:val="26215C"/>
                <w:sz w:val="19"/>
                <w:szCs w:val="19"/>
              </w:rPr>
              <w:t xml:space="preserve">Modo de fallo</w:t>
            </w:r>
          </w:p>
        </w:tc>
        <w:tc>
          <w:tcPr>
            <w:tcW w:type="dxa" w:w="2460"/>
            <w:shd w:fill="EEEDFE" w:color="auto" w:val="clear"/>
            <w:tcMar>
              <w:top w:type="dxa" w:w="70"/>
              <w:left w:type="dxa" w:w="110"/>
              <w:bottom w:type="dxa" w:w="70"/>
              <w:right w:type="dxa" w:w="110"/>
            </w:tcMar>
          </w:tcPr>
          <w:p>
            <w:pPr>
              <w:spacing w:after="0" w:line="240" w:lineRule="auto"/>
            </w:pPr>
            <w:r>
              <w:rPr>
                <w:rFonts w:ascii="Georgia" w:cs="Georgia" w:eastAsia="Georgia" w:hAnsi="Georgia"/>
                <w:b/>
                <w:bCs/>
                <w:color w:val="26215C"/>
                <w:sz w:val="19"/>
                <w:szCs w:val="19"/>
              </w:rPr>
              <w:t xml:space="preserve">En Babilonia</w:t>
            </w:r>
          </w:p>
        </w:tc>
        <w:tc>
          <w:tcPr>
            <w:tcW w:type="dxa" w:w="2460"/>
            <w:shd w:fill="EEEDFE" w:color="auto" w:val="clear"/>
            <w:tcMar>
              <w:top w:type="dxa" w:w="70"/>
              <w:left w:type="dxa" w:w="110"/>
              <w:bottom w:type="dxa" w:w="70"/>
              <w:right w:type="dxa" w:w="110"/>
            </w:tcMar>
          </w:tcPr>
          <w:p>
            <w:pPr>
              <w:spacing w:after="0" w:line="240" w:lineRule="auto"/>
            </w:pPr>
            <w:r>
              <w:rPr>
                <w:rFonts w:ascii="Georgia" w:cs="Georgia" w:eastAsia="Georgia" w:hAnsi="Georgia"/>
                <w:b/>
                <w:bCs/>
                <w:color w:val="26215C"/>
                <w:sz w:val="19"/>
                <w:szCs w:val="19"/>
              </w:rPr>
              <w:t xml:space="preserve">Análogo biológico / sistémico</w:t>
            </w:r>
          </w:p>
        </w:tc>
      </w:tr>
      <w:tr>
        <w:trPr>
          <w:tblHeader w:val="false"/>
        </w:trPr>
        <w:tc>
          <w:tcPr>
            <w:tcW w:type="dxa" w:w="210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Red de transporte</w:t>
            </w:r>
          </w:p>
        </w:tc>
        <w:tc>
          <w:tcPr>
            <w:tcW w:type="dxa" w:w="234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Esclerosis / obstrucción</w:t>
            </w:r>
          </w:p>
        </w:tc>
        <w:tc>
          <w:tcPr>
            <w:tcW w:type="dxa" w:w="246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Azolvamiento de canales</w:t>
            </w:r>
          </w:p>
        </w:tc>
        <w:tc>
          <w:tcPr>
            <w:tcW w:type="dxa" w:w="246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Arteriosclerosis</w:t>
            </w:r>
          </w:p>
        </w:tc>
      </w:tr>
      <w:tr>
        <w:trPr>
          <w:tblHeader w:val="false"/>
        </w:trPr>
        <w:tc>
          <w:tcPr>
            <w:tcW w:type="dxa" w:w="210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Redundancia</w:t>
            </w:r>
          </w:p>
        </w:tc>
        <w:tc>
          <w:tcPr>
            <w:tcW w:type="dxa" w:w="234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Pérdida de redundancia</w:t>
            </w:r>
          </w:p>
        </w:tc>
        <w:tc>
          <w:tcPr>
            <w:tcW w:type="dxa" w:w="246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Colgar de un solo cultivo o canal</w:t>
            </w:r>
          </w:p>
        </w:tc>
        <w:tc>
          <w:tcPr>
            <w:tcW w:type="dxa" w:w="246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Fragilidad por pérdida de degeneración</w:t>
            </w:r>
          </w:p>
        </w:tc>
      </w:tr>
      <w:tr>
        <w:trPr>
          <w:tblHeader w:val="false"/>
        </w:trPr>
        <w:tc>
          <w:tcPr>
            <w:tcW w:type="dxa" w:w="210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Código replicable</w:t>
            </w:r>
          </w:p>
        </w:tc>
        <w:tc>
          <w:tcPr>
            <w:tcW w:type="dxa" w:w="234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Catástrofe de error</w:t>
            </w:r>
          </w:p>
        </w:tc>
        <w:tc>
          <w:tcPr>
            <w:tcW w:type="dxa" w:w="246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Corrupción de copias de textos</w:t>
            </w:r>
          </w:p>
        </w:tc>
        <w:tc>
          <w:tcPr>
            <w:tcW w:type="dxa" w:w="246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Umbral de error de Eigen; mutación letal</w:t>
            </w:r>
          </w:p>
        </w:tc>
      </w:tr>
      <w:tr>
        <w:trPr>
          <w:tblHeader w:val="false"/>
        </w:trPr>
        <w:tc>
          <w:tcPr>
            <w:tcW w:type="dxa" w:w="210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Información posicional</w:t>
            </w:r>
          </w:p>
        </w:tc>
        <w:tc>
          <w:tcPr>
            <w:tcW w:type="dxa" w:w="234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Pérdida del gradiente</w:t>
            </w:r>
          </w:p>
        </w:tc>
        <w:tc>
          <w:tcPr>
            <w:tcW w:type="dxa" w:w="246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Señales de frontera ambiguas</w:t>
            </w:r>
          </w:p>
        </w:tc>
        <w:tc>
          <w:tcPr>
            <w:tcW w:type="dxa" w:w="246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Desorganización morfológica</w:t>
            </w:r>
          </w:p>
        </w:tc>
      </w:tr>
      <w:tr>
        <w:trPr>
          <w:tblHeader w:val="false"/>
        </w:trPr>
        <w:tc>
          <w:tcPr>
            <w:tcW w:type="dxa" w:w="210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Modelo predictivo</w:t>
            </w:r>
          </w:p>
        </w:tc>
        <w:tc>
          <w:tcPr>
            <w:tcW w:type="dxa" w:w="234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Sobreajuste a priores obsoletos</w:t>
            </w:r>
          </w:p>
        </w:tc>
        <w:tc>
          <w:tcPr>
            <w:tcW w:type="dxa" w:w="246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Presagios que ya no predicen</w:t>
            </w:r>
          </w:p>
        </w:tc>
        <w:tc>
          <w:tcPr>
            <w:tcW w:type="dxa" w:w="246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Rigidez perceptiva ante lo nuevo</w:t>
            </w:r>
          </w:p>
        </w:tc>
      </w:tr>
      <w:tr>
        <w:trPr>
          <w:tblHeader w:val="false"/>
        </w:trPr>
        <w:tc>
          <w:tcPr>
            <w:tcW w:type="dxa" w:w="210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Osciladores</w:t>
            </w:r>
          </w:p>
        </w:tc>
        <w:tc>
          <w:tcPr>
            <w:tcW w:type="dxa" w:w="234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Desincronización</w:t>
            </w:r>
          </w:p>
        </w:tc>
        <w:tc>
          <w:tcPr>
            <w:tcW w:type="dxa" w:w="246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Desajuste calendárico</w:t>
            </w:r>
          </w:p>
        </w:tc>
        <w:tc>
          <w:tcPr>
            <w:tcW w:type="dxa" w:w="246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Arritmia; pérdida del ritmo circadiano</w:t>
            </w:r>
          </w:p>
        </w:tc>
      </w:tr>
      <w:tr>
        <w:trPr>
          <w:tblHeader w:val="false"/>
        </w:trPr>
        <w:tc>
          <w:tcPr>
            <w:tcW w:type="dxa" w:w="210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Retroalimentación</w:t>
            </w:r>
          </w:p>
        </w:tc>
        <w:tc>
          <w:tcPr>
            <w:tcW w:type="dxa" w:w="234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Descontrol / oscilación</w:t>
            </w:r>
          </w:p>
        </w:tc>
        <w:tc>
          <w:tcPr>
            <w:tcW w:type="dxa" w:w="246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Justicia desbordada o rígida</w:t>
            </w:r>
          </w:p>
        </w:tc>
        <w:tc>
          <w:tcPr>
            <w:tcW w:type="dxa" w:w="246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Tormenta inmune; bucle fuera de control</w:t>
            </w:r>
          </w:p>
        </w:tc>
      </w:tr>
      <w:tr>
        <w:trPr>
          <w:tblHeader w:val="false"/>
        </w:trPr>
        <w:tc>
          <w:tcPr>
            <w:tcW w:type="dxa" w:w="210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Integrador metabólico</w:t>
            </w:r>
          </w:p>
        </w:tc>
        <w:tc>
          <w:tcPr>
            <w:tcW w:type="dxa" w:w="234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Fallo del centro</w:t>
            </w:r>
          </w:p>
        </w:tc>
        <w:tc>
          <w:tcPr>
            <w:tcW w:type="dxa" w:w="246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Colapso redistributivo en hambruna</w:t>
            </w:r>
          </w:p>
        </w:tc>
        <w:tc>
          <w:tcPr>
            <w:tcW w:type="dxa" w:w="246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Fallo metabólico sistémico</w:t>
            </w:r>
          </w:p>
        </w:tc>
      </w:tr>
      <w:tr>
        <w:trPr>
          <w:tblHeader w:val="false"/>
        </w:trPr>
        <w:tc>
          <w:tcPr>
            <w:tcW w:type="dxa" w:w="210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Herencia del canon</w:t>
            </w:r>
          </w:p>
        </w:tc>
        <w:tc>
          <w:tcPr>
            <w:tcW w:type="dxa" w:w="234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Ruptura de la transmisión</w:t>
            </w:r>
          </w:p>
        </w:tc>
        <w:tc>
          <w:tcPr>
            <w:tcW w:type="dxa" w:w="246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Pérdida del saber escribal</w:t>
            </w:r>
          </w:p>
        </w:tc>
        <w:tc>
          <w:tcPr>
            <w:tcW w:type="dxa" w:w="246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Extinción de linaje; pérdida de información</w:t>
            </w:r>
          </w:p>
        </w:tc>
      </w:tr>
      <w:tr>
        <w:trPr>
          <w:tblHeader w:val="false"/>
        </w:trPr>
        <w:tc>
          <w:tcPr>
            <w:tcW w:type="dxa" w:w="210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Acumulación lenta</w:t>
            </w:r>
          </w:p>
        </w:tc>
        <w:tc>
          <w:tcPr>
            <w:tcW w:type="dxa" w:w="234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Punto de no retorno</w:t>
            </w:r>
          </w:p>
        </w:tc>
        <w:tc>
          <w:tcPr>
            <w:tcW w:type="dxa" w:w="246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Salinización irreversible</w:t>
            </w:r>
          </w:p>
        </w:tc>
        <w:tc>
          <w:tcPr>
            <w:tcW w:type="dxa" w:w="2460"/>
            <w:tcMar>
              <w:top w:type="dxa" w:w="70"/>
              <w:left w:type="dxa" w:w="110"/>
              <w:bottom w:type="dxa" w:w="70"/>
              <w:right w:type="dxa" w:w="110"/>
            </w:tcMar>
          </w:tcPr>
          <w:p>
            <w:pPr>
              <w:spacing w:after="0" w:line="240" w:lineRule="auto"/>
            </w:pPr>
            <w:r>
              <w:rPr>
                <w:rFonts w:ascii="Georgia" w:cs="Georgia" w:eastAsia="Georgia" w:hAnsi="Georgia"/>
                <w:b w:val="false"/>
                <w:bCs w:val="false"/>
                <w:color w:val="222222"/>
                <w:sz w:val="19"/>
                <w:szCs w:val="19"/>
              </w:rPr>
              <w:t xml:space="preserve">Senescencia; colapso ecológico</w:t>
            </w:r>
          </w:p>
        </w:tc>
      </w:tr>
    </w:tbl>
    <w:p>
      <w:pPr>
        <w:spacing w:after="60"/>
      </w:pPr>
    </w:p>
    <w:p>
      <w:pPr>
        <w:jc w:val="both"/>
      </w:pPr>
      <w:r>
        <w:t xml:space="preserve">Leída en columna, la tabla cuenta una historia coherente. Las redes de transporte mueren por obstrucción; los sistemas redundantes, cuando pierden su redundancia y quedan colgando de un único punto —un solo cultivo, un solo canal, un solo gen esencial—; los códigos replicables, por catástrofe de error: el umbral que Manfred Eigen formalizó para las cuasiespecies —si la tasa de mutación supera cierto límite, la información se disuelve en ruido— vale igual para un genoma que para una tradición textual que se copia mal. Los modelos predictivos fallan por sobreajuste: unos priores que dejaron de corresponder al mundo —presagios que ya no predicen— vuelven rígido al sistema justo ante lo nuevo. Los osciladores fallan por desincronización; los controles por retroalimentación, por descontrol u oscilación —la tormenta inmune es una homeostasis vuelta contra sí misma—; los integradores metabólicos, cuando el centro cede y el reparto colapsa en plena hambruna. Y la acumulación lenta —la sal— fija el reloj del final: el punto de no retorno.</w:t>
      </w:r>
    </w:p>
    <w:p>
      <w:pPr>
        <w:pStyle w:val="Heading1"/>
      </w:pPr>
      <w:r>
        <w:t xml:space="preserve">5. Por qué convergen</w:t>
      </w:r>
    </w:p>
    <w:p>
      <w:pPr>
        <w:jc w:val="both"/>
      </w:pPr>
      <w:r>
        <w:t xml:space="preserve">La razón de fondo por la que una ciudad, un cuerpo y un «sistema» riman es que los tres son sistemas abiertos que mantienen su organización lejos del equilibrio a costa de un flujo constante de materia, energía e información, bajo restricciones y bajo selección. Cuando esas tres condiciones se dan, el espacio de soluciones viables es estrecho, y por eso las arquitecturas convergen: transporte ramificado que llena el espacio, regulación por retroalimentación, códigos discretos replicables, redundancia para la robustez, dinámica descompuesta en ciclos. La ley constructal de Adrian Bejan lo enuncia como principio: para que un sistema de flujo persista en el tiempo, su configuración debe evolucionar de modo que facilite el acceso a sus corrientes —y de ahí que el árbol reaparezca en el delta del río, en el pulmón y en la red de canales—. El programa de las leyes de escala lo confirma cuantitativamente: Bettencourt y West hallaron que muchas propiedades de las ciudades escalan con su población siguiendo leyes de potencia tan regulares como las que gobiernan el metabolismo animal. La convergencia no es misticismo; es lo que queda cuando las mismas restricciones filtran el mismo espacio de diseño.</w:t>
      </w:r>
    </w:p>
    <w:p>
      <w:pPr>
        <w:pStyle w:val="Heading1"/>
      </w:pPr>
      <w:r>
        <w:t xml:space="preserve">6. Los límites del isomorfismo</w:t>
      </w:r>
    </w:p>
    <w:p>
      <w:pPr>
        <w:jc w:val="both"/>
      </w:pPr>
      <w:r>
        <w:t xml:space="preserve">Nombrar dónde se rompe el mapeo es lo que separa este análisis de la pareidolia. Una civilización tiene agentes con intención, capaces de ver el problema y cambiar las reglas; su herencia es lamarckiana, horizontal y editable casi en tiempo real —las ideas se transmiten de lado, se copian a propósito y se corrigen en una sola generación—; carece del cuello de botella reproductivo limpio que disciplina la evolución biológica; y sus fronteras son porosas, sin la membrana que define a un organismo. Hay además una advertencia epistemológica: la realizabilidad múltiple corta en los dos sentidos —que dos sistemas compartan función no implica que compartan mecanismo— y la tentación de imponer patrones donde no los hay es real. Por eso el estatus honesto de casi todo lo anterior es el de homomorfismo o el de equivalencia estructural, no el de isomorfismo pleno. El único caso que se acerca de verdad a la biyección es el hidráulico, porque comparte las ecuaciones y no solo la silueta. El valor del resto no está en probar una identidad, sino en que la estructura compartida genera predicciones —sobre todo acerca de cómo colapsan las cosas— que de otro modo no veríamos.</w:t>
      </w:r>
    </w:p>
    <w:p>
      <w:pPr>
        <w:pStyle w:val="Heading1"/>
      </w:pPr>
      <w:r>
        <w:t xml:space="preserve">Fuentes</w:t>
      </w:r>
    </w:p>
    <w:p>
      <w:pPr>
        <w:spacing w:after="80"/>
        <w:ind w:left="360" w:hanging="360"/>
      </w:pPr>
      <w:r>
        <w:rPr>
          <w:color w:val="333333"/>
          <w:sz w:val="19"/>
          <w:szCs w:val="19"/>
        </w:rPr>
        <w:t xml:space="preserve">von Bertalanffy, L. (1968). General System Theory: Foundations, Development, Applications. George Braziller.</w:t>
      </w:r>
    </w:p>
    <w:p>
      <w:pPr>
        <w:spacing w:after="80"/>
        <w:ind w:left="360" w:hanging="360"/>
      </w:pPr>
      <w:r>
        <w:rPr>
          <w:color w:val="333333"/>
          <w:sz w:val="19"/>
          <w:szCs w:val="19"/>
        </w:rPr>
        <w:t xml:space="preserve">Wiener, N. (1948). Cybernetics: Or Control and Communication in the Animal and the Machine. MIT Press.</w:t>
      </w:r>
    </w:p>
    <w:p>
      <w:pPr>
        <w:spacing w:after="80"/>
        <w:ind w:left="360" w:hanging="360"/>
      </w:pPr>
      <w:r>
        <w:rPr>
          <w:color w:val="333333"/>
          <w:sz w:val="19"/>
          <w:szCs w:val="19"/>
        </w:rPr>
        <w:t xml:space="preserve">Hofstadter, D. R. (1979). Gödel, Escher, Bach: An Eternal Golden Braid. Basic Books.</w:t>
      </w:r>
    </w:p>
    <w:p>
      <w:pPr>
        <w:spacing w:after="80"/>
        <w:ind w:left="360" w:hanging="360"/>
      </w:pPr>
      <w:r>
        <w:rPr>
          <w:color w:val="333333"/>
          <w:sz w:val="19"/>
          <w:szCs w:val="19"/>
        </w:rPr>
        <w:t xml:space="preserve">West, G. B., Brown, J. H., &amp; Enquist, B. J. (1997). A General Model for the Origin of Allometric Scaling Laws in Biology. Science, 276(5309), 122–126. https://doi.org/10.1126/science.276.5309.122</w:t>
      </w:r>
    </w:p>
    <w:p>
      <w:pPr>
        <w:spacing w:after="80"/>
        <w:ind w:left="360" w:hanging="360"/>
      </w:pPr>
      <w:r>
        <w:rPr>
          <w:color w:val="333333"/>
          <w:sz w:val="19"/>
          <w:szCs w:val="19"/>
        </w:rPr>
        <w:t xml:space="preserve">Murray, C. D. (1926). The Physiological Principle of Minimum Work. PNAS, 12(3), 207–214.</w:t>
      </w:r>
    </w:p>
    <w:p>
      <w:pPr>
        <w:spacing w:after="80"/>
        <w:ind w:left="360" w:hanging="360"/>
      </w:pPr>
      <w:r>
        <w:rPr>
          <w:color w:val="333333"/>
          <w:sz w:val="19"/>
          <w:szCs w:val="19"/>
        </w:rPr>
        <w:t xml:space="preserve">Bettencourt, L. M. A., Lobo, J., Helbing, D., Kühnert, C., &amp; West, G. B. (2007). Growth, Innovation, Scaling, and the Pace of Life in Cities. PNAS, 104(17), 7301–7306. https://doi.org/10.1073/pnas.0610172104</w:t>
      </w:r>
    </w:p>
    <w:p>
      <w:pPr>
        <w:spacing w:after="80"/>
        <w:ind w:left="360" w:hanging="360"/>
      </w:pPr>
      <w:r>
        <w:rPr>
          <w:color w:val="333333"/>
          <w:sz w:val="19"/>
          <w:szCs w:val="19"/>
        </w:rPr>
        <w:t xml:space="preserve">Bejan, A., &amp; Lorente, S. (2008). Design with Constructal Theory. Wiley.</w:t>
      </w:r>
    </w:p>
    <w:p>
      <w:pPr>
        <w:spacing w:after="80"/>
        <w:ind w:left="360" w:hanging="360"/>
      </w:pPr>
      <w:r>
        <w:rPr>
          <w:color w:val="333333"/>
          <w:sz w:val="19"/>
          <w:szCs w:val="19"/>
        </w:rPr>
        <w:t xml:space="preserve">Jacobsen, T., &amp; Adams, R. M. (1958). Salt and Silt in Ancient Mesopotamian Agriculture. Science, 128(3334), 1251–1258. https://doi.org/10.1126/science.128.3334.1251</w:t>
      </w:r>
    </w:p>
    <w:p>
      <w:pPr>
        <w:spacing w:after="80"/>
        <w:ind w:left="360" w:hanging="360"/>
      </w:pPr>
      <w:r>
        <w:rPr>
          <w:color w:val="333333"/>
          <w:sz w:val="19"/>
          <w:szCs w:val="19"/>
        </w:rPr>
        <w:t xml:space="preserve">Neugebauer, O. (1957). The Exact Sciences in Antiquity. Brown University Press.</w:t>
      </w:r>
    </w:p>
    <w:p>
      <w:pPr>
        <w:spacing w:after="80"/>
        <w:ind w:left="360" w:hanging="360"/>
      </w:pPr>
      <w:r>
        <w:rPr>
          <w:color w:val="333333"/>
          <w:sz w:val="19"/>
          <w:szCs w:val="19"/>
        </w:rPr>
        <w:t xml:space="preserve">Wolpert, L. (1969). Positional Information and the Spatial Pattern of Cellular Differentiation. Journal of Theoretical Biology, 25(1), 1–47.</w:t>
      </w:r>
    </w:p>
    <w:p>
      <w:pPr>
        <w:spacing w:after="80"/>
        <w:ind w:left="360" w:hanging="360"/>
      </w:pPr>
      <w:r>
        <w:rPr>
          <w:color w:val="333333"/>
          <w:sz w:val="19"/>
          <w:szCs w:val="19"/>
        </w:rPr>
        <w:t xml:space="preserve">Rao, R. P. N., &amp; Ballard, D. H. (1999). Predictive Coding in the Visual Cortex. Nature Neuroscience, 2(1), 79–87.</w:t>
      </w:r>
    </w:p>
    <w:p>
      <w:pPr>
        <w:spacing w:after="80"/>
        <w:ind w:left="360" w:hanging="360"/>
      </w:pPr>
      <w:r>
        <w:rPr>
          <w:color w:val="333333"/>
          <w:sz w:val="19"/>
          <w:szCs w:val="19"/>
        </w:rPr>
        <w:t xml:space="preserve">Eigen, M. (1971). Selforganization of Matter and the Evolution of Biological Macromolecules. Naturwissenschaften, 58(10), 465–523.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22222"/>
        <w:sz w:val="22"/>
        <w:szCs w:val="22"/>
      </w:rPr>
    </w:rPrDefault>
    <w:pPrDefault>
      <w:pPr>
        <w:spacing w:after="140" w:line="288" w:lineRule="auto"/>
      </w:pPr>
    </w:pPrDefault>
  </w:docDefaults>
  <w:style w:type="paragraph" w:styleId="Title">
    <w:name w:val="Title"/>
    <w:basedOn w:val="Normal"/>
    <w:next w:val="Normal"/>
    <w:qFormat/>
    <w:pPr>
      <w:spacing w:after="60"/>
      <w:jc w:val="center"/>
    </w:pPr>
    <w:rPr>
      <w:rFonts w:ascii="Arial" w:cs="Arial" w:eastAsia="Arial" w:hAnsi="Arial"/>
      <w:b/>
      <w:bCs/>
      <w:color w:val="26215C"/>
      <w:sz w:val="40"/>
      <w:szCs w:val="40"/>
    </w:rPr>
  </w:style>
  <w:style w:type="paragraph" w:styleId="Heading1">
    <w:name w:val="Heading 1"/>
    <w:basedOn w:val="Normal"/>
    <w:next w:val="Normal"/>
    <w:qFormat/>
    <w:pPr>
      <w:keepNext/>
      <w:spacing w:after="140" w:before="340"/>
    </w:pPr>
    <w:rPr>
      <w:rFonts w:ascii="Arial" w:cs="Arial" w:eastAsia="Arial" w:hAnsi="Arial"/>
      <w:b/>
      <w:bCs/>
      <w:color w:val="3C3489"/>
      <w:sz w:val="30"/>
      <w:szCs w:val="30"/>
    </w:rPr>
  </w:style>
  <w:style w:type="paragraph" w:styleId="Heading2">
    <w:name w:val="Heading 2"/>
    <w:basedOn w:val="Normal"/>
    <w:next w:val="Normal"/>
    <w:qFormat/>
    <w:pPr>
      <w:keepNext/>
      <w:spacing w:after="90" w:before="220"/>
    </w:pPr>
    <w:rPr>
      <w:rFonts w:ascii="Arial" w:cs="Arial" w:eastAsia="Arial" w:hAnsi="Arial"/>
      <w:b/>
      <w:bCs/>
      <w:color w:val="26215C"/>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Isomorfismos babilónicos con organismos y sistemas</dc:title>
  <dc:creator>Cowork</dc:creator>
  <cp:lastModifiedBy>Un-named</cp:lastModifiedBy>
  <cp:revision>1</cp:revision>
  <dcterms:created xsi:type="dcterms:W3CDTF">2026-07-14T03:49:59.494Z</dcterms:created>
  <dcterms:modified xsi:type="dcterms:W3CDTF">2026-07-14T03:49:59.494Z</dcterms:modified>
</cp:coreProperties>
</file>

<file path=docProps/custom.xml><?xml version="1.0" encoding="utf-8"?>
<Properties xmlns="http://schemas.openxmlformats.org/officeDocument/2006/custom-properties" xmlns:vt="http://schemas.openxmlformats.org/officeDocument/2006/docPropsVTypes"/>
</file>