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p>
      <w:pPr>
        <w:pStyle w:val="Title"/>
        <w:jc w:val="center"/>
      </w:pPr>
      <w:r>
        <w:t>CORTEX-PERSIST</w:t>
      </w:r>
    </w:p>
    <w:p>
      <w:pPr>
        <w:jc w:val="center"/>
      </w:pPr>
      <w:r>
        <w:rPr>
          <w:color w:val="2E5090"/>
          <w:sz w:val="32"/>
        </w:rPr>
        <w:t>Infraestructura de Confianza Descentralizada para Agentes de IA Autónomos</w:t>
      </w:r>
    </w:p>
    <w:p>
      <w:r>
        <w:br/>
        <w:br/>
        <w:br/>
        <w:br/>
      </w:r>
    </w:p>
    <w:p>
      <w:pPr>
        <w:jc w:val="center"/>
      </w:pPr>
      <w:r>
        <w:t>Análisis Técnico Exhaustivo</w:t>
        <w:br/>
        <w:t>Autor: Borja Fernández Angulo</w:t>
        <w:br/>
        <w:t>CORTEX System v4.0</w:t>
      </w:r>
    </w:p>
    <w:p>
      <w:r>
        <w:br w:type="page"/>
      </w:r>
    </w:p>
    <w:p>
      <w:pPr>
        <w:pStyle w:val="Heading1"/>
      </w:pPr>
      <w:r>
        <w:t>Tabla de Contenidos</w:t>
      </w:r>
    </w:p>
    <w:p>
      <w:pPr>
        <w:pStyle w:val="ListNumber"/>
      </w:pPr>
      <w:r>
        <w:t>1. El Imperativo Estratégico: La Crisis de Confianza</w:t>
      </w:r>
    </w:p>
    <w:p>
      <w:pPr>
        <w:pStyle w:val="ListNumber"/>
      </w:pPr>
      <w:r>
        <w:t>2. Contexto Regulatorio: Cumplimiento por Diseño y EU AI Act</w:t>
      </w:r>
    </w:p>
    <w:p>
      <w:pPr>
        <w:pStyle w:val="ListNumber"/>
      </w:pPr>
      <w:r>
        <w:t>3. El Motor de Confianza CORTEX (arquitectura de 5 capas)</w:t>
      </w:r>
    </w:p>
    <w:p>
      <w:pPr>
        <w:pStyle w:val="ListNumber"/>
      </w:pPr>
      <w:r>
        <w:t>4. Sistema de Memoria Cognitiva Tripartita (L1/L2/L3)</w:t>
      </w:r>
    </w:p>
    <w:p>
      <w:pPr>
        <w:pStyle w:val="ListNumber"/>
      </w:pPr>
      <w:r>
        <w:t>5. Criptografía y Verificación (SHA-256, Merkle Trees, Sandbox AST)</w:t>
      </w:r>
    </w:p>
    <w:p>
      <w:pPr>
        <w:pStyle w:val="ListNumber"/>
      </w:pPr>
      <w:r>
        <w:t>6. Consenso Multi-Agente (WBFT)</w:t>
      </w:r>
    </w:p>
    <w:p>
      <w:pPr>
        <w:pStyle w:val="ListNumber"/>
      </w:pPr>
      <w:r>
        <w:t>7. Interoperabilidad y Despliegue Multiplataforma</w:t>
      </w:r>
    </w:p>
    <w:p>
      <w:pPr>
        <w:pStyle w:val="ListNumber"/>
      </w:pPr>
      <w:r>
        <w:t>8. Metrología del Código Base (45,500 LOC, 444 módulos)</w:t>
      </w:r>
    </w:p>
    <w:p>
      <w:pPr>
        <w:pStyle w:val="ListNumber"/>
      </w:pPr>
      <w:r>
        <w:t>9. Conclusiones Estratégicas</w:t>
      </w:r>
    </w:p>
    <w:p>
      <w:r>
        <w:br w:type="page"/>
      </w:r>
    </w:p>
    <w:p>
      <w:pPr>
        <w:pStyle w:val="Heading1"/>
      </w:pPr>
      <w:r>
        <w:t>1. El Imperativo Estratégico: La Crisis de Confianza</w:t>
      </w:r>
    </w:p>
    <w:p>
      <w:r>
        <w:t>La adopción de agentes de inteligencia artificial autónomos en entornos empresariales críticos se ve frenada por una crisis fundamental: la falta de confianza. Las organizaciones requieren garantías irrefutables de que los agentes operan dentro de límites predefinidos, que sus acciones son trazables y que la infraestructura subyacente puede resistir manipulaciones maliciosas o derivas estocásticas. CORTEX-Persist emerge como la solución arquitectónica a esta anomalía estructurada.</w:t>
      </w:r>
    </w:p>
    <w:p>
      <w:pPr>
        <w:pStyle w:val="Heading1"/>
      </w:pPr>
      <w:r>
        <w:t>2. Contexto Regulatorio: Cumplimiento por Diseño y EU AI Act</w:t>
      </w:r>
    </w:p>
    <w:p>
      <w:r>
        <w:t>CORTEX implementa un modelo de 'Cumplimiento por Diseño', asegurando que la arquitectura base satisface nativamente los requisitos regulatorios globales, en particular la EU AI Act.</w:t>
      </w:r>
    </w:p>
    <w:p>
      <w:pPr>
        <w:pStyle w:val="Heading2"/>
      </w:pPr>
      <w:r>
        <w:t>Tabla 1: Cumplimiento Normativo (EU AI Act)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fill="2E5090"/>
          </w:tcPr>
          <w:p>
            <w:r>
              <w:rPr>
                <w:color w:val="FFFFFF"/>
              </w:rPr>
              <w:t>Requisito EU AI Act</w:t>
            </w:r>
          </w:p>
        </w:tc>
        <w:tc>
          <w:tcPr>
            <w:tcW w:type="dxa" w:w="4680"/>
            <w:shd w:fill="2E5090"/>
          </w:tcPr>
          <w:p>
            <w:r>
              <w:rPr>
                <w:color w:val="FFFFFF"/>
              </w:rPr>
              <w:t>Implementación en CORTEX</w:t>
            </w:r>
          </w:p>
        </w:tc>
      </w:tr>
      <w:tr>
        <w:tc>
          <w:tcPr>
            <w:tcW w:type="dxa" w:w="3600"/>
          </w:tcPr>
          <w:p>
            <w:r>
              <w:t>Transparencia y Trazabilidad</w:t>
            </w:r>
          </w:p>
        </w:tc>
        <w:tc>
          <w:tcPr>
            <w:tcW w:type="dxa" w:w="5760"/>
          </w:tcPr>
          <w:p>
            <w:r>
              <w:t>Log inmutable criptográfico de decisiones y acciones de los agentes (Chain of Thought Ledger).</w:t>
            </w:r>
          </w:p>
        </w:tc>
      </w:tr>
      <w:tr>
        <w:tc>
          <w:tcPr>
            <w:tcW w:type="dxa" w:w="3600"/>
          </w:tcPr>
          <w:p>
            <w:r>
              <w:t>Supervisión Humana</w:t>
            </w:r>
          </w:p>
        </w:tc>
        <w:tc>
          <w:tcPr>
            <w:tcW w:type="dxa" w:w="5760"/>
          </w:tcPr>
          <w:p>
            <w:r>
              <w:t>Protocolos "Human-in-the-loop" obligatorios en operaciones críticas (C-Level Sandbox).</w:t>
            </w:r>
          </w:p>
        </w:tc>
      </w:tr>
      <w:tr>
        <w:tc>
          <w:tcPr>
            <w:tcW w:type="dxa" w:w="3600"/>
          </w:tcPr>
          <w:p>
            <w:r>
              <w:t>Gestión de Riesgos</w:t>
            </w:r>
          </w:p>
        </w:tc>
        <w:tc>
          <w:tcPr>
            <w:tcW w:type="dxa" w:w="5760"/>
          </w:tcPr>
          <w:p>
            <w:r>
              <w:t>Evaluación estocástica y sandboxing estricto de ejecución de código (AST validation).</w:t>
            </w:r>
          </w:p>
        </w:tc>
      </w:tr>
    </w:tbl>
    <w:p>
      <w:pPr>
        <w:pStyle w:val="Heading1"/>
      </w:pPr>
      <w:r>
        <w:t>3. El Motor de Confianza CORTEX (arquitectura de 5 capas)</w:t>
      </w:r>
    </w:p>
    <w:p>
      <w:r>
        <w:t>El núcleo de CORTEX es su motor de confianza, segmentado en cinco bi-capas estructurales para garantizar aislamiento absoluto y comunicación segura (Zero-Trust).</w:t>
      </w:r>
    </w:p>
    <w:p>
      <w:pPr>
        <w:pStyle w:val="Heading2"/>
      </w:pPr>
      <w:r>
        <w:t>Tabla 2: Interfaces de las Capas del Motor CORTEX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4680"/>
            <w:shd w:fill="2E5090"/>
          </w:tcPr>
          <w:p>
            <w:r>
              <w:rPr>
                <w:color w:val="FFFFFF"/>
              </w:rPr>
              <w:t>Capa</w:t>
            </w:r>
          </w:p>
        </w:tc>
        <w:tc>
          <w:tcPr>
            <w:tcW w:type="dxa" w:w="4680"/>
            <w:shd w:fill="2E5090"/>
          </w:tcPr>
          <w:p>
            <w:r>
              <w:rPr>
                <w:color w:val="FFFFFF"/>
              </w:rPr>
              <w:t>Responsabilidad e Interfaz</w:t>
            </w:r>
          </w:p>
        </w:tc>
      </w:tr>
      <w:tr>
        <w:tc>
          <w:tcPr>
            <w:tcW w:type="dxa" w:w="2160"/>
          </w:tcPr>
          <w:p>
            <w:r>
              <w:t>L0 - Base</w:t>
            </w:r>
          </w:p>
        </w:tc>
        <w:tc>
          <w:tcPr>
            <w:tcW w:type="dxa" w:w="7200"/>
          </w:tcPr>
          <w:p>
            <w:r>
              <w:t>Sistema subyacente y sistema de archivos cifrado (AES-256).</w:t>
            </w:r>
          </w:p>
        </w:tc>
      </w:tr>
      <w:tr>
        <w:tc>
          <w:tcPr>
            <w:tcW w:type="dxa" w:w="2160"/>
          </w:tcPr>
          <w:p>
            <w:r>
              <w:t>L1 - Engine</w:t>
            </w:r>
          </w:p>
        </w:tc>
        <w:tc>
          <w:tcPr>
            <w:tcW w:type="dxa" w:w="7200"/>
          </w:tcPr>
          <w:p>
            <w:r>
              <w:t>Motor de ejecución determinista y Sandbox AST.</w:t>
            </w:r>
          </w:p>
        </w:tc>
      </w:tr>
      <w:tr>
        <w:tc>
          <w:tcPr>
            <w:tcW w:type="dxa" w:w="2160"/>
          </w:tcPr>
          <w:p>
            <w:r>
              <w:t>L2 - Memory</w:t>
            </w:r>
          </w:p>
        </w:tc>
        <w:tc>
          <w:tcPr>
            <w:tcW w:type="dxa" w:w="7200"/>
          </w:tcPr>
          <w:p>
            <w:r>
              <w:t>Memoria transaccional L1/L2/L3 (Redis/SQLite).</w:t>
            </w:r>
          </w:p>
        </w:tc>
      </w:tr>
      <w:tr>
        <w:tc>
          <w:tcPr>
            <w:tcW w:type="dxa" w:w="2160"/>
          </w:tcPr>
          <w:p>
            <w:r>
              <w:t>L3 - Agent</w:t>
            </w:r>
          </w:p>
        </w:tc>
        <w:tc>
          <w:tcPr>
            <w:tcW w:type="dxa" w:w="7200"/>
          </w:tcPr>
          <w:p>
            <w:r>
              <w:t>Máquina de estados finitos del Agente y WBFT.</w:t>
            </w:r>
          </w:p>
        </w:tc>
      </w:tr>
      <w:tr>
        <w:tc>
          <w:tcPr>
            <w:tcW w:type="dxa" w:w="2160"/>
          </w:tcPr>
          <w:p>
            <w:r>
              <w:t>L4 - Network</w:t>
            </w:r>
          </w:p>
        </w:tc>
        <w:tc>
          <w:tcPr>
            <w:tcW w:type="dxa" w:w="7200"/>
          </w:tcPr>
          <w:p>
            <w:r>
              <w:t>Protocolos M2M cifrados y RPC sobre TLS 1.3.</w:t>
            </w:r>
          </w:p>
        </w:tc>
      </w:tr>
    </w:tbl>
    <w:p>
      <w:pPr>
        <w:pStyle w:val="Heading1"/>
      </w:pPr>
      <w:r>
        <w:t>4. Sistema de Memoria Cognitiva Tripartita (L1/L2/L3)</w:t>
      </w:r>
    </w:p>
    <w:p>
      <w:r>
        <w:t>El sistema de memoria simula la cognición mamífera avanzada, permitiendo a los agentes razonar temporalmente sin colapso de contexto.</w:t>
      </w:r>
    </w:p>
    <w:p>
      <w:pPr>
        <w:pStyle w:val="Heading2"/>
      </w:pPr>
      <w:r>
        <w:t>Tabla 3: Niveles de Memoria Cognitiva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20"/>
            <w:shd w:fill="2E5090"/>
          </w:tcPr>
          <w:p>
            <w:r>
              <w:rPr>
                <w:color w:val="FFFFFF"/>
              </w:rPr>
              <w:t>Nivel Cognitivo</w:t>
            </w:r>
          </w:p>
        </w:tc>
        <w:tc>
          <w:tcPr>
            <w:tcW w:type="dxa" w:w="3120"/>
            <w:shd w:fill="2E5090"/>
          </w:tcPr>
          <w:p>
            <w:r>
              <w:rPr>
                <w:color w:val="FFFFFF"/>
              </w:rPr>
              <w:t>Tecnología</w:t>
            </w:r>
          </w:p>
        </w:tc>
        <w:tc>
          <w:tcPr>
            <w:tcW w:type="dxa" w:w="3120"/>
            <w:shd w:fill="2E5090"/>
          </w:tcPr>
          <w:p>
            <w:r>
              <w:rPr>
                <w:color w:val="FFFFFF"/>
              </w:rPr>
              <w:t>Persistencia / TTL</w:t>
            </w:r>
          </w:p>
        </w:tc>
      </w:tr>
      <w:tr>
        <w:tc>
          <w:tcPr>
            <w:tcW w:type="dxa" w:w="3024"/>
          </w:tcPr>
          <w:p>
            <w:r>
              <w:t>L1: Working Memory</w:t>
            </w:r>
          </w:p>
        </w:tc>
        <w:tc>
          <w:tcPr>
            <w:tcW w:type="dxa" w:w="3024"/>
          </w:tcPr>
          <w:p>
            <w:r>
              <w:t>Redis (In-Memory)</w:t>
            </w:r>
          </w:p>
        </w:tc>
        <w:tc>
          <w:tcPr>
            <w:tcW w:type="dxa" w:w="3024"/>
          </w:tcPr>
          <w:p>
            <w:r>
              <w:t>Efímera (Volátil, sub-milisegundo).</w:t>
            </w:r>
          </w:p>
        </w:tc>
      </w:tr>
      <w:tr>
        <w:tc>
          <w:tcPr>
            <w:tcW w:type="dxa" w:w="3024"/>
          </w:tcPr>
          <w:p>
            <w:r>
              <w:t>L2: Episodic Memory</w:t>
            </w:r>
          </w:p>
        </w:tc>
        <w:tc>
          <w:tcPr>
            <w:tcW w:type="dxa" w:w="3024"/>
          </w:tcPr>
          <w:p>
            <w:r>
              <w:t>SQLiteDB (Transaccional)</w:t>
            </w:r>
          </w:p>
        </w:tc>
        <w:tc>
          <w:tcPr>
            <w:tcW w:type="dxa" w:w="3024"/>
          </w:tcPr>
          <w:p>
            <w:r>
              <w:t>Sesión / Proyecto (Indices semánticos).</w:t>
            </w:r>
          </w:p>
        </w:tc>
      </w:tr>
      <w:tr>
        <w:tc>
          <w:tcPr>
            <w:tcW w:type="dxa" w:w="3024"/>
          </w:tcPr>
          <w:p>
            <w:r>
              <w:t>L3: Semantic Core</w:t>
            </w:r>
          </w:p>
        </w:tc>
        <w:tc>
          <w:tcPr>
            <w:tcW w:type="dxa" w:w="3024"/>
          </w:tcPr>
          <w:p>
            <w:r>
              <w:t>Vector DB</w:t>
            </w:r>
          </w:p>
        </w:tc>
        <w:tc>
          <w:tcPr>
            <w:tcW w:type="dxa" w:w="3024"/>
          </w:tcPr>
          <w:p>
            <w:r>
              <w:t>Permanente (Conocimiento ontológico).</w:t>
            </w:r>
          </w:p>
        </w:tc>
      </w:tr>
    </w:tbl>
    <w:p>
      <w:pPr>
        <w:pStyle w:val="Heading1"/>
      </w:pPr>
      <w:r>
        <w:t>5. Criptografía y Verificación (SHA-256, Merkle Trees, Sandbox AST)</w:t>
      </w:r>
    </w:p>
    <w:p>
      <w:r>
        <w:t>La integridad de los datos en CORTEX está garantizada a través de primitivas criptográficas robustas y un entorno de validación abstracto (AST). Cada modificación de estado genera un hash que se entrelaza en un Árbol de Merkle.</w:t>
      </w:r>
    </w:p>
    <w:p>
      <w:pPr>
        <w:pStyle w:val="Heading1"/>
      </w:pPr>
      <w:r>
        <w:t>6. Consenso Multi-Agente (WBFT)</w:t>
      </w:r>
    </w:p>
    <w:p>
      <w:r>
        <w:t>La comunicación en enjambre requiere tolerancia a fallos. CORTEX implementa una variante de Tolerancia a Faltas Bizantinas Ponderada (WBFT).</w:t>
      </w:r>
    </w:p>
    <w:p>
      <w:pPr>
        <w:pStyle w:val="Heading2"/>
      </w:pPr>
      <w:r>
        <w:t>Tabla 4: Frameworks de Consenso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shd w:fill="2E5090"/>
          </w:tcPr>
          <w:p>
            <w:r>
              <w:rPr>
                <w:color w:val="FFFFFF"/>
              </w:rPr>
              <w:t>Mecanismo</w:t>
            </w:r>
          </w:p>
        </w:tc>
        <w:tc>
          <w:tcPr>
            <w:tcW w:type="dxa" w:w="4680"/>
            <w:shd w:fill="2E5090"/>
          </w:tcPr>
          <w:p>
            <w:r>
              <w:rPr>
                <w:color w:val="FFFFFF"/>
              </w:rPr>
              <w:t>Implementación CORTEX-WBFT</w:t>
            </w:r>
          </w:p>
        </w:tc>
      </w:tr>
      <w:tr>
        <w:tc>
          <w:tcPr>
            <w:tcW w:type="dxa" w:w="2880"/>
          </w:tcPr>
          <w:p>
            <w:r>
              <w:t>Leader Election</w:t>
            </w:r>
          </w:p>
        </w:tc>
        <w:tc>
          <w:tcPr>
            <w:tcW w:type="dxa" w:w="6480"/>
          </w:tcPr>
          <w:p>
            <w:r>
              <w:t>Rotación determinista basada en reputación histórica (proof-of-accuracy).</w:t>
            </w:r>
          </w:p>
        </w:tc>
      </w:tr>
      <w:tr>
        <w:tc>
          <w:tcPr>
            <w:tcW w:type="dxa" w:w="2880"/>
          </w:tcPr>
          <w:p>
            <w:r>
              <w:t>Quorum</w:t>
            </w:r>
          </w:p>
        </w:tc>
        <w:tc>
          <w:tcPr>
            <w:tcW w:type="dxa" w:w="6480"/>
          </w:tcPr>
          <w:p>
            <w:r>
              <w:t>Super-mayoría 2/3 para decisiones de Nivel 3 (Modificaciones de código).</w:t>
            </w:r>
          </w:p>
        </w:tc>
      </w:tr>
      <w:tr>
        <w:tc>
          <w:tcPr>
            <w:tcW w:type="dxa" w:w="2880"/>
          </w:tcPr>
          <w:p>
            <w:r>
              <w:t>Slashing</w:t>
            </w:r>
          </w:p>
        </w:tc>
        <w:tc>
          <w:tcPr>
            <w:tcW w:type="dxa" w:w="6480"/>
          </w:tcPr>
          <w:p>
            <w:r>
              <w:t>Penalización de tokens operacionales para agentes divergentes o maliciosos.</w:t>
            </w:r>
          </w:p>
        </w:tc>
      </w:tr>
    </w:tbl>
    <w:p>
      <w:pPr>
        <w:pStyle w:val="Heading1"/>
      </w:pPr>
      <w:r>
        <w:t>7. Interoperabilidad y Despliegue Multiplataforma</w:t>
      </w:r>
    </w:p>
    <w:p>
      <w:r>
        <w:t>La arquitectura de CORTEX soporta portabilidad nativa y resiliencia de red.</w:t>
      </w:r>
    </w:p>
    <w:p>
      <w:pPr>
        <w:pStyle w:val="Heading2"/>
      </w:pPr>
      <w:r>
        <w:t>Tabla 5: Estrategias de Despliegue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shd w:fill="2E5090"/>
          </w:tcPr>
          <w:p>
            <w:r>
              <w:rPr>
                <w:color w:val="FFFFFF"/>
              </w:rPr>
              <w:t>Entorno</w:t>
            </w:r>
          </w:p>
        </w:tc>
        <w:tc>
          <w:tcPr>
            <w:tcW w:type="dxa" w:w="4680"/>
            <w:shd w:fill="2E5090"/>
          </w:tcPr>
          <w:p>
            <w:r>
              <w:rPr>
                <w:color w:val="FFFFFF"/>
              </w:rPr>
              <w:t>Técnica de Aislamiento</w:t>
            </w:r>
          </w:p>
        </w:tc>
      </w:tr>
      <w:tr>
        <w:tc>
          <w:tcPr>
            <w:tcW w:type="dxa" w:w="2880"/>
          </w:tcPr>
          <w:p>
            <w:r>
              <w:t>Bare-Metal (Desktop)</w:t>
            </w:r>
          </w:p>
        </w:tc>
        <w:tc>
          <w:tcPr>
            <w:tcW w:type="dxa" w:w="6480"/>
          </w:tcPr>
          <w:p>
            <w:r>
              <w:t>Local Daemon con privilegios limitados y chroot (NotchLive).</w:t>
            </w:r>
          </w:p>
        </w:tc>
      </w:tr>
      <w:tr>
        <w:tc>
          <w:tcPr>
            <w:tcW w:type="dxa" w:w="2880"/>
          </w:tcPr>
          <w:p>
            <w:r>
              <w:t>Nube (K8s/Docker)</w:t>
            </w:r>
          </w:p>
        </w:tc>
        <w:tc>
          <w:tcPr>
            <w:tcW w:type="dxa" w:w="6480"/>
          </w:tcPr>
          <w:p>
            <w:r>
              <w:t>Microservicios L1/L2/L3 orquestados mediante CORTEX Nexus.</w:t>
            </w:r>
          </w:p>
        </w:tc>
      </w:tr>
      <w:tr>
        <w:tc>
          <w:tcPr>
            <w:tcW w:type="dxa" w:w="2880"/>
          </w:tcPr>
          <w:p>
            <w:r>
              <w:t>Edge/IoT</w:t>
            </w:r>
          </w:p>
        </w:tc>
        <w:tc>
          <w:tcPr>
            <w:tcW w:type="dxa" w:w="6480"/>
          </w:tcPr>
          <w:p>
            <w:r>
              <w:t>CORTEX-Lite (Rust footprint de baja latencia).</w:t>
            </w:r>
          </w:p>
        </w:tc>
      </w:tr>
    </w:tbl>
    <w:p>
      <w:pPr>
        <w:pStyle w:val="Heading1"/>
      </w:pPr>
      <w:r>
        <w:t>8. Metrología del Código Base (45,500 LOC, 444 módulos)</w:t>
      </w:r>
    </w:p>
    <w:p>
      <w:r>
        <w:t>Para mantener la robustez sin caer en el gigantismo de software, CORTEX restringe su código base enfocándose en la densidad y el determinismo.</w:t>
      </w:r>
    </w:p>
    <w:p>
      <w:pPr>
        <w:pStyle w:val="Heading2"/>
      </w:pPr>
      <w:r>
        <w:t>Tabla 6: Métricas Base de Código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fill="2E5090"/>
          </w:tcPr>
          <w:p>
            <w:r>
              <w:rPr>
                <w:color w:val="FFFFFF"/>
              </w:rPr>
              <w:t>Métrica (CORTEX v4)</w:t>
            </w:r>
          </w:p>
        </w:tc>
        <w:tc>
          <w:tcPr>
            <w:tcW w:type="dxa" w:w="4680"/>
            <w:shd w:fill="2E5090"/>
          </w:tcPr>
          <w:p>
            <w:r>
              <w:rPr>
                <w:color w:val="FFFFFF"/>
              </w:rPr>
              <w:t>Valor</w:t>
            </w:r>
          </w:p>
        </w:tc>
      </w:tr>
      <w:tr>
        <w:tc>
          <w:tcPr>
            <w:tcW w:type="dxa" w:w="3600"/>
          </w:tcPr>
          <w:p>
            <w:r>
              <w:t>Líneas de Código (LOC)</w:t>
            </w:r>
          </w:p>
        </w:tc>
        <w:tc>
          <w:tcPr>
            <w:tcW w:type="dxa" w:w="5760"/>
          </w:tcPr>
          <w:p>
            <w:r>
              <w:t>45,500 (Densidad optimizada)</w:t>
            </w:r>
          </w:p>
        </w:tc>
      </w:tr>
      <w:tr>
        <w:tc>
          <w:tcPr>
            <w:tcW w:type="dxa" w:w="3600"/>
          </w:tcPr>
          <w:p>
            <w:r>
              <w:t>Módulos Estructurales</w:t>
            </w:r>
          </w:p>
        </w:tc>
        <w:tc>
          <w:tcPr>
            <w:tcW w:type="dxa" w:w="5760"/>
          </w:tcPr>
          <w:p>
            <w:r>
              <w:t>444 componentes aislados</w:t>
            </w:r>
          </w:p>
        </w:tc>
      </w:tr>
      <w:tr>
        <w:tc>
          <w:tcPr>
            <w:tcW w:type="dxa" w:w="3600"/>
          </w:tcPr>
          <w:p>
            <w:r>
              <w:t>Cobertura de Tests</w:t>
            </w:r>
          </w:p>
        </w:tc>
        <w:tc>
          <w:tcPr>
            <w:tcW w:type="dxa" w:w="5760"/>
          </w:tcPr>
          <w:p>
            <w:r>
              <w:t>&gt; 94% (Unit, E2E, Chaos)</w:t>
            </w:r>
          </w:p>
        </w:tc>
      </w:tr>
      <w:tr>
        <w:tc>
          <w:tcPr>
            <w:tcW w:type="dxa" w:w="3600"/>
          </w:tcPr>
          <w:p>
            <w:r>
              <w:t>Latencia Promedio L1</w:t>
            </w:r>
          </w:p>
        </w:tc>
        <w:tc>
          <w:tcPr>
            <w:tcW w:type="dxa" w:w="5760"/>
          </w:tcPr>
          <w:p>
            <w:r>
              <w:t>&lt; 15ms (P99)</w:t>
            </w:r>
          </w:p>
        </w:tc>
      </w:tr>
    </w:tbl>
    <w:p>
      <w:pPr>
        <w:pStyle w:val="Heading1"/>
      </w:pPr>
      <w:r>
        <w:t>9. Conclusiones Estratégicas</w:t>
      </w:r>
    </w:p>
    <w:p>
      <w:r>
        <w:t>La adopción de CORTEX-Persist marca la transición de simples bots conversacionales de IA a flotas de agentes autónomos económicamente viables y legalmente defendibles. La asimetría entrópica resuelta por su arquitectura L1 a L3 posiciona a las organizaciones como inmunes a las ineficiencias de enjambres no estructurados y riesgos regulatorios masivos.</w:t>
      </w:r>
    </w:p>
    <w:p>
      <w:r>
        <w:br w:type="page"/>
      </w:r>
    </w:p>
    <w:p>
      <w:pPr>
        <w:pStyle w:val="Heading1"/>
      </w:pPr>
      <w:r>
        <w:t>Contraportada</w:t>
      </w:r>
    </w:p>
    <w:p>
      <w:pPr>
        <w:jc w:val="center"/>
      </w:pPr>
      <w:r>
        <w:t>Proyecto CORTEX-PERSIST</w:t>
        <w:br/>
        <w:t>Arquitectura Soberana MOSKV-1</w:t>
        <w:br/>
        <w:t>Licencia Privada (Strictly Confidential)</w:t>
        <w:br/>
        <w:br/>
        <w:t>© 2026 Borja Fernández Angulo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