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mbria" w:cs="Cambria" w:eastAsia="Cambria" w:hAnsi="Cambria"/>
          <w:b/>
          <w:bCs/>
          <w:sz w:val="40"/>
          <w:szCs w:val="40"/>
        </w:rPr>
        <w:t xml:space="preserve">La redención hermenéutica del nihilismo</w:t>
      </w:r>
    </w:p>
    <w:p>
      <w:pPr>
        <w:spacing w:after="120"/>
        <w:jc w:val="center"/>
      </w:pPr>
      <w:r>
        <w:rPr>
          <w:rFonts w:ascii="Cambria" w:cs="Cambria" w:eastAsia="Cambria" w:hAnsi="Cambria"/>
          <w:i/>
          <w:iCs/>
          <w:sz w:val="26"/>
          <w:szCs w:val="26"/>
        </w:rPr>
        <w:t xml:space="preserve">Samuel Beckett, la Academia Sueca y la reinterpretación de la «dirección idealista» (1964–1969)</w:t>
      </w:r>
    </w:p>
    <w:p>
      <w:pPr>
        <w:spacing w:after="60"/>
        <w:jc w:val="center"/>
      </w:pPr>
      <w:r>
        <w:rPr>
          <w:rFonts w:ascii="Cambria" w:cs="Cambria" w:eastAsia="Cambria" w:hAnsi="Cambria"/>
          <w:color w:val="555555"/>
          <w:sz w:val="20"/>
          <w:szCs w:val="20"/>
        </w:rPr>
        <w:t xml:space="preserve">Dossier crítico a partir de los protocolos desclasificados del Comité Nobel</w:t>
      </w:r>
    </w:p>
    <w:p>
      <w:pPr>
        <w:pBdr>
          <w:bottom w:val="single" w:color="999999" w:sz="6" w:space="8"/>
        </w:pBdr>
        <w:spacing w:after="320"/>
        <w:jc w:val="center"/>
      </w:pPr>
      <w:r>
        <w:rPr>
          <w:rFonts w:ascii="Cambria" w:cs="Cambria" w:eastAsia="Cambria" w:hAnsi="Cambria"/>
          <w:color w:val="555555"/>
          <w:sz w:val="20"/>
          <w:szCs w:val="20"/>
        </w:rPr>
        <w:t xml:space="preserve">Proyecto diana-beckett · iteración 3 · agosto de 2026</w:t>
      </w:r>
    </w:p>
    <w:p>
      <w:pPr>
        <w:pStyle w:val="Heading1"/>
        <w:spacing w:after="170" w:before="340"/>
      </w:pPr>
      <w:r>
        <w:rPr>
          <w:rFonts w:ascii="Cambria" w:cs="Cambria" w:eastAsia="Cambria" w:hAnsi="Cambria"/>
          <w:b/>
          <w:bCs/>
          <w:color w:val="1F1F1F"/>
          <w:sz w:val="26"/>
          <w:szCs w:val="26"/>
        </w:rPr>
        <w:t xml:space="preserve">Índice</w:t>
      </w:r>
    </w:p>
    <w:p>
      <w:pPr>
        <w:spacing w:after="40" w:line="264"/>
        <w:ind w:left="420"/>
        <w:jc w:val="left"/>
      </w:pPr>
      <w:r>
        <w:rPr>
          <w:rFonts w:ascii="Cambria" w:cs="Cambria" w:eastAsia="Cambria" w:hAnsi="Cambria"/>
          <w:sz w:val="21"/>
          <w:szCs w:val="21"/>
        </w:rPr>
        <w:t xml:space="preserve">Resumen</w:t>
      </w:r>
    </w:p>
    <w:p>
      <w:pPr>
        <w:spacing w:after="40" w:line="264"/>
        <w:ind w:left="420"/>
        <w:jc w:val="left"/>
      </w:pPr>
      <w:r>
        <w:rPr>
          <w:rFonts w:ascii="Cambria" w:cs="Cambria" w:eastAsia="Cambria" w:hAnsi="Cambria"/>
          <w:sz w:val="21"/>
          <w:szCs w:val="21"/>
        </w:rPr>
        <w:t xml:space="preserve">1. Nota sobre fuentes y método</w:t>
      </w:r>
    </w:p>
    <w:p>
      <w:pPr>
        <w:spacing w:after="40" w:line="264"/>
        <w:ind w:left="420"/>
        <w:jc w:val="left"/>
      </w:pPr>
      <w:r>
        <w:rPr>
          <w:rFonts w:ascii="Cambria" w:cs="Cambria" w:eastAsia="Cambria" w:hAnsi="Cambria"/>
          <w:sz w:val="21"/>
          <w:szCs w:val="21"/>
        </w:rPr>
        <w:t xml:space="preserve">2. El mandato testamentario y su historia elástica</w:t>
      </w:r>
    </w:p>
    <w:p>
      <w:pPr>
        <w:spacing w:after="40" w:line="264"/>
        <w:ind w:left="420"/>
        <w:jc w:val="left"/>
      </w:pPr>
      <w:r>
        <w:rPr>
          <w:rFonts w:ascii="Cambria" w:cs="Cambria" w:eastAsia="Cambria" w:hAnsi="Cambria"/>
          <w:sz w:val="21"/>
          <w:szCs w:val="21"/>
        </w:rPr>
        <w:t xml:space="preserve">3. La candidatura imposible: 1964–1968</w:t>
      </w:r>
    </w:p>
    <w:p>
      <w:pPr>
        <w:spacing w:after="40" w:line="264"/>
        <w:ind w:left="420"/>
        <w:jc w:val="left"/>
      </w:pPr>
      <w:r>
        <w:rPr>
          <w:rFonts w:ascii="Cambria" w:cs="Cambria" w:eastAsia="Cambria" w:hAnsi="Cambria"/>
          <w:sz w:val="21"/>
          <w:szCs w:val="21"/>
        </w:rPr>
        <w:t xml:space="preserve">4. 1969: la deliberación y el voto</w:t>
      </w:r>
    </w:p>
    <w:p>
      <w:pPr>
        <w:spacing w:after="40" w:line="264"/>
        <w:ind w:left="420"/>
        <w:jc w:val="left"/>
      </w:pPr>
      <w:r>
        <w:rPr>
          <w:rFonts w:ascii="Cambria" w:cs="Cambria" w:eastAsia="Cambria" w:hAnsi="Cambria"/>
          <w:sz w:val="21"/>
          <w:szCs w:val="21"/>
        </w:rPr>
        <w:t xml:space="preserve">5. La defensa pública: el discurso del 10 de diciembre</w:t>
      </w:r>
    </w:p>
    <w:p>
      <w:pPr>
        <w:spacing w:after="40" w:line="264"/>
        <w:ind w:left="420"/>
        <w:jc w:val="left"/>
      </w:pPr>
      <w:r>
        <w:rPr>
          <w:rFonts w:ascii="Cambria" w:cs="Cambria" w:eastAsia="Cambria" w:hAnsi="Cambria"/>
          <w:sz w:val="21"/>
          <w:szCs w:val="21"/>
        </w:rPr>
        <w:t xml:space="preserve">6. Filología del dictamen: blottställdhet / resning</w:t>
      </w:r>
    </w:p>
    <w:p>
      <w:pPr>
        <w:spacing w:after="40" w:line="264"/>
        <w:ind w:left="420"/>
        <w:jc w:val="left"/>
      </w:pPr>
      <w:r>
        <w:rPr>
          <w:rFonts w:ascii="Cambria" w:cs="Cambria" w:eastAsia="Cambria" w:hAnsi="Cambria"/>
          <w:sz w:val="21"/>
          <w:szCs w:val="21"/>
        </w:rPr>
        <w:t xml:space="preserve">7. Cuadro comparativo de las dos posturas</w:t>
      </w:r>
    </w:p>
    <w:p>
      <w:pPr>
        <w:spacing w:after="40" w:line="264"/>
        <w:ind w:left="420"/>
        <w:jc w:val="left"/>
      </w:pPr>
      <w:r>
        <w:rPr>
          <w:rFonts w:ascii="Cambria" w:cs="Cambria" w:eastAsia="Cambria" w:hAnsi="Cambria"/>
          <w:sz w:val="21"/>
          <w:szCs w:val="21"/>
        </w:rPr>
        <w:t xml:space="preserve">8. Falsación de la síntesis</w:t>
      </w:r>
    </w:p>
    <w:p>
      <w:pPr>
        <w:spacing w:after="40" w:line="264"/>
        <w:ind w:left="420"/>
        <w:jc w:val="left"/>
      </w:pPr>
      <w:r>
        <w:rPr>
          <w:rFonts w:ascii="Cambria" w:cs="Cambria" w:eastAsia="Cambria" w:hAnsi="Cambria"/>
          <w:sz w:val="21"/>
          <w:szCs w:val="21"/>
        </w:rPr>
        <w:t xml:space="preserve">9. Conclusión: la paradoja de la validación institucional</w:t>
      </w:r>
    </w:p>
    <w:p>
      <w:pPr>
        <w:spacing w:after="40" w:line="264"/>
        <w:ind w:left="420"/>
        <w:jc w:val="left"/>
      </w:pPr>
      <w:r>
        <w:rPr>
          <w:rFonts w:ascii="Cambria" w:cs="Cambria" w:eastAsia="Cambria" w:hAnsi="Cambria"/>
          <w:sz w:val="21"/>
          <w:szCs w:val="21"/>
        </w:rPr>
        <w:t xml:space="preserve">10. Epílogo: después de 1969</w:t>
      </w:r>
    </w:p>
    <w:p>
      <w:pPr>
        <w:spacing w:after="40" w:line="264"/>
        <w:ind w:left="420"/>
        <w:jc w:val="left"/>
      </w:pPr>
      <w:r>
        <w:rPr>
          <w:rFonts w:ascii="Cambria" w:cs="Cambria" w:eastAsia="Cambria" w:hAnsi="Cambria"/>
          <w:sz w:val="21"/>
          <w:szCs w:val="21"/>
        </w:rPr>
        <w:t xml:space="preserve">11. Coda: isomorfismo contra entropía (lectura formal)</w:t>
      </w:r>
    </w:p>
    <w:p>
      <w:pPr>
        <w:spacing w:after="40" w:line="264"/>
        <w:ind w:left="420"/>
        <w:jc w:val="left"/>
      </w:pPr>
      <w:r>
        <w:rPr>
          <w:rFonts w:ascii="Cambria" w:cs="Cambria" w:eastAsia="Cambria" w:hAnsi="Cambria"/>
          <w:sz w:val="21"/>
          <w:szCs w:val="21"/>
        </w:rPr>
        <w:t xml:space="preserve">Referencias</w:t>
      </w:r>
    </w:p>
    <w:p>
      <w:pPr>
        <w:pStyle w:val="Heading1"/>
        <w:spacing w:after="170" w:before="340"/>
      </w:pPr>
      <w:r>
        <w:rPr>
          <w:rFonts w:ascii="Cambria" w:cs="Cambria" w:eastAsia="Cambria" w:hAnsi="Cambria"/>
          <w:b/>
          <w:bCs/>
          <w:color w:val="1F1F1F"/>
          <w:sz w:val="26"/>
          <w:szCs w:val="26"/>
        </w:rPr>
        <w:t xml:space="preserve">Resumen</w:t>
      </w:r>
    </w:p>
    <w:p>
      <w:pPr>
        <w:spacing w:after="140" w:line="288"/>
        <w:jc w:val="both"/>
      </w:pPr>
      <w:r>
        <w:rPr>
          <w:rFonts w:ascii="Cambria" w:cs="Cambria" w:eastAsia="Cambria" w:hAnsi="Cambria"/>
          <w:sz w:val="22"/>
          <w:szCs w:val="22"/>
        </w:rPr>
        <w:t xml:space="preserve">Con la apertura de los protocolos del Comité Nobel conforme a la regla de secreto de cincuenta años —los de 1968 en enero de 2019, los de 1969 en enero de 2020—, quedó documentado uno de los conflictos hermenéuticos más nítidos de la historia del premio: la colisión entre la obra de Samuel Beckett y la cláusula del testamento de Alfred Nobel (1895) que ordena premiar «lo más destacado en una dirección idealista» (</w:t>
      </w:r>
      <w:r>
        <w:rPr>
          <w:rFonts w:ascii="Cambria" w:cs="Cambria" w:eastAsia="Cambria" w:hAnsi="Cambria"/>
          <w:i/>
          <w:iCs/>
          <w:sz w:val="22"/>
          <w:szCs w:val="22"/>
        </w:rPr>
        <w:t xml:space="preserve">i idealisk rigtning</w:t>
      </w:r>
      <w:r>
        <w:rPr>
          <w:rFonts w:ascii="Cambria" w:cs="Cambria" w:eastAsia="Cambria" w:hAnsi="Cambria"/>
          <w:sz w:val="22"/>
          <w:szCs w:val="22"/>
        </w:rPr>
        <w:t xml:space="preserve">). Este dossier reconstruye, sobre fuentes verificables, la disputa entre Anders Österling —presidente del comité, para quien la escritura beckettiana era una «poesía fantasmagórica escenificada con oficio», marcada por «un desprecio sin fondo por la condición humana»— y Karl Ragnar Gierow, secretario permanente de la Academia, que leyó en esa misma negrura no una profesión de nihilismo sino el retrato del ser humano «en el momento de su más grave vejación», con la rehabilitación aún posible. El dictamen de 1969 —premiar una escritura que «desde la desnudez del hombre contemporáneo obtiene su elevación artística»— consumó la operación: no negó la entropía del universo beckettiano; la declaró condición de posibilidad del idealismo.</w:t>
      </w:r>
    </w:p>
    <w:p>
      <w:pPr>
        <w:pStyle w:val="Heading1"/>
        <w:spacing w:after="170" w:before="340"/>
      </w:pPr>
      <w:r>
        <w:rPr>
          <w:rFonts w:ascii="Cambria" w:cs="Cambria" w:eastAsia="Cambria" w:hAnsi="Cambria"/>
          <w:b/>
          <w:bCs/>
          <w:color w:val="1F1F1F"/>
          <w:sz w:val="26"/>
          <w:szCs w:val="26"/>
        </w:rPr>
        <w:t xml:space="preserve">1. Nota sobre fuentes y método</w:t>
      </w:r>
    </w:p>
    <w:p>
      <w:pPr>
        <w:spacing w:after="140" w:line="288"/>
        <w:jc w:val="both"/>
      </w:pPr>
      <w:r>
        <w:rPr>
          <w:rFonts w:ascii="Cambria" w:cs="Cambria" w:eastAsia="Cambria" w:hAnsi="Cambria"/>
          <w:sz w:val="22"/>
          <w:szCs w:val="22"/>
        </w:rPr>
        <w:t xml:space="preserve">Los estatutos de la Fundación Nobel imponen cincuenta años de secreto sobre nominaciones, informes y deliberaciones. En consecuencia, los papeles de 1968 pudieron consultarse desde enero de 2019 y los de 1969 desde enero de 2020, primero por la prensa sueca y de inmediato por la internacional </w:t>
      </w:r>
      <w:r>
        <w:rPr>
          <w:rFonts w:ascii="Cambria" w:cs="Cambria" w:eastAsia="Cambria" w:hAnsi="Cambria"/>
          <w:sz w:val="22"/>
          <w:szCs w:val="22"/>
        </w:rPr>
        <w:t xml:space="preserve">[4][5][7]</w:t>
      </w:r>
      <w:r>
        <w:rPr>
          <w:rFonts w:ascii="Cambria" w:cs="Cambria" w:eastAsia="Cambria" w:hAnsi="Cambria"/>
          <w:sz w:val="22"/>
          <w:szCs w:val="22"/>
        </w:rPr>
        <w:t xml:space="preserve">. La propia Academia Sueca mantiene, además, una exposición digital dedicada a Beckett que publica la composición del comité de 1969, su dictamen (</w:t>
      </w:r>
      <w:r>
        <w:rPr>
          <w:rFonts w:ascii="Cambria" w:cs="Cambria" w:eastAsia="Cambria" w:hAnsi="Cambria"/>
          <w:i/>
          <w:iCs/>
          <w:sz w:val="22"/>
          <w:szCs w:val="22"/>
        </w:rPr>
        <w:t xml:space="preserve">utlåtande</w:t>
      </w:r>
      <w:r>
        <w:rPr>
          <w:rFonts w:ascii="Cambria" w:cs="Cambria" w:eastAsia="Cambria" w:hAnsi="Cambria"/>
          <w:sz w:val="22"/>
          <w:szCs w:val="22"/>
        </w:rPr>
        <w:t xml:space="preserve">) y la lista de candidaturas de aquel año </w:t>
      </w:r>
      <w:r>
        <w:rPr>
          <w:rFonts w:ascii="Cambria" w:cs="Cambria" w:eastAsia="Cambria" w:hAnsi="Cambria"/>
          <w:sz w:val="22"/>
          <w:szCs w:val="22"/>
        </w:rPr>
        <w:t xml:space="preserve">[1][2]</w:t>
      </w:r>
      <w:r>
        <w:rPr>
          <w:rFonts w:ascii="Cambria" w:cs="Cambria" w:eastAsia="Cambria" w:hAnsi="Cambria"/>
          <w:sz w:val="22"/>
          <w:szCs w:val="22"/>
        </w:rPr>
        <w:t xml:space="preserve">. El discurso de presentación pronunciado por Gierow el 10 de diciembre de 1969 es público en transcripción oficial </w:t>
      </w:r>
      <w:r>
        <w:rPr>
          <w:rFonts w:ascii="Cambria" w:cs="Cambria" w:eastAsia="Cambria" w:hAnsi="Cambria"/>
          <w:sz w:val="22"/>
          <w:szCs w:val="22"/>
        </w:rPr>
        <w:t xml:space="preserve">[3]</w:t>
      </w:r>
      <w:r>
        <w:rPr>
          <w:rFonts w:ascii="Cambria" w:cs="Cambria" w:eastAsia="Cambria" w:hAnsi="Cambria"/>
          <w:sz w:val="22"/>
          <w:szCs w:val="22"/>
        </w:rPr>
        <w:t xml:space="preserve">.</w:t>
      </w:r>
    </w:p>
    <w:p>
      <w:pPr>
        <w:spacing w:after="140" w:line="288"/>
        <w:jc w:val="both"/>
      </w:pPr>
      <w:r>
        <w:rPr>
          <w:rFonts w:ascii="Cambria" w:cs="Cambria" w:eastAsia="Cambria" w:hAnsi="Cambria"/>
          <w:sz w:val="22"/>
          <w:szCs w:val="22"/>
        </w:rPr>
        <w:t xml:space="preserve">Dos advertencias filológicas. Primera: los protocolos están redactados en sueco y sus pasajes circulan sobre todo en las versiones inglesas publicadas por los medios que los consultaron; aquí se citan en esa lengua con traducción propia, sin retrovertir al sueco lo que no consta. Segunda: en la recepción divulgativa del caso circulan «citas» no documentadas —un supuesto sintagma sueco </w:t>
      </w:r>
      <w:r>
        <w:rPr>
          <w:rFonts w:ascii="Cambria" w:cs="Cambria" w:eastAsia="Cambria" w:hAnsi="Cambria"/>
          <w:i/>
          <w:iCs/>
          <w:sz w:val="22"/>
          <w:szCs w:val="22"/>
        </w:rPr>
        <w:t xml:space="preserve">spöklik diktning</w:t>
      </w:r>
      <w:r>
        <w:rPr>
          <w:rFonts w:ascii="Cambria" w:cs="Cambria" w:eastAsia="Cambria" w:hAnsi="Cambria"/>
          <w:sz w:val="22"/>
          <w:szCs w:val="22"/>
        </w:rPr>
        <w:t xml:space="preserve">, informes verbatim atribuidos a 1964, una frase de Gierow sobre «la noche de la pasión»— junto a versiones inexactas del texto sueco del dictamen. Este dossier se ciñe a lo verificable; cuando una formulación procede de reconstrucciones secundarias de las actas, se marca expresamente como tal.</w:t>
      </w:r>
    </w:p>
    <w:p>
      <w:pPr>
        <w:spacing w:after="140" w:line="288"/>
        <w:jc w:val="both"/>
      </w:pPr>
      <w:r>
        <w:rPr>
          <w:rFonts w:ascii="Cambria" w:cs="Cambria" w:eastAsia="Cambria" w:hAnsi="Cambria"/>
          <w:sz w:val="22"/>
          <w:szCs w:val="22"/>
        </w:rPr>
        <w:t xml:space="preserve">Añadido de esta iteración: la propia Academia tiene publicados en línea los facsímiles del </w:t>
      </w:r>
      <w:r>
        <w:rPr>
          <w:rFonts w:ascii="Cambria" w:cs="Cambria" w:eastAsia="Cambria" w:hAnsi="Cambria"/>
          <w:i/>
          <w:iCs/>
          <w:sz w:val="22"/>
          <w:szCs w:val="22"/>
        </w:rPr>
        <w:t xml:space="preserve">utlåtande</w:t>
      </w:r>
      <w:r>
        <w:rPr>
          <w:rFonts w:ascii="Cambria" w:cs="Cambria" w:eastAsia="Cambria" w:hAnsi="Cambria"/>
          <w:sz w:val="22"/>
          <w:szCs w:val="22"/>
        </w:rPr>
        <w:t xml:space="preserve"> de 1969 y de la lista de candidaturas de aquel año (referencias [1] y [2]). Su cotejo automatizado no ha sido posible desde este entorno, de modo que las citas de los protocolos se mantienen aquí en la versión inglesa de la prensa que los consultó, a la espera de colación directa con el documento sueco.</w:t>
      </w:r>
    </w:p>
    <w:p>
      <w:pPr>
        <w:pStyle w:val="Heading1"/>
        <w:spacing w:after="170" w:before="340"/>
      </w:pPr>
      <w:r>
        <w:rPr>
          <w:rFonts w:ascii="Cambria" w:cs="Cambria" w:eastAsia="Cambria" w:hAnsi="Cambria"/>
          <w:b/>
          <w:bCs/>
          <w:color w:val="1F1F1F"/>
          <w:sz w:val="26"/>
          <w:szCs w:val="26"/>
        </w:rPr>
        <w:t xml:space="preserve">2. El mandato testamentario y su historia elástica</w:t>
      </w:r>
    </w:p>
    <w:p>
      <w:pPr>
        <w:spacing w:after="140" w:line="288"/>
        <w:jc w:val="both"/>
      </w:pPr>
      <w:r>
        <w:rPr>
          <w:rFonts w:ascii="Cambria" w:cs="Cambria" w:eastAsia="Cambria" w:hAnsi="Cambria"/>
          <w:sz w:val="22"/>
          <w:szCs w:val="22"/>
        </w:rPr>
        <w:t xml:space="preserve">El testamento de Nobel destina el premio de literatura a quien «haya producido en el campo de la literatura lo más destacado en una dirección idealista» («</w:t>
      </w:r>
      <w:r>
        <w:rPr>
          <w:rFonts w:ascii="Cambria" w:cs="Cambria" w:eastAsia="Cambria" w:hAnsi="Cambria"/>
          <w:i/>
          <w:iCs/>
          <w:sz w:val="22"/>
          <w:szCs w:val="22"/>
        </w:rPr>
        <w:t xml:space="preserve">det utmärktaste i idealisk rigtning</w:t>
      </w:r>
      <w:r>
        <w:rPr>
          <w:rFonts w:ascii="Cambria" w:cs="Cambria" w:eastAsia="Cambria" w:hAnsi="Cambria"/>
          <w:sz w:val="22"/>
          <w:szCs w:val="22"/>
        </w:rPr>
        <w:t xml:space="preserve">», en la grafía del manuscrito). La cláusula nunca fue una descripción; siempre fue un problema. Bajo el largo magisterio de Carl David af Wirsén (secretario permanente hasta 1912), «idealista» se leyó como edificante: elevación moral explícita, reconciliación con los valores establecidos. Esa lectura dejó fuera, célebremente, a Tolstói, a Ibsen y a Zola —los gigantes del realismo y del naturalismo, sospechosos de disolver antes que de construir.</w:t>
      </w:r>
    </w:p>
    <w:p>
      <w:pPr>
        <w:spacing w:after="140" w:line="288"/>
        <w:jc w:val="both"/>
      </w:pPr>
      <w:r>
        <w:rPr>
          <w:rFonts w:ascii="Cambria" w:cs="Cambria" w:eastAsia="Cambria" w:hAnsi="Cambria"/>
          <w:sz w:val="22"/>
          <w:szCs w:val="22"/>
        </w:rPr>
        <w:t xml:space="preserve">La historia posterior de la cláusula es la historia de su elasticidad. Hacia mediados de siglo, y en buena parte bajo el secretariado del propio Österling (1941–1964), «dirección idealista» se reinterpretó como «amplia humanidad»: por esa puerta ensanchada entraron Hesse, Gide, Eliot o Faulkner, es decir, el modernismo entero con sus técnicas de fractura. La ironía estructural del caso Beckett es exacta: el hombre que flexibilizó la cláusula para absorber el modernismo fija en Beckett el límite de su propia elasticidad. La fórmula soportaba la innovación formal e incluso el pesimismo trágico; lo que a ojos de Österling no soportaba era la sustracción beckettiana: un arte que no añade mundo, lenguaje ni esperanza, sino que los retira metódicamente.</w:t>
      </w:r>
    </w:p>
    <w:p>
      <w:pPr>
        <w:pStyle w:val="Heading1"/>
        <w:spacing w:after="170" w:before="340"/>
      </w:pPr>
      <w:r>
        <w:rPr>
          <w:rFonts w:ascii="Cambria" w:cs="Cambria" w:eastAsia="Cambria" w:hAnsi="Cambria"/>
          <w:b/>
          <w:bCs/>
          <w:color w:val="1F1F1F"/>
          <w:sz w:val="26"/>
          <w:szCs w:val="26"/>
        </w:rPr>
        <w:t xml:space="preserve">3. La candidatura imposible: 1964–1968</w:t>
      </w:r>
    </w:p>
    <w:p>
      <w:pPr>
        <w:spacing w:after="140" w:line="288"/>
        <w:jc w:val="both"/>
      </w:pPr>
      <w:r>
        <w:rPr>
          <w:rFonts w:ascii="Cambria" w:cs="Cambria" w:eastAsia="Cambria" w:hAnsi="Cambria"/>
          <w:sz w:val="22"/>
          <w:szCs w:val="22"/>
        </w:rPr>
        <w:t xml:space="preserve">Beckett fue candidato recurrente durante los años sesenta, impulsado por el efecto internacional de </w:t>
      </w:r>
      <w:r>
        <w:rPr>
          <w:rFonts w:ascii="Cambria" w:cs="Cambria" w:eastAsia="Cambria" w:hAnsi="Cambria"/>
          <w:i/>
          <w:iCs/>
          <w:sz w:val="22"/>
          <w:szCs w:val="22"/>
        </w:rPr>
        <w:t xml:space="preserve">Esperando a Godot</w:t>
      </w:r>
      <w:r>
        <w:rPr>
          <w:rFonts w:ascii="Cambria" w:cs="Cambria" w:eastAsia="Cambria" w:hAnsi="Cambria"/>
          <w:sz w:val="22"/>
          <w:szCs w:val="22"/>
        </w:rPr>
        <w:t xml:space="preserve"> y de la trilogía novelesca (</w:t>
      </w:r>
      <w:r>
        <w:rPr>
          <w:rFonts w:ascii="Cambria" w:cs="Cambria" w:eastAsia="Cambria" w:hAnsi="Cambria"/>
          <w:i/>
          <w:iCs/>
          <w:sz w:val="22"/>
          <w:szCs w:val="22"/>
        </w:rPr>
        <w:t xml:space="preserve">Molloy</w:t>
      </w:r>
      <w:r>
        <w:rPr>
          <w:rFonts w:ascii="Cambria" w:cs="Cambria" w:eastAsia="Cambria" w:hAnsi="Cambria"/>
          <w:sz w:val="22"/>
          <w:szCs w:val="22"/>
        </w:rPr>
        <w:t xml:space="preserve">, </w:t>
      </w:r>
      <w:r>
        <w:rPr>
          <w:rFonts w:ascii="Cambria" w:cs="Cambria" w:eastAsia="Cambria" w:hAnsi="Cambria"/>
          <w:i/>
          <w:iCs/>
          <w:sz w:val="22"/>
          <w:szCs w:val="22"/>
        </w:rPr>
        <w:t xml:space="preserve">Malone muere</w:t>
      </w:r>
      <w:r>
        <w:rPr>
          <w:rFonts w:ascii="Cambria" w:cs="Cambria" w:eastAsia="Cambria" w:hAnsi="Cambria"/>
          <w:sz w:val="22"/>
          <w:szCs w:val="22"/>
        </w:rPr>
        <w:t xml:space="preserve">, </w:t>
      </w:r>
      <w:r>
        <w:rPr>
          <w:rFonts w:ascii="Cambria" w:cs="Cambria" w:eastAsia="Cambria" w:hAnsi="Cambria"/>
          <w:i/>
          <w:iCs/>
          <w:sz w:val="22"/>
          <w:szCs w:val="22"/>
        </w:rPr>
        <w:t xml:space="preserve">El innombrable</w:t>
      </w:r>
      <w:r>
        <w:rPr>
          <w:rFonts w:ascii="Cambria" w:cs="Cambria" w:eastAsia="Cambria" w:hAnsi="Cambria"/>
          <w:sz w:val="22"/>
          <w:szCs w:val="22"/>
        </w:rPr>
        <w:t xml:space="preserve">). La resistencia de Österling quedó registrada desde el principio con una fórmula que es casi un chiste beckettiano involuntario. En 1964 —el año del premio rechazado por Sartre— dejó escrito que consideraría un Nobel para Beckett</w:t>
      </w:r>
    </w:p>
    <w:p>
      <w:pPr>
        <w:spacing w:after="40" w:line="276"/>
        <w:ind w:left="680" w:right="400"/>
        <w:jc w:val="both"/>
      </w:pPr>
      <w:r>
        <w:rPr>
          <w:rFonts w:ascii="Cambria" w:cs="Cambria" w:eastAsia="Cambria" w:hAnsi="Cambria"/>
          <w:i/>
          <w:iCs/>
          <w:sz w:val="21"/>
          <w:szCs w:val="21"/>
        </w:rPr>
        <w:t xml:space="preserve">«almost… an absurdity in his own style» — casi una absurdidad en su propio estilo.</w:t>
      </w:r>
    </w:p>
    <w:p>
      <w:pPr>
        <w:spacing w:after="160"/>
        <w:ind w:left="680" w:right="400"/>
        <w:jc w:val="right"/>
      </w:pPr>
      <w:r>
        <w:rPr>
          <w:rFonts w:ascii="Cambria" w:cs="Cambria" w:eastAsia="Cambria" w:hAnsi="Cambria"/>
          <w:color w:val="555555"/>
          <w:sz w:val="19"/>
          <w:szCs w:val="19"/>
        </w:rPr>
        <w:t xml:space="preserve">Anders Österling, deliberaciones de 1964 [4][6]</w:t>
      </w:r>
    </w:p>
    <w:p>
      <w:pPr>
        <w:spacing w:after="140" w:line="288"/>
        <w:jc w:val="both"/>
      </w:pPr>
      <w:r>
        <w:rPr>
          <w:rFonts w:ascii="Cambria" w:cs="Cambria" w:eastAsia="Cambria" w:hAnsi="Cambria"/>
          <w:sz w:val="22"/>
          <w:szCs w:val="22"/>
        </w:rPr>
        <w:t xml:space="preserve">Hasta el rechazo se formula, pues, en gramática beckettiana: premiar el absurdo sería absurdo. En 1968 la objeción alcanza su forma canónica y su fundamento testamentario explícito:</w:t>
      </w:r>
    </w:p>
    <w:p>
      <w:pPr>
        <w:spacing w:after="40" w:line="276"/>
        <w:ind w:left="680" w:right="400"/>
        <w:jc w:val="both"/>
      </w:pPr>
      <w:r>
        <w:rPr>
          <w:rFonts w:ascii="Cambria" w:cs="Cambria" w:eastAsia="Cambria" w:hAnsi="Cambria"/>
          <w:i/>
          <w:iCs/>
          <w:sz w:val="21"/>
          <w:szCs w:val="21"/>
        </w:rPr>
        <w:t xml:space="preserve">«Regarding Samuel Beckett, unfortunately, I have to maintain my basic doubts as to whether a prize to him is consistent with the spirit of Nobel’s will.» — Por lo que respecta a Samuel Beckett, lamentablemente he de mantener mis dudas de fondo sobre si un premio a él es conciliable con el espíritu del testamento de Nobel.</w:t>
      </w:r>
    </w:p>
    <w:p>
      <w:pPr>
        <w:spacing w:after="160"/>
        <w:ind w:left="680" w:right="400"/>
        <w:jc w:val="right"/>
      </w:pPr>
      <w:r>
        <w:rPr>
          <w:rFonts w:ascii="Cambria" w:cs="Cambria" w:eastAsia="Cambria" w:hAnsi="Cambria"/>
          <w:color w:val="555555"/>
          <w:sz w:val="19"/>
          <w:szCs w:val="19"/>
        </w:rPr>
        <w:t xml:space="preserve">Anders Österling, informe de 1968 [5]</w:t>
      </w:r>
    </w:p>
    <w:p>
      <w:pPr>
        <w:spacing w:after="40" w:line="276"/>
        <w:ind w:left="680" w:right="400"/>
        <w:jc w:val="both"/>
      </w:pPr>
      <w:r>
        <w:rPr>
          <w:rFonts w:ascii="Cambria" w:cs="Cambria" w:eastAsia="Cambria" w:hAnsi="Cambria"/>
          <w:i/>
          <w:iCs/>
          <w:sz w:val="21"/>
          <w:szCs w:val="21"/>
        </w:rPr>
        <w:t xml:space="preserve">«Misanthropic satire (of the Swift type) or radical pessimism (of the Leopardi type) has a powerful heart, which in my opinion is lacking in Beckett.» — La sátira misantrópica (del tipo de Swift) o el pesimismo radical (del tipo de Leopardi) poseen un corazón poderoso que, a mi juicio, a Beckett le falta.</w:t>
      </w:r>
    </w:p>
    <w:p>
      <w:pPr>
        <w:spacing w:after="160"/>
        <w:ind w:left="680" w:right="400"/>
        <w:jc w:val="right"/>
      </w:pPr>
      <w:r>
        <w:rPr>
          <w:rFonts w:ascii="Cambria" w:cs="Cambria" w:eastAsia="Cambria" w:hAnsi="Cambria"/>
          <w:color w:val="555555"/>
          <w:sz w:val="19"/>
          <w:szCs w:val="19"/>
        </w:rPr>
        <w:t xml:space="preserve">Anders Österling, informe de 1968 [5]</w:t>
      </w:r>
    </w:p>
    <w:p>
      <w:pPr>
        <w:spacing w:after="140" w:line="288"/>
        <w:jc w:val="both"/>
      </w:pPr>
      <w:r>
        <w:rPr>
          <w:rFonts w:ascii="Cambria" w:cs="Cambria" w:eastAsia="Cambria" w:hAnsi="Cambria"/>
          <w:sz w:val="22"/>
          <w:szCs w:val="22"/>
        </w:rPr>
        <w:t xml:space="preserve">El argumento merece precisión, porque no es el de un moralista simple. Österling no censura el pesimismo en cuanto tal: canoniza en la misma frase a Swift y a Leopardi, dos de los grandes negadores de la tradición. Lo que niega es que en Beckett exista el órgano central —el «corazón poderoso»— que convierte la negación en pasión moral. Su tesis estética: en Beckett la negación es clínica, no cordial; procedimiento, no herida. Ese año Österling propuso a Malraux y aceptaba como alternativas a Kawabata y a Auden; el premio fue para Kawabata. Pero en el propio comité ya se subrayaba, contra él, «la compasión humana que inspira» la obra de Beckett </w:t>
      </w:r>
      <w:r>
        <w:rPr>
          <w:rFonts w:ascii="Cambria" w:cs="Cambria" w:eastAsia="Cambria" w:hAnsi="Cambria"/>
          <w:sz w:val="22"/>
          <w:szCs w:val="22"/>
        </w:rPr>
        <w:t xml:space="preserve">[5]</w:t>
      </w:r>
      <w:r>
        <w:rPr>
          <w:rFonts w:ascii="Cambria" w:cs="Cambria" w:eastAsia="Cambria" w:hAnsi="Cambria"/>
          <w:sz w:val="22"/>
          <w:szCs w:val="22"/>
        </w:rPr>
        <w:t xml:space="preserve">.</w:t>
      </w:r>
    </w:p>
    <w:p>
      <w:pPr>
        <w:pStyle w:val="Heading1"/>
        <w:spacing w:after="170" w:before="340"/>
      </w:pPr>
      <w:r>
        <w:rPr>
          <w:rFonts w:ascii="Cambria" w:cs="Cambria" w:eastAsia="Cambria" w:hAnsi="Cambria"/>
          <w:b/>
          <w:bCs/>
          <w:color w:val="1F1F1F"/>
          <w:sz w:val="26"/>
          <w:szCs w:val="26"/>
        </w:rPr>
        <w:t xml:space="preserve">4. 1969: la deliberación y el voto</w:t>
      </w:r>
    </w:p>
    <w:p>
      <w:pPr>
        <w:spacing w:after="140" w:line="288"/>
        <w:jc w:val="both"/>
      </w:pPr>
      <w:r>
        <w:rPr>
          <w:rFonts w:ascii="Cambria" w:cs="Cambria" w:eastAsia="Cambria" w:hAnsi="Cambria"/>
          <w:sz w:val="22"/>
          <w:szCs w:val="22"/>
        </w:rPr>
        <w:t xml:space="preserve">El comité de 1969 lo formaban Anders Österling (presidente), Lars Gyllensten, Eyvind Johnson, Artur Lundkvist y Henry Olsson, con Karl Ragnar Gierow como secretario permanente </w:t>
      </w:r>
      <w:r>
        <w:rPr>
          <w:rFonts w:ascii="Cambria" w:cs="Cambria" w:eastAsia="Cambria" w:hAnsi="Cambria"/>
          <w:sz w:val="22"/>
          <w:szCs w:val="22"/>
        </w:rPr>
        <w:t xml:space="preserve">[1]</w:t>
      </w:r>
      <w:r>
        <w:rPr>
          <w:rFonts w:ascii="Cambria" w:cs="Cambria" w:eastAsia="Cambria" w:hAnsi="Cambria"/>
          <w:sz w:val="22"/>
          <w:szCs w:val="22"/>
        </w:rPr>
        <w:t xml:space="preserve">. Entre los nombres en liza figuraban, además de Beckett, André Malraux, Simone de Beauvoir, Jorge Luis Borges, Pablo Neruda y Graham Greene </w:t>
      </w:r>
      <w:r>
        <w:rPr>
          <w:rFonts w:ascii="Cambria" w:cs="Cambria" w:eastAsia="Cambria" w:hAnsi="Cambria"/>
          <w:sz w:val="22"/>
          <w:szCs w:val="22"/>
        </w:rPr>
        <w:t xml:space="preserve">[4]</w:t>
      </w:r>
      <w:r>
        <w:rPr>
          <w:rFonts w:ascii="Cambria" w:cs="Cambria" w:eastAsia="Cambria" w:hAnsi="Cambria"/>
          <w:sz w:val="22"/>
          <w:szCs w:val="22"/>
        </w:rPr>
        <w:t xml:space="preserve">. La discusión final se polarizó entre Beckett y Malraux.</w:t>
      </w:r>
    </w:p>
    <w:p>
      <w:pPr>
        <w:spacing w:after="140" w:line="288"/>
        <w:jc w:val="both"/>
      </w:pPr>
      <w:r>
        <w:rPr>
          <w:rFonts w:ascii="Cambria" w:cs="Cambria" w:eastAsia="Cambria" w:hAnsi="Cambria"/>
          <w:sz w:val="22"/>
          <w:szCs w:val="22"/>
        </w:rPr>
        <w:t xml:space="preserve">La objeción de Österling alcanzó en 1969 su formulación más citada. Sostuvo que la mayoría de los lectores encuentran en Beckett</w:t>
      </w:r>
    </w:p>
    <w:p>
      <w:pPr>
        <w:spacing w:after="40" w:line="276"/>
        <w:ind w:left="680" w:right="400"/>
        <w:jc w:val="both"/>
      </w:pPr>
      <w:r>
        <w:rPr>
          <w:rFonts w:ascii="Cambria" w:cs="Cambria" w:eastAsia="Cambria" w:hAnsi="Cambria"/>
          <w:i/>
          <w:iCs/>
          <w:sz w:val="21"/>
          <w:szCs w:val="21"/>
        </w:rPr>
        <w:t xml:space="preserve">«a bottomless contempt for the human condition» — un desprecio sin fondo por la condición humana,</w:t>
      </w:r>
    </w:p>
    <w:p>
      <w:pPr>
        <w:spacing w:after="160"/>
        <w:ind w:left="680" w:right="400"/>
        <w:jc w:val="right"/>
      </w:pPr>
      <w:r>
        <w:rPr>
          <w:rFonts w:ascii="Cambria" w:cs="Cambria" w:eastAsia="Cambria" w:hAnsi="Cambria"/>
          <w:color w:val="555555"/>
          <w:sz w:val="19"/>
          <w:szCs w:val="19"/>
        </w:rPr>
        <w:t xml:space="preserve">Anders Österling, deliberaciones de 1969 [4][6]</w:t>
      </w:r>
    </w:p>
    <w:p>
      <w:pPr>
        <w:spacing w:after="140" w:line="288"/>
        <w:jc w:val="both"/>
      </w:pPr>
      <w:r>
        <w:rPr>
          <w:rFonts w:ascii="Cambria" w:cs="Cambria" w:eastAsia="Cambria" w:hAnsi="Cambria"/>
          <w:sz w:val="22"/>
          <w:szCs w:val="22"/>
        </w:rPr>
        <w:t xml:space="preserve">y que una escritura «demostrativamente negativa o nihilista» (</w:t>
      </w:r>
      <w:r>
        <w:rPr>
          <w:rFonts w:ascii="Cambria" w:cs="Cambria" w:eastAsia="Cambria" w:hAnsi="Cambria"/>
          <w:i/>
          <w:iCs/>
          <w:sz w:val="22"/>
          <w:szCs w:val="22"/>
        </w:rPr>
        <w:t xml:space="preserve">demonstratively negative or nihilistic</w:t>
      </w:r>
      <w:r>
        <w:rPr>
          <w:rFonts w:ascii="Cambria" w:cs="Cambria" w:eastAsia="Cambria" w:hAnsi="Cambria"/>
          <w:sz w:val="22"/>
          <w:szCs w:val="22"/>
        </w:rPr>
        <w:t xml:space="preserve">) difícilmente podía satisfacer la «dirección idealista» exigida por el testamento </w:t>
      </w:r>
      <w:r>
        <w:rPr>
          <w:rFonts w:ascii="Cambria" w:cs="Cambria" w:eastAsia="Cambria" w:hAnsi="Cambria"/>
          <w:sz w:val="22"/>
          <w:szCs w:val="22"/>
        </w:rPr>
        <w:t xml:space="preserve">[4][7]</w:t>
      </w:r>
      <w:r>
        <w:rPr>
          <w:rFonts w:ascii="Cambria" w:cs="Cambria" w:eastAsia="Cambria" w:hAnsi="Cambria"/>
          <w:sz w:val="22"/>
          <w:szCs w:val="22"/>
        </w:rPr>
        <w:t xml:space="preserve">. Y sin embargo, en el mismo gesto, Österling concedió el punto que acabaría derrotándole: admitió que bajo los «motivos deprimentes» de esa obra podía alojarse «una defensa secreta de la humanidad» (</w:t>
      </w:r>
      <w:r>
        <w:rPr>
          <w:rFonts w:ascii="Cambria" w:cs="Cambria" w:eastAsia="Cambria" w:hAnsi="Cambria"/>
          <w:i/>
          <w:iCs/>
          <w:sz w:val="22"/>
          <w:szCs w:val="22"/>
        </w:rPr>
        <w:t xml:space="preserve">a secret defence of humanity</w:t>
      </w:r>
      <w:r>
        <w:rPr>
          <w:rFonts w:ascii="Cambria" w:cs="Cambria" w:eastAsia="Cambria" w:hAnsi="Cambria"/>
          <w:sz w:val="22"/>
          <w:szCs w:val="22"/>
        </w:rPr>
        <w:t xml:space="preserve">); solo que, a su juicio, el conjunto seguía siendo</w:t>
      </w:r>
    </w:p>
    <w:p>
      <w:pPr>
        <w:spacing w:after="40" w:line="276"/>
        <w:ind w:left="680" w:right="400"/>
        <w:jc w:val="both"/>
      </w:pPr>
      <w:r>
        <w:rPr>
          <w:rFonts w:ascii="Cambria" w:cs="Cambria" w:eastAsia="Cambria" w:hAnsi="Cambria"/>
          <w:i/>
          <w:iCs/>
          <w:sz w:val="21"/>
          <w:szCs w:val="21"/>
        </w:rPr>
        <w:t xml:space="preserve">«artistically staged ghost poetry» — una poesía fantasmagórica escenificada con oficio.</w:t>
      </w:r>
    </w:p>
    <w:p>
      <w:pPr>
        <w:spacing w:after="160"/>
        <w:ind w:left="680" w:right="400"/>
        <w:jc w:val="right"/>
      </w:pPr>
      <w:r>
        <w:rPr>
          <w:rFonts w:ascii="Cambria" w:cs="Cambria" w:eastAsia="Cambria" w:hAnsi="Cambria"/>
          <w:color w:val="555555"/>
          <w:sz w:val="19"/>
          <w:szCs w:val="19"/>
        </w:rPr>
        <w:t xml:space="preserve">Anders Österling, deliberaciones de 1969 [4][6]</w:t>
      </w:r>
    </w:p>
    <w:p>
      <w:pPr>
        <w:spacing w:after="140" w:line="288"/>
        <w:jc w:val="both"/>
      </w:pPr>
      <w:r>
        <w:rPr>
          <w:rFonts w:ascii="Cambria" w:cs="Cambria" w:eastAsia="Cambria" w:hAnsi="Cambria"/>
          <w:sz w:val="22"/>
          <w:szCs w:val="22"/>
        </w:rPr>
        <w:t xml:space="preserve">La concesión es fatal para su propia causa. Si la «defensa secreta» es posible, la cuestión deja de ser doctrinal (¿hay idealismo explícito?) y pasa a ser hermenéutica (¿quién sabe leerlo?). Por esa puerta entra Gierow. Su contraargumento, tal como consta en la documentación difundida tras la apertura, invierte el signo del diagnóstico sin negar uno solo de sus predicados: la «visión negra» de Beckett</w:t>
      </w:r>
    </w:p>
    <w:p>
      <w:pPr>
        <w:spacing w:after="40" w:line="276"/>
        <w:ind w:left="680" w:right="400"/>
        <w:jc w:val="both"/>
      </w:pPr>
      <w:r>
        <w:rPr>
          <w:rFonts w:ascii="Cambria" w:cs="Cambria" w:eastAsia="Cambria" w:hAnsi="Cambria"/>
          <w:i/>
          <w:iCs/>
          <w:sz w:val="21"/>
          <w:szCs w:val="21"/>
        </w:rPr>
        <w:t xml:space="preserve">«not the expression of animosity and nihilism» — no es expresión de animosidad ni de nihilismo, sino el retrato de la humanidad «at the moment of its most severe violation» — en el momento de su más grave vejación—, donde persiste «the possibility of rehabilitation» — la posibilidad de rehabilitación.</w:t>
      </w:r>
    </w:p>
    <w:p>
      <w:pPr>
        <w:spacing w:after="160"/>
        <w:ind w:left="680" w:right="400"/>
        <w:jc w:val="right"/>
      </w:pPr>
      <w:r>
        <w:rPr>
          <w:rFonts w:ascii="Cambria" w:cs="Cambria" w:eastAsia="Cambria" w:hAnsi="Cambria"/>
          <w:color w:val="555555"/>
          <w:sz w:val="19"/>
          <w:szCs w:val="19"/>
        </w:rPr>
        <w:t xml:space="preserve">Karl Ragnar Gierow, deliberaciones de 1969 [6]</w:t>
      </w:r>
    </w:p>
    <w:p>
      <w:pPr>
        <w:spacing w:after="140" w:line="288"/>
        <w:jc w:val="both"/>
      </w:pPr>
      <w:r>
        <w:rPr>
          <w:rFonts w:ascii="Cambria" w:cs="Cambria" w:eastAsia="Cambria" w:hAnsi="Cambria"/>
          <w:sz w:val="22"/>
          <w:szCs w:val="22"/>
        </w:rPr>
        <w:t xml:space="preserve">Las reconstrucciones secundarias del </w:t>
      </w:r>
      <w:r>
        <w:rPr>
          <w:rFonts w:ascii="Cambria" w:cs="Cambria" w:eastAsia="Cambria" w:hAnsi="Cambria"/>
          <w:i/>
          <w:iCs/>
          <w:sz w:val="22"/>
          <w:szCs w:val="22"/>
        </w:rPr>
        <w:t xml:space="preserve">utlåtande</w:t>
      </w:r>
      <w:r>
        <w:rPr>
          <w:rFonts w:ascii="Cambria" w:cs="Cambria" w:eastAsia="Cambria" w:hAnsi="Cambria"/>
          <w:sz w:val="22"/>
          <w:szCs w:val="22"/>
        </w:rPr>
        <w:t xml:space="preserve"> añaden que Gierow atribuyó a Beckett «pasión artística, propósito consecuente, fuerza creadora y una honda humanidad», y que resumió su cosmovisión no como nihilismo sino como «un idealismo profundamente herido» (</w:t>
      </w:r>
      <w:r>
        <w:rPr>
          <w:rFonts w:ascii="Cambria" w:cs="Cambria" w:eastAsia="Cambria" w:hAnsi="Cambria"/>
          <w:i/>
          <w:iCs/>
          <w:sz w:val="22"/>
          <w:szCs w:val="22"/>
        </w:rPr>
        <w:t xml:space="preserve">a deeply wounded idealism</w:t>
      </w:r>
      <w:r>
        <w:rPr>
          <w:rFonts w:ascii="Cambria" w:cs="Cambria" w:eastAsia="Cambria" w:hAnsi="Cambria"/>
          <w:sz w:val="22"/>
          <w:szCs w:val="22"/>
        </w:rPr>
        <w:t xml:space="preserve">) </w:t>
      </w:r>
      <w:r>
        <w:rPr>
          <w:rFonts w:ascii="Cambria" w:cs="Cambria" w:eastAsia="Cambria" w:hAnsi="Cambria"/>
          <w:sz w:val="22"/>
          <w:szCs w:val="22"/>
        </w:rPr>
        <w:t xml:space="preserve">[8]</w:t>
      </w:r>
      <w:r>
        <w:rPr>
          <w:rFonts w:ascii="Cambria" w:cs="Cambria" w:eastAsia="Cambria" w:hAnsi="Cambria"/>
          <w:sz w:val="22"/>
          <w:szCs w:val="22"/>
        </w:rPr>
        <w:t xml:space="preserve">. La fórmula es la clave de bóveda de toda la operación: el idealismo no se abandona, se declara herido; la herida no lo refuta, lo verifica.</w:t>
      </w:r>
    </w:p>
    <w:p>
      <w:pPr>
        <w:spacing w:after="140" w:line="288"/>
        <w:jc w:val="both"/>
      </w:pPr>
      <w:r>
        <w:rPr>
          <w:rFonts w:ascii="Cambria" w:cs="Cambria" w:eastAsia="Cambria" w:hAnsi="Cambria"/>
          <w:sz w:val="22"/>
          <w:szCs w:val="22"/>
        </w:rPr>
        <w:t xml:space="preserve">La votación se saldó cuatro a dos: Gierow, Gyllensten, Lundkvist y Olsson por Beckett; Österling —con un segundo miembro que, si la lista transmitida de partidarios es exhaustiva, hubo de ser Eyvind Johnson— por Malraux </w:t>
      </w:r>
      <w:r>
        <w:rPr>
          <w:rFonts w:ascii="Cambria" w:cs="Cambria" w:eastAsia="Cambria" w:hAnsi="Cambria"/>
          <w:sz w:val="22"/>
          <w:szCs w:val="22"/>
        </w:rPr>
        <w:t xml:space="preserve">[4][6]</w:t>
      </w:r>
      <w:r>
        <w:rPr>
          <w:rFonts w:ascii="Cambria" w:cs="Cambria" w:eastAsia="Cambria" w:hAnsi="Cambria"/>
          <w:sz w:val="22"/>
          <w:szCs w:val="22"/>
        </w:rPr>
        <w:t xml:space="preserve">. El premio se anunció el 23 de octubre de 1969. Un detalle protocolario resulta sintomático: el discurso de presentación, que por costumbre pronunciaba el presidente del comité, lo pronunció esta vez Gierow </w:t>
      </w:r>
      <w:r>
        <w:rPr>
          <w:rFonts w:ascii="Cambria" w:cs="Cambria" w:eastAsia="Cambria" w:hAnsi="Cambria"/>
          <w:sz w:val="22"/>
          <w:szCs w:val="22"/>
        </w:rPr>
        <w:t xml:space="preserve">[3][8]</w:t>
      </w:r>
      <w:r>
        <w:rPr>
          <w:rFonts w:ascii="Cambria" w:cs="Cambria" w:eastAsia="Cambria" w:hAnsi="Cambria"/>
          <w:sz w:val="22"/>
          <w:szCs w:val="22"/>
        </w:rPr>
        <w:t xml:space="preserve">.</w:t>
      </w:r>
    </w:p>
    <w:p>
      <w:pPr>
        <w:pStyle w:val="Heading1"/>
        <w:spacing w:after="170" w:before="340"/>
      </w:pPr>
      <w:r>
        <w:rPr>
          <w:rFonts w:ascii="Cambria" w:cs="Cambria" w:eastAsia="Cambria" w:hAnsi="Cambria"/>
          <w:b/>
          <w:bCs/>
          <w:color w:val="1F1F1F"/>
          <w:sz w:val="26"/>
          <w:szCs w:val="26"/>
        </w:rPr>
        <w:t xml:space="preserve">5. La defensa pública: el discurso del 10 de diciembre</w:t>
      </w:r>
    </w:p>
    <w:p>
      <w:pPr>
        <w:spacing w:after="140" w:line="288"/>
        <w:jc w:val="both"/>
      </w:pPr>
      <w:r>
        <w:rPr>
          <w:rFonts w:ascii="Cambria" w:cs="Cambria" w:eastAsia="Cambria" w:hAnsi="Cambria"/>
          <w:sz w:val="22"/>
          <w:szCs w:val="22"/>
        </w:rPr>
        <w:t xml:space="preserve">El discurso de ceremonia es la consolidación pública de la victoria de comité: la tesis minoritaria de 1968 convertida en doctrina oficial de la Academia. Gierow abre desactivando la solemnidad con ingenio:</w:t>
      </w:r>
    </w:p>
    <w:p>
      <w:pPr>
        <w:spacing w:after="40" w:line="276"/>
        <w:ind w:left="680" w:right="400"/>
        <w:jc w:val="both"/>
      </w:pPr>
      <w:r>
        <w:rPr>
          <w:rFonts w:ascii="Cambria" w:cs="Cambria" w:eastAsia="Cambria" w:hAnsi="Cambria"/>
          <w:i/>
          <w:iCs/>
          <w:sz w:val="21"/>
          <w:szCs w:val="21"/>
        </w:rPr>
        <w:t xml:space="preserve">«Mix a powerful imagination with a logic in absurdum, and the result will be either a paradox or an Irishman.» — Mézclese una imaginación poderosa con una lógica in absurdum, y el resultado será o una paradoja o un irlandés.</w:t>
      </w:r>
    </w:p>
    <w:p>
      <w:pPr>
        <w:spacing w:after="160"/>
        <w:ind w:left="680" w:right="400"/>
        <w:jc w:val="right"/>
      </w:pPr>
      <w:r>
        <w:rPr>
          <w:rFonts w:ascii="Cambria" w:cs="Cambria" w:eastAsia="Cambria" w:hAnsi="Cambria"/>
          <w:color w:val="555555"/>
          <w:sz w:val="19"/>
          <w:szCs w:val="19"/>
        </w:rPr>
        <w:t xml:space="preserve">K. R. Gierow, discurso de presentación, 10-XII-1969 [3]</w:t>
      </w:r>
    </w:p>
    <w:p>
      <w:pPr>
        <w:spacing w:after="140" w:line="288"/>
        <w:jc w:val="both"/>
      </w:pPr>
      <w:r>
        <w:rPr>
          <w:rFonts w:ascii="Cambria" w:cs="Cambria" w:eastAsia="Cambria" w:hAnsi="Cambria"/>
          <w:sz w:val="22"/>
          <w:szCs w:val="22"/>
        </w:rPr>
        <w:t xml:space="preserve">A continuación concede, una a una, todas las premisas de Österling: «la degradación del ser humano es tema recurrente en la escritura de Beckett» (</w:t>
      </w:r>
      <w:r>
        <w:rPr>
          <w:rFonts w:ascii="Cambria" w:cs="Cambria" w:eastAsia="Cambria" w:hAnsi="Cambria"/>
          <w:i/>
          <w:iCs/>
          <w:sz w:val="22"/>
          <w:szCs w:val="22"/>
        </w:rPr>
        <w:t xml:space="preserve">the degradation of humanity is a recurrent theme</w:t>
      </w:r>
      <w:r>
        <w:rPr>
          <w:rFonts w:ascii="Cambria" w:cs="Cambria" w:eastAsia="Cambria" w:hAnsi="Cambria"/>
          <w:sz w:val="22"/>
          <w:szCs w:val="22"/>
        </w:rPr>
        <w:t xml:space="preserve">); su filosofía comporta «un negativismo que no puede renunciar a descender a las profundidades» (</w:t>
      </w:r>
      <w:r>
        <w:rPr>
          <w:rFonts w:ascii="Cambria" w:cs="Cambria" w:eastAsia="Cambria" w:hAnsi="Cambria"/>
          <w:i/>
          <w:iCs/>
          <w:sz w:val="22"/>
          <w:szCs w:val="22"/>
        </w:rPr>
        <w:t xml:space="preserve">a negativism that cannot desist from descending to the depths</w:t>
      </w:r>
      <w:r>
        <w:rPr>
          <w:rFonts w:ascii="Cambria" w:cs="Cambria" w:eastAsia="Cambria" w:hAnsi="Cambria"/>
          <w:sz w:val="22"/>
          <w:szCs w:val="22"/>
        </w:rPr>
        <w:t xml:space="preserve">). Pero entonces ejecuta la inversión que transforma el descenso en método:</w:t>
      </w:r>
    </w:p>
    <w:p>
      <w:pPr>
        <w:spacing w:after="40" w:line="276"/>
        <w:ind w:left="680" w:right="400"/>
        <w:jc w:val="both"/>
      </w:pPr>
      <w:r>
        <w:rPr>
          <w:rFonts w:ascii="Cambria" w:cs="Cambria" w:eastAsia="Cambria" w:hAnsi="Cambria"/>
          <w:i/>
          <w:iCs/>
          <w:sz w:val="21"/>
          <w:szCs w:val="21"/>
        </w:rPr>
        <w:t xml:space="preserve">«To the depths it must go because it is only there that pessimistic thought and poetry can work their miracles.» — A las profundidades ha de ir, porque solo allí pueden el pensamiento y la poesía pesimistas obrar sus milagros.</w:t>
      </w:r>
    </w:p>
    <w:p>
      <w:pPr>
        <w:spacing w:after="160"/>
        <w:ind w:left="680" w:right="400"/>
        <w:jc w:val="right"/>
      </w:pPr>
      <w:r>
        <w:rPr>
          <w:rFonts w:ascii="Cambria" w:cs="Cambria" w:eastAsia="Cambria" w:hAnsi="Cambria"/>
          <w:color w:val="555555"/>
          <w:sz w:val="19"/>
          <w:szCs w:val="19"/>
        </w:rPr>
        <w:t xml:space="preserve">K. R. Gierow [3]</w:t>
      </w:r>
    </w:p>
    <w:p>
      <w:pPr>
        <w:spacing w:after="140" w:line="288"/>
        <w:jc w:val="both"/>
      </w:pPr>
      <w:r>
        <w:rPr>
          <w:rFonts w:ascii="Cambria" w:cs="Cambria" w:eastAsia="Cambria" w:hAnsi="Cambria"/>
          <w:sz w:val="22"/>
          <w:szCs w:val="22"/>
        </w:rPr>
        <w:t xml:space="preserve">La topología es la de la mística negativa —el descenso como única vía de acceso—, y el centro exacto del argumento es una definición de la compasión por paso al límite:</w:t>
      </w:r>
    </w:p>
    <w:p>
      <w:pPr>
        <w:spacing w:after="40" w:line="276"/>
        <w:ind w:left="680" w:right="400"/>
        <w:jc w:val="both"/>
      </w:pPr>
      <w:r>
        <w:rPr>
          <w:rFonts w:ascii="Cambria" w:cs="Cambria" w:eastAsia="Cambria" w:hAnsi="Cambria"/>
          <w:i/>
          <w:iCs/>
          <w:sz w:val="21"/>
          <w:szCs w:val="21"/>
        </w:rPr>
        <w:t xml:space="preserve">«…houses a love of mankind that grows in understanding as it plumbs further into the depths of abhorrence, a despair that has to reach the utmost bounds of suffering to discover that compassion has no bounds.» — …alberga un amor a la humanidad que gana en comprensión a medida que se adentra en los abismos de la abyección; una desesperación que debe alcanzar el límite último del sufrimiento para descubrir que la compasión no tiene límites.</w:t>
      </w:r>
    </w:p>
    <w:p>
      <w:pPr>
        <w:spacing w:after="160"/>
        <w:ind w:left="680" w:right="400"/>
        <w:jc w:val="right"/>
      </w:pPr>
      <w:r>
        <w:rPr>
          <w:rFonts w:ascii="Cambria" w:cs="Cambria" w:eastAsia="Cambria" w:hAnsi="Cambria"/>
          <w:color w:val="555555"/>
          <w:sz w:val="19"/>
          <w:szCs w:val="19"/>
        </w:rPr>
        <w:t xml:space="preserve">K. R. Gierow [3]</w:t>
      </w:r>
    </w:p>
    <w:p>
      <w:pPr>
        <w:spacing w:after="40" w:line="276"/>
        <w:ind w:left="680" w:right="400"/>
        <w:jc w:val="both"/>
      </w:pPr>
      <w:r>
        <w:rPr>
          <w:rFonts w:ascii="Cambria" w:cs="Cambria" w:eastAsia="Cambria" w:hAnsi="Cambria"/>
          <w:i/>
          <w:iCs/>
          <w:sz w:val="21"/>
          <w:szCs w:val="21"/>
        </w:rPr>
        <w:t xml:space="preserve">«From that position, in the realms of annihilation, rises the writing of Samuel Beckett like a miserere from all mankind, its muffled minor key sounding liberation to the oppressed, and comfort to those in need.» — Desde esa posición, en los dominios de la aniquilación, se eleva la escritura de Samuel Beckett como un miserere de toda la humanidad, cuyo apagado tono menor suena a liberación para los oprimidos y a consuelo para los necesitados.</w:t>
      </w:r>
    </w:p>
    <w:p>
      <w:pPr>
        <w:spacing w:after="160"/>
        <w:ind w:left="680" w:right="400"/>
        <w:jc w:val="right"/>
      </w:pPr>
      <w:r>
        <w:rPr>
          <w:rFonts w:ascii="Cambria" w:cs="Cambria" w:eastAsia="Cambria" w:hAnsi="Cambria"/>
          <w:color w:val="555555"/>
          <w:sz w:val="19"/>
          <w:szCs w:val="19"/>
        </w:rPr>
        <w:t xml:space="preserve">K. R. Gierow [3]</w:t>
      </w:r>
    </w:p>
    <w:p>
      <w:pPr>
        <w:spacing w:after="140" w:line="288"/>
        <w:jc w:val="both"/>
      </w:pPr>
      <w:r>
        <w:rPr>
          <w:rFonts w:ascii="Cambria" w:cs="Cambria" w:eastAsia="Cambria" w:hAnsi="Cambria"/>
          <w:sz w:val="22"/>
          <w:szCs w:val="22"/>
        </w:rPr>
        <w:t xml:space="preserve">Nótese el procedimiento: Gierow no niega ninguno de los predicados de Österling —negrura, descenso, abyección, aniquilación—; cambia el operador de evaluación. Donde Österling ve estados terminales, Gierow ve funciones: descender-para, alcanzar-el-límite-para-descubrir, elevarse-desde. Y recodifica litúrgicamente el conjunto: el </w:t>
      </w:r>
      <w:r>
        <w:rPr>
          <w:rFonts w:ascii="Cambria" w:cs="Cambria" w:eastAsia="Cambria" w:hAnsi="Cambria"/>
          <w:i/>
          <w:iCs/>
          <w:sz w:val="22"/>
          <w:szCs w:val="22"/>
        </w:rPr>
        <w:t xml:space="preserve">miserere</w:t>
      </w:r>
      <w:r>
        <w:rPr>
          <w:rFonts w:ascii="Cambria" w:cs="Cambria" w:eastAsia="Cambria" w:hAnsi="Cambria"/>
          <w:sz w:val="22"/>
          <w:szCs w:val="22"/>
        </w:rPr>
        <w:t xml:space="preserve"> convierte la supuesta anti-literatura en oración penitencial de la especie, exactamente lo que el testamento podía querer decir con «idealismo» una vez muerto el idealismo.</w:t>
      </w:r>
    </w:p>
    <w:p>
      <w:pPr>
        <w:spacing w:after="140" w:line="288"/>
        <w:jc w:val="both"/>
      </w:pPr>
      <w:r>
        <w:rPr>
          <w:rFonts w:ascii="Cambria" w:cs="Cambria" w:eastAsia="Cambria" w:hAnsi="Cambria"/>
          <w:sz w:val="22"/>
          <w:szCs w:val="22"/>
        </w:rPr>
        <w:t xml:space="preserve">El premiado, por su parte, ratificó la tesis con su conducta. La noticia lo alcanzó en Túnez; Suzanne, su mujer, resumió el acontecimiento en una palabra —«</w:t>
      </w:r>
      <w:r>
        <w:rPr>
          <w:rFonts w:ascii="Cambria" w:cs="Cambria" w:eastAsia="Cambria" w:hAnsi="Cambria"/>
          <w:i/>
          <w:iCs/>
          <w:sz w:val="22"/>
          <w:szCs w:val="22"/>
        </w:rPr>
        <w:t xml:space="preserve">quelle catastrophe</w:t>
      </w:r>
      <w:r>
        <w:rPr>
          <w:rFonts w:ascii="Cambria" w:cs="Cambria" w:eastAsia="Cambria" w:hAnsi="Cambria"/>
          <w:sz w:val="22"/>
          <w:szCs w:val="22"/>
        </w:rPr>
        <w:t xml:space="preserve">»—; su editor Jérôme Lindon le aconsejó por telegrama esconderse, recogió el premio en su nombre y no hubo ni asistencia ni discurso de aceptación </w:t>
      </w:r>
      <w:r>
        <w:rPr>
          <w:rFonts w:ascii="Cambria" w:cs="Cambria" w:eastAsia="Cambria" w:hAnsi="Cambria"/>
          <w:sz w:val="22"/>
          <w:szCs w:val="22"/>
        </w:rPr>
        <w:t xml:space="preserve">[3][9][10]</w:t>
      </w:r>
      <w:r>
        <w:rPr>
          <w:rFonts w:ascii="Cambria" w:cs="Cambria" w:eastAsia="Cambria" w:hAnsi="Cambria"/>
          <w:sz w:val="22"/>
          <w:szCs w:val="22"/>
        </w:rPr>
        <w:t xml:space="preserve">. Beckett se desprendió con rapidez del dinero, con Trinity College Dublin entre los beneficiarios </w:t>
      </w:r>
      <w:r>
        <w:rPr>
          <w:rFonts w:ascii="Cambria" w:cs="Cambria" w:eastAsia="Cambria" w:hAnsi="Cambria"/>
          <w:sz w:val="22"/>
          <w:szCs w:val="22"/>
        </w:rPr>
        <w:t xml:space="preserve">[6][10]</w:t>
      </w:r>
      <w:r>
        <w:rPr>
          <w:rFonts w:ascii="Cambria" w:cs="Cambria" w:eastAsia="Cambria" w:hAnsi="Cambria"/>
          <w:sz w:val="22"/>
          <w:szCs w:val="22"/>
        </w:rPr>
        <w:t xml:space="preserve">. El autor premiado por elevarse desde la desnudez respondió al laurel desnudándose de él.</w:t>
      </w:r>
    </w:p>
    <w:p>
      <w:pPr>
        <w:pStyle w:val="Heading1"/>
        <w:spacing w:after="170" w:before="340"/>
      </w:pPr>
      <w:r>
        <w:rPr>
          <w:rFonts w:ascii="Cambria" w:cs="Cambria" w:eastAsia="Cambria" w:hAnsi="Cambria"/>
          <w:b/>
          <w:bCs/>
          <w:color w:val="1F1F1F"/>
          <w:sz w:val="26"/>
          <w:szCs w:val="26"/>
        </w:rPr>
        <w:t xml:space="preserve">6. Filología del dictamen: blottställdhet / resning</w:t>
      </w:r>
    </w:p>
    <w:p>
      <w:pPr>
        <w:spacing w:after="140" w:line="288"/>
        <w:jc w:val="both"/>
      </w:pPr>
      <w:r>
        <w:rPr>
          <w:rFonts w:ascii="Cambria" w:cs="Cambria" w:eastAsia="Cambria" w:hAnsi="Cambria"/>
          <w:sz w:val="22"/>
          <w:szCs w:val="22"/>
        </w:rPr>
        <w:t xml:space="preserve">El acta de concesión fija la fórmula de compromiso:</w:t>
      </w:r>
    </w:p>
    <w:p>
      <w:pPr>
        <w:spacing w:after="40" w:line="276"/>
        <w:ind w:left="680" w:right="400"/>
        <w:jc w:val="both"/>
      </w:pPr>
      <w:r>
        <w:rPr>
          <w:rFonts w:ascii="Cambria" w:cs="Cambria" w:eastAsia="Cambria" w:hAnsi="Cambria"/>
          <w:i/>
          <w:iCs/>
          <w:sz w:val="21"/>
          <w:szCs w:val="21"/>
        </w:rPr>
        <w:t xml:space="preserve">«för en diktning, som i nya former för roman och drama ur nutidsmänniskans blottställdhet hämtar sin konstnärliga resning» — por una escritura que, en nuevas formas para la novela y el drama, obtiene su elevación artística desde la desnudez del hombre contemporáneo.</w:t>
      </w:r>
    </w:p>
    <w:p>
      <w:pPr>
        <w:spacing w:after="160"/>
        <w:ind w:left="680" w:right="400"/>
        <w:jc w:val="right"/>
      </w:pPr>
      <w:r>
        <w:rPr>
          <w:rFonts w:ascii="Cambria" w:cs="Cambria" w:eastAsia="Cambria" w:hAnsi="Cambria"/>
          <w:color w:val="555555"/>
          <w:sz w:val="19"/>
          <w:szCs w:val="19"/>
        </w:rPr>
        <w:t xml:space="preserve">Academia Sueca, dictamen de 1969 [1][2]; versión oficial inglesa: «for his writing, which — in new forms for the novel and drama — in the destitution of modern man acquires its elevation» [3]</w:t>
      </w:r>
    </w:p>
    <w:p>
      <w:pPr>
        <w:spacing w:after="140" w:line="288"/>
        <w:jc w:val="both"/>
      </w:pPr>
      <w:r>
        <w:rPr>
          <w:rFonts w:ascii="Cambria" w:cs="Cambria" w:eastAsia="Cambria" w:hAnsi="Cambria"/>
          <w:sz w:val="22"/>
          <w:szCs w:val="22"/>
        </w:rPr>
        <w:t xml:space="preserve">Toda la síntesis está en dos sustantivos. </w:t>
      </w:r>
      <w:r>
        <w:rPr>
          <w:rFonts w:ascii="Cambria" w:cs="Cambria" w:eastAsia="Cambria" w:hAnsi="Cambria"/>
          <w:b/>
          <w:bCs/>
          <w:sz w:val="22"/>
          <w:szCs w:val="22"/>
        </w:rPr>
        <w:t xml:space="preserve">Blottställdhet</w:t>
      </w:r>
      <w:r>
        <w:rPr>
          <w:rFonts w:ascii="Cambria" w:cs="Cambria" w:eastAsia="Cambria" w:hAnsi="Cambria"/>
          <w:sz w:val="22"/>
          <w:szCs w:val="22"/>
        </w:rPr>
        <w:t xml:space="preserve"> —de </w:t>
      </w:r>
      <w:r>
        <w:rPr>
          <w:rFonts w:ascii="Cambria" w:cs="Cambria" w:eastAsia="Cambria" w:hAnsi="Cambria"/>
          <w:i/>
          <w:iCs/>
          <w:sz w:val="22"/>
          <w:szCs w:val="22"/>
        </w:rPr>
        <w:t xml:space="preserve">blotta</w:t>
      </w:r>
      <w:r>
        <w:rPr>
          <w:rFonts w:ascii="Cambria" w:cs="Cambria" w:eastAsia="Cambria" w:hAnsi="Cambria"/>
          <w:sz w:val="22"/>
          <w:szCs w:val="22"/>
        </w:rPr>
        <w:t xml:space="preserve">, desnudar, y </w:t>
      </w:r>
      <w:r>
        <w:rPr>
          <w:rFonts w:ascii="Cambria" w:cs="Cambria" w:eastAsia="Cambria" w:hAnsi="Cambria"/>
          <w:i/>
          <w:iCs/>
          <w:sz w:val="22"/>
          <w:szCs w:val="22"/>
        </w:rPr>
        <w:t xml:space="preserve">ställa</w:t>
      </w:r>
      <w:r>
        <w:rPr>
          <w:rFonts w:ascii="Cambria" w:cs="Cambria" w:eastAsia="Cambria" w:hAnsi="Cambria"/>
          <w:sz w:val="22"/>
          <w:szCs w:val="22"/>
        </w:rPr>
        <w:t xml:space="preserve">, poner— no significa simple miseria: significa quedar expuesto, sin defensa ni cobertura; es el estado del hombre al que se le han retirado las protecciones. La palabra registra, es decir, el diagnóstico íntegro de Österling. </w:t>
      </w:r>
      <w:r>
        <w:rPr>
          <w:rFonts w:ascii="Cambria" w:cs="Cambria" w:eastAsia="Cambria" w:hAnsi="Cambria"/>
          <w:b/>
          <w:bCs/>
          <w:sz w:val="22"/>
          <w:szCs w:val="22"/>
        </w:rPr>
        <w:t xml:space="preserve">Resning</w:t>
      </w:r>
      <w:r>
        <w:rPr>
          <w:rFonts w:ascii="Cambria" w:cs="Cambria" w:eastAsia="Cambria" w:hAnsi="Cambria"/>
          <w:sz w:val="22"/>
          <w:szCs w:val="22"/>
        </w:rPr>
        <w:t xml:space="preserve"> significa elevación, acto de erguirse; pero en sueco es también término jurídico: la revisión de un proceso cerrado. El doble sentido es un regalo involuntario del idioma: la obra obtiene su elevación y el hombre contemporáneo obtiene, en ella, la revisión de su causa. Entre ambos sustantivos, el verbo </w:t>
      </w:r>
      <w:r>
        <w:rPr>
          <w:rFonts w:ascii="Cambria" w:cs="Cambria" w:eastAsia="Cambria" w:hAnsi="Cambria"/>
          <w:i/>
          <w:iCs/>
          <w:sz w:val="22"/>
          <w:szCs w:val="22"/>
        </w:rPr>
        <w:t xml:space="preserve">hämtar</w:t>
      </w:r>
      <w:r>
        <w:rPr>
          <w:rFonts w:ascii="Cambria" w:cs="Cambria" w:eastAsia="Cambria" w:hAnsi="Cambria"/>
          <w:sz w:val="22"/>
          <w:szCs w:val="22"/>
        </w:rPr>
        <w:t xml:space="preserve"> («extrae de») declara que la desnudez no es obstáculo del idealismo sino su yacimiento.</w:t>
      </w:r>
    </w:p>
    <w:p>
      <w:pPr>
        <w:spacing w:after="140" w:line="288"/>
        <w:jc w:val="both"/>
      </w:pPr>
      <w:r>
        <w:rPr>
          <w:rFonts w:ascii="Cambria" w:cs="Cambria" w:eastAsia="Cambria" w:hAnsi="Cambria"/>
          <w:sz w:val="22"/>
          <w:szCs w:val="22"/>
        </w:rPr>
        <w:t xml:space="preserve">Queda el adjetivo, que es la firma del compromiso: la elevación se dice </w:t>
      </w:r>
      <w:r>
        <w:rPr>
          <w:rFonts w:ascii="Cambria" w:cs="Cambria" w:eastAsia="Cambria" w:hAnsi="Cambria"/>
          <w:b/>
          <w:bCs/>
          <w:sz w:val="22"/>
          <w:szCs w:val="22"/>
        </w:rPr>
        <w:t xml:space="preserve">konstnärliga</w:t>
      </w:r>
      <w:r>
        <w:rPr>
          <w:rFonts w:ascii="Cambria" w:cs="Cambria" w:eastAsia="Cambria" w:hAnsi="Cambria"/>
          <w:sz w:val="22"/>
          <w:szCs w:val="22"/>
        </w:rPr>
        <w:t xml:space="preserve">, artística. La Academia no afirma elevación moral —eso habría sido darle la razón entera a Gierow— ni la niega —eso habría sido dársela a Österling—. El acta es, también lingüísticamente, un documento de comité: mantiene el diagnóstico del adversario como materia (la desnudez) y el veredicto del defensor como forma (la elevación), y deja el adjetivo montando guardia entre ambos.</w:t>
      </w:r>
    </w:p>
    <w:p>
      <w:pPr>
        <w:pStyle w:val="Heading1"/>
        <w:spacing w:after="170" w:before="340"/>
      </w:pPr>
      <w:r>
        <w:rPr>
          <w:rFonts w:ascii="Cambria" w:cs="Cambria" w:eastAsia="Cambria" w:hAnsi="Cambria"/>
          <w:b/>
          <w:bCs/>
          <w:color w:val="1F1F1F"/>
          <w:sz w:val="26"/>
          <w:szCs w:val="26"/>
        </w:rPr>
        <w:t xml:space="preserve">7. Cuadro comparativo de las dos posturas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shd w:fill="2B2B2B" w:color="auto" w:val="clear"/>
            <w:tcMar>
              <w:top w:type="dxa" w:w="90"/>
              <w:left w:type="dxa" w:w="130"/>
              <w:bottom w:type="dxa" w:w="90"/>
              <w:right w:type="dxa" w:w="130"/>
            </w:tcMar>
          </w:tcPr>
          <w:p>
            <w:pPr>
              <w:spacing w:after="0" w:line="252"/>
              <w:jc w:val="left"/>
            </w:pPr>
            <w:r>
              <w:rPr>
                <w:rFonts w:ascii="Cambria" w:cs="Cambria" w:eastAsia="Cambria" w:hAnsi="Cambria"/>
                <w:b/>
                <w:bCs/>
                <w:color w:val="FFFFFF"/>
                <w:sz w:val="19"/>
                <w:szCs w:val="19"/>
              </w:rPr>
              <w:t xml:space="preserve">Dimensión</w:t>
            </w:r>
          </w:p>
        </w:tc>
        <w:tc>
          <w:tcPr>
            <w:tcW w:type="dxa" w:w="3513"/>
            <w:shd w:fill="2B2B2B" w:color="auto" w:val="clear"/>
            <w:tcMar>
              <w:top w:type="dxa" w:w="90"/>
              <w:left w:type="dxa" w:w="130"/>
              <w:bottom w:type="dxa" w:w="90"/>
              <w:right w:type="dxa" w:w="130"/>
            </w:tcMar>
          </w:tcPr>
          <w:p>
            <w:pPr>
              <w:spacing w:after="0" w:line="252"/>
              <w:jc w:val="left"/>
            </w:pPr>
            <w:r>
              <w:rPr>
                <w:rFonts w:ascii="Cambria" w:cs="Cambria" w:eastAsia="Cambria" w:hAnsi="Cambria"/>
                <w:b/>
                <w:bCs/>
                <w:color w:val="FFFFFF"/>
                <w:sz w:val="19"/>
                <w:szCs w:val="19"/>
              </w:rPr>
              <w:t xml:space="preserve">Anders Österling (presidente del comité)</w:t>
            </w:r>
          </w:p>
        </w:tc>
        <w:tc>
          <w:tcPr>
            <w:tcW w:type="dxa" w:w="3513"/>
            <w:shd w:fill="2B2B2B" w:color="auto" w:val="clear"/>
            <w:tcMar>
              <w:top w:type="dxa" w:w="90"/>
              <w:left w:type="dxa" w:w="130"/>
              <w:bottom w:type="dxa" w:w="90"/>
              <w:right w:type="dxa" w:w="130"/>
            </w:tcMar>
          </w:tcPr>
          <w:p>
            <w:pPr>
              <w:spacing w:after="0" w:line="252"/>
              <w:jc w:val="left"/>
            </w:pPr>
            <w:r>
              <w:rPr>
                <w:rFonts w:ascii="Cambria" w:cs="Cambria" w:eastAsia="Cambria" w:hAnsi="Cambria"/>
                <w:b/>
                <w:bCs/>
                <w:color w:val="FFFFFF"/>
                <w:sz w:val="19"/>
                <w:szCs w:val="19"/>
              </w:rPr>
              <w:t xml:space="preserve">Karl Ragnar Gierow (secretario permanente)</w:t>
            </w:r>
          </w:p>
        </w:tc>
      </w:tr>
      <w:tr>
        <w:trPr>
          <w:tblHeader w:val="false"/>
        </w:trPr>
        <w:tc>
          <w:tcPr>
            <w:tcW w:type="dxa" w:w="2000"/>
            <w:shd w:fill="F2F0EB" w:color="auto" w:val="clear"/>
            <w:tcMar>
              <w:top w:type="dxa" w:w="90"/>
              <w:left w:type="dxa" w:w="130"/>
              <w:bottom w:type="dxa" w:w="90"/>
              <w:right w:type="dxa" w:w="130"/>
            </w:tcMar>
          </w:tcPr>
          <w:p>
            <w:pPr>
              <w:spacing w:after="0" w:line="252"/>
              <w:jc w:val="left"/>
            </w:pPr>
            <w:r>
              <w:rPr>
                <w:rFonts w:ascii="Cambria" w:cs="Cambria" w:eastAsia="Cambria" w:hAnsi="Cambria"/>
                <w:b/>
                <w:bCs/>
                <w:color w:val="1F1F1F"/>
                <w:sz w:val="19"/>
                <w:szCs w:val="19"/>
              </w:rPr>
              <w:t xml:space="preserve">Diagnóstico del corpus</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Escritura «demostrativamente negativa o nihilista»; «un desprecio sin fondo por la condición humana»; en suma, «poesía fantasmagórica escenificada con oficio».</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La «visión negra» no es «animosidad ni nihilismo»: es el hombre retratado «en el momento de su más grave vejación», con la rehabilitación aún posible.</w:t>
            </w:r>
          </w:p>
        </w:tc>
      </w:tr>
      <w:tr>
        <w:trPr>
          <w:tblHeader w:val="false"/>
        </w:trPr>
        <w:tc>
          <w:tcPr>
            <w:tcW w:type="dxa" w:w="2000"/>
            <w:shd w:fill="F2F0EB" w:color="auto" w:val="clear"/>
            <w:tcMar>
              <w:top w:type="dxa" w:w="90"/>
              <w:left w:type="dxa" w:w="130"/>
              <w:bottom w:type="dxa" w:w="90"/>
              <w:right w:type="dxa" w:w="130"/>
            </w:tcMar>
          </w:tcPr>
          <w:p>
            <w:pPr>
              <w:spacing w:after="0" w:line="252"/>
              <w:jc w:val="left"/>
            </w:pPr>
            <w:r>
              <w:rPr>
                <w:rFonts w:ascii="Cambria" w:cs="Cambria" w:eastAsia="Cambria" w:hAnsi="Cambria"/>
                <w:b/>
                <w:bCs/>
                <w:color w:val="1F1F1F"/>
                <w:sz w:val="19"/>
                <w:szCs w:val="19"/>
              </w:rPr>
              <w:t xml:space="preserve">Relación con el testamento</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«Dudas de fondo» sobre la compatibilidad con «el espíritu del testamento»: el idealismo exige un signo positivo verificable.</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Compatibilidad por reinterpretación: la obra encarna «un idealismo profundamente herido»; la desnudez es el terreno de prueba del ideal.</w:t>
            </w:r>
          </w:p>
        </w:tc>
      </w:tr>
      <w:tr>
        <w:trPr>
          <w:tblHeader w:val="false"/>
        </w:trPr>
        <w:tc>
          <w:tcPr>
            <w:tcW w:type="dxa" w:w="2000"/>
            <w:shd w:fill="F2F0EB" w:color="auto" w:val="clear"/>
            <w:tcMar>
              <w:top w:type="dxa" w:w="90"/>
              <w:left w:type="dxa" w:w="130"/>
              <w:bottom w:type="dxa" w:w="90"/>
              <w:right w:type="dxa" w:w="130"/>
            </w:tcMar>
          </w:tcPr>
          <w:p>
            <w:pPr>
              <w:spacing w:after="0" w:line="252"/>
              <w:jc w:val="left"/>
            </w:pPr>
            <w:r>
              <w:rPr>
                <w:rFonts w:ascii="Cambria" w:cs="Cambria" w:eastAsia="Cambria" w:hAnsi="Cambria"/>
                <w:b/>
                <w:bCs/>
                <w:color w:val="1F1F1F"/>
                <w:sz w:val="19"/>
                <w:szCs w:val="19"/>
              </w:rPr>
              <w:t xml:space="preserve">Genealogía estética</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Swift y Leopardi como negadores legítimos: su negación tiene «un corazón poderoso» que a Beckett «le falta».</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Beckett como poseedor de «pasión artística, propósito consecuente, fuerza creadora y honda humanidad» (reconstrucción del utlåtande).</w:t>
            </w:r>
          </w:p>
        </w:tc>
      </w:tr>
      <w:tr>
        <w:trPr>
          <w:tblHeader w:val="false"/>
        </w:trPr>
        <w:tc>
          <w:tcPr>
            <w:tcW w:type="dxa" w:w="2000"/>
            <w:shd w:fill="F2F0EB" w:color="auto" w:val="clear"/>
            <w:tcMar>
              <w:top w:type="dxa" w:w="90"/>
              <w:left w:type="dxa" w:w="130"/>
              <w:bottom w:type="dxa" w:w="90"/>
              <w:right w:type="dxa" w:w="130"/>
            </w:tcMar>
          </w:tcPr>
          <w:p>
            <w:pPr>
              <w:spacing w:after="0" w:line="252"/>
              <w:jc w:val="left"/>
            </w:pPr>
            <w:r>
              <w:rPr>
                <w:rFonts w:ascii="Cambria" w:cs="Cambria" w:eastAsia="Cambria" w:hAnsi="Cambria"/>
                <w:b/>
                <w:bCs/>
                <w:color w:val="1F1F1F"/>
                <w:sz w:val="19"/>
                <w:szCs w:val="19"/>
              </w:rPr>
              <w:t xml:space="preserve">Candidato preferido (1968–1969)</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André Malraux (aceptables, en 1968: Kawabata, Auden).</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Samuel Beckett.</w:t>
            </w:r>
          </w:p>
        </w:tc>
      </w:tr>
      <w:tr>
        <w:trPr>
          <w:tblHeader w:val="false"/>
        </w:trPr>
        <w:tc>
          <w:tcPr>
            <w:tcW w:type="dxa" w:w="2000"/>
            <w:shd w:fill="F2F0EB" w:color="auto" w:val="clear"/>
            <w:tcMar>
              <w:top w:type="dxa" w:w="90"/>
              <w:left w:type="dxa" w:w="130"/>
              <w:bottom w:type="dxa" w:w="90"/>
              <w:right w:type="dxa" w:w="130"/>
            </w:tcMar>
          </w:tcPr>
          <w:p>
            <w:pPr>
              <w:spacing w:after="0" w:line="252"/>
              <w:jc w:val="left"/>
            </w:pPr>
            <w:r>
              <w:rPr>
                <w:rFonts w:ascii="Cambria" w:cs="Cambria" w:eastAsia="Cambria" w:hAnsi="Cambria"/>
                <w:b/>
                <w:bCs/>
                <w:color w:val="1F1F1F"/>
                <w:sz w:val="19"/>
                <w:szCs w:val="19"/>
              </w:rPr>
              <w:t xml:space="preserve">Desenlace de 1969</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Minoría (2 de 6); no pronuncia el discurso de ceremonia que protocolariamente le correspondía.</w:t>
            </w:r>
          </w:p>
        </w:tc>
        <w:tc>
          <w:tcPr>
            <w:tcW w:type="dxa" w:w="3513"/>
            <w:tcMar>
              <w:top w:type="dxa" w:w="90"/>
              <w:left w:type="dxa" w:w="130"/>
              <w:bottom w:type="dxa" w:w="90"/>
              <w:right w:type="dxa" w:w="130"/>
            </w:tcMar>
          </w:tcPr>
          <w:p>
            <w:pPr>
              <w:spacing w:after="0" w:line="252"/>
              <w:jc w:val="left"/>
            </w:pPr>
            <w:r>
              <w:rPr>
                <w:rFonts w:ascii="Cambria" w:cs="Cambria" w:eastAsia="Cambria" w:hAnsi="Cambria"/>
                <w:b w:val="false"/>
                <w:bCs w:val="false"/>
                <w:color w:val="1F1F1F"/>
                <w:sz w:val="19"/>
                <w:szCs w:val="19"/>
              </w:rPr>
              <w:t xml:space="preserve">Mayoría (4 de 6); pronuncia el discurso del 10 de diciembre y fija la doctrina oficial.</w:t>
            </w:r>
          </w:p>
        </w:tc>
      </w:tr>
    </w:tbl>
    <w:p>
      <w:pPr>
        <w:spacing w:after="140"/>
      </w:pPr>
    </w:p>
    <w:p>
      <w:pPr>
        <w:pStyle w:val="Heading1"/>
        <w:spacing w:after="170" w:before="340"/>
      </w:pPr>
      <w:r>
        <w:rPr>
          <w:rFonts w:ascii="Cambria" w:cs="Cambria" w:eastAsia="Cambria" w:hAnsi="Cambria"/>
          <w:b/>
          <w:bCs/>
          <w:color w:val="1F1F1F"/>
          <w:sz w:val="26"/>
          <w:szCs w:val="26"/>
        </w:rPr>
        <w:t xml:space="preserve">8. Falsación de la síntesis</w:t>
      </w:r>
    </w:p>
    <w:p>
      <w:pPr>
        <w:spacing w:after="140" w:line="288"/>
        <w:jc w:val="both"/>
      </w:pPr>
      <w:r>
        <w:rPr>
          <w:rFonts w:ascii="Cambria" w:cs="Cambria" w:eastAsia="Cambria" w:hAnsi="Cambria"/>
          <w:sz w:val="22"/>
          <w:szCs w:val="22"/>
        </w:rPr>
        <w:t xml:space="preserve">La doctrina vencedora de 1969 admite ser tratada como hipótesis: si la obra de Beckett encarna «un idealismo profundamente herido» cuya negrura alberga «una defensa secreta de la humanidad», la tesis debe resistir contrastaciones independientes. Se proponen tres.</w:t>
      </w:r>
    </w:p>
    <w:p>
      <w:pPr>
        <w:pStyle w:val="Heading2"/>
        <w:spacing w:after="130" w:before="260"/>
      </w:pPr>
      <w:r>
        <w:rPr>
          <w:rFonts w:ascii="Cambria" w:cs="Cambria" w:eastAsia="Cambria" w:hAnsi="Cambria"/>
          <w:b/>
          <w:bCs/>
          <w:color w:val="333333"/>
          <w:sz w:val="23"/>
          <w:szCs w:val="23"/>
        </w:rPr>
        <w:t xml:space="preserve">8.1 El testimonio del premiado</w:t>
      </w:r>
    </w:p>
    <w:p>
      <w:pPr>
        <w:spacing w:after="140" w:line="288"/>
        <w:jc w:val="both"/>
      </w:pPr>
      <w:r>
        <w:rPr>
          <w:rFonts w:ascii="Cambria" w:cs="Cambria" w:eastAsia="Cambria" w:hAnsi="Cambria"/>
          <w:sz w:val="22"/>
          <w:szCs w:val="22"/>
        </w:rPr>
        <w:t xml:space="preserve">Primera contrastación: el autor. Si la obra albergara una defensa de la humanidad convertible en doctrina pública, cabría esperar del autor, si no gratitud, al menos algún reconocimiento del acierto hermenéutico. Los hechos apuntan en sentido contrario: la sentencia de Suzanne («</w:t>
      </w:r>
      <w:r>
        <w:rPr>
          <w:rFonts w:ascii="Cambria" w:cs="Cambria" w:eastAsia="Cambria" w:hAnsi="Cambria"/>
          <w:i/>
          <w:iCs/>
          <w:sz w:val="22"/>
          <w:szCs w:val="22"/>
        </w:rPr>
        <w:t xml:space="preserve">quelle catastrophe</w:t>
      </w:r>
      <w:r>
        <w:rPr>
          <w:rFonts w:ascii="Cambria" w:cs="Cambria" w:eastAsia="Cambria" w:hAnsi="Cambria"/>
          <w:sz w:val="22"/>
          <w:szCs w:val="22"/>
        </w:rPr>
        <w:t xml:space="preserve">»), el retiro en Túnez, el telegrama de Lindon aconsejando esconderse, la ausencia de Estocolmo, la renuncia al discurso y la rápida dispersión del dinero </w:t>
      </w:r>
      <w:r>
        <w:rPr>
          <w:rFonts w:ascii="Cambria" w:cs="Cambria" w:eastAsia="Cambria" w:hAnsi="Cambria"/>
          <w:sz w:val="22"/>
          <w:szCs w:val="22"/>
        </w:rPr>
        <w:t xml:space="preserve">[9][10]</w:t>
      </w:r>
      <w:r>
        <w:rPr>
          <w:rFonts w:ascii="Cambria" w:cs="Cambria" w:eastAsia="Cambria" w:hAnsi="Cambria"/>
          <w:sz w:val="22"/>
          <w:szCs w:val="22"/>
        </w:rPr>
        <w:t xml:space="preserve">. El contraejemplo, sin embargo, no consuma la refutación: la catástrofe temida era la celebridad como destrucción de las condiciones del trabajo, no la lectura compasiva de la obra; y la conducta del premiado —aceptar sin comparecer, seguir escribiendo hacia formas aún más despojadas— es exactamente la que la hipótesis predice: persistencia sin consuelo. Veredicto: no refuta; deja la tesis en pie por consistencia, no por confirmación.</w:t>
      </w:r>
    </w:p>
    <w:p>
      <w:pPr>
        <w:pStyle w:val="Heading2"/>
        <w:spacing w:after="130" w:before="260"/>
      </w:pPr>
      <w:r>
        <w:rPr>
          <w:rFonts w:ascii="Cambria" w:cs="Cambria" w:eastAsia="Cambria" w:hAnsi="Cambria"/>
          <w:b/>
          <w:bCs/>
          <w:color w:val="333333"/>
          <w:sz w:val="23"/>
          <w:szCs w:val="23"/>
        </w:rPr>
        <w:t xml:space="preserve">8.2 La objeción de Adorno</w:t>
      </w:r>
    </w:p>
    <w:p>
      <w:pPr>
        <w:spacing w:after="140" w:line="288"/>
        <w:jc w:val="both"/>
      </w:pPr>
      <w:r>
        <w:rPr>
          <w:rFonts w:ascii="Cambria" w:cs="Cambria" w:eastAsia="Cambria" w:hAnsi="Cambria"/>
          <w:sz w:val="22"/>
          <w:szCs w:val="22"/>
        </w:rPr>
        <w:t xml:space="preserve">Segunda contrastación: la crítica filosófica. Adorno, en su ensayo de 1961 sobre </w:t>
      </w:r>
      <w:r>
        <w:rPr>
          <w:rFonts w:ascii="Cambria" w:cs="Cambria" w:eastAsia="Cambria" w:hAnsi="Cambria"/>
          <w:i/>
          <w:iCs/>
          <w:sz w:val="22"/>
          <w:szCs w:val="22"/>
        </w:rPr>
        <w:t xml:space="preserve">Fin de partida</w:t>
      </w:r>
      <w:r>
        <w:rPr>
          <w:rFonts w:ascii="Cambria" w:cs="Cambria" w:eastAsia="Cambria" w:hAnsi="Cambria"/>
          <w:sz w:val="22"/>
          <w:szCs w:val="22"/>
        </w:rPr>
        <w:t xml:space="preserve">, había impugnado por anticipado el procedimiento entero del comité: en Beckett no hay un contenido oculto —humanista o nihilista— que un intérprete diligente pueda extraer, porque las obras no comunican un sentido sino que ejecutan su imposibilidad; comprenderlas «no puede significar otra cosa que comprender su incomprensibilidad, reconstruir concretamente que su trama de sentido consiste en no tener ninguno» </w:t>
      </w:r>
      <w:r>
        <w:rPr>
          <w:rFonts w:ascii="Cambria" w:cs="Cambria" w:eastAsia="Cambria" w:hAnsi="Cambria"/>
          <w:sz w:val="22"/>
          <w:szCs w:val="22"/>
        </w:rPr>
        <w:t xml:space="preserve">[11]</w:t>
      </w:r>
      <w:r>
        <w:rPr>
          <w:rFonts w:ascii="Cambria" w:cs="Cambria" w:eastAsia="Cambria" w:hAnsi="Cambria"/>
          <w:sz w:val="22"/>
          <w:szCs w:val="22"/>
        </w:rPr>
        <w:t xml:space="preserve">. Si Adorno acierta, Österling y Gierow cometen el mismo error de categoría con signo inverso: ambos tratan como mensaje lo que es forma. La síntesis de Gierow solo sobrevive reformulada a la baja: la «compasión» no como contenido extraíble, sino como efecto estructural del procedimiento —aquello que su propio discurso de diciembre, al definir la compasión por paso al límite, estuvo a punto de decir. Veredicto: refutación parcial; obliga a rebajar la doctrina de contenido a estructura.</w:t>
      </w:r>
    </w:p>
    <w:p>
      <w:pPr>
        <w:pStyle w:val="Heading2"/>
        <w:spacing w:after="130" w:before="260"/>
      </w:pPr>
      <w:r>
        <w:rPr>
          <w:rFonts w:ascii="Cambria" w:cs="Cambria" w:eastAsia="Cambria" w:hAnsi="Cambria"/>
          <w:b/>
          <w:bCs/>
          <w:color w:val="333333"/>
          <w:sz w:val="23"/>
          <w:szCs w:val="23"/>
        </w:rPr>
        <w:t xml:space="preserve">8.3 La hipótesis de la autoconservación institucional</w:t>
      </w:r>
    </w:p>
    <w:p>
      <w:pPr>
        <w:spacing w:after="140" w:line="288"/>
        <w:jc w:val="both"/>
      </w:pPr>
      <w:r>
        <w:rPr>
          <w:rFonts w:ascii="Cambria" w:cs="Cambria" w:eastAsia="Cambria" w:hAnsi="Cambria"/>
          <w:sz w:val="22"/>
          <w:szCs w:val="22"/>
        </w:rPr>
        <w:t xml:space="preserve">Tercera contrastación: la sociología de la consagración. Cabe leer 1969 no como acto hermenéutico sino como operación de supervivencia: la institución convierte en capital propio la vanguardia que la refutaba, y la cláusula testamentaria se salva vaciándose. La historia interna de la cláusula —una sucesión documentada de reinterpretaciones cada vez más laxas </w:t>
      </w:r>
      <w:r>
        <w:rPr>
          <w:rFonts w:ascii="Cambria" w:cs="Cambria" w:eastAsia="Cambria" w:hAnsi="Cambria"/>
          <w:sz w:val="22"/>
          <w:szCs w:val="22"/>
        </w:rPr>
        <w:t xml:space="preserve">[12]</w:t>
      </w:r>
      <w:r>
        <w:rPr>
          <w:rFonts w:ascii="Cambria" w:cs="Cambria" w:eastAsia="Cambria" w:hAnsi="Cambria"/>
          <w:sz w:val="22"/>
          <w:szCs w:val="22"/>
        </w:rPr>
        <w:t xml:space="preserve">— apoya la sospecha, y tras 1969 el problema del «idealismo» sencillamente deja de comparecer en las motivaciones del premio. Veredicto: la contrastación confirma el componente institucional —la Academia se premió a sí misma la capacidad de seguir premiando—, pero no alcanza al fondo: que la operación fuera interesada no demuestra que fuera falsa.</w:t>
      </w:r>
    </w:p>
    <w:p>
      <w:pPr>
        <w:spacing w:after="140" w:line="288"/>
        <w:jc w:val="both"/>
      </w:pPr>
      <w:r>
        <w:rPr>
          <w:rFonts w:ascii="Cambria" w:cs="Cambria" w:eastAsia="Cambria" w:hAnsi="Cambria"/>
          <w:b/>
          <w:bCs/>
          <w:sz w:val="22"/>
          <w:szCs w:val="22"/>
        </w:rPr>
        <w:t xml:space="preserve">Balance de la falsación. </w:t>
      </w:r>
      <w:r>
        <w:rPr>
          <w:rFonts w:ascii="Cambria" w:cs="Cambria" w:eastAsia="Cambria" w:hAnsi="Cambria"/>
          <w:sz w:val="22"/>
          <w:szCs w:val="22"/>
        </w:rPr>
        <w:t xml:space="preserve">De la doctrina completa de Gierow sobrevive un núcleo mínimo —la persistencia del decir como invariante bajo degradación—, que es exactamente lo único que el acta oficial se comprometió a afirmar (elevación artística, no moral). La prosa de comité, calculada para no dar la razón entera a nadie, resulta ser la formulación más resistente a la refutación de todo el expediente: un caso raro en que la prudencia burocrática coincide con el rigor epistemológico.</w:t>
      </w:r>
    </w:p>
    <w:p>
      <w:pPr>
        <w:pStyle w:val="Heading1"/>
        <w:spacing w:after="170" w:before="340"/>
      </w:pPr>
      <w:r>
        <w:rPr>
          <w:rFonts w:ascii="Cambria" w:cs="Cambria" w:eastAsia="Cambria" w:hAnsi="Cambria"/>
          <w:b/>
          <w:bCs/>
          <w:color w:val="1F1F1F"/>
          <w:sz w:val="26"/>
          <w:szCs w:val="26"/>
        </w:rPr>
        <w:t xml:space="preserve">9. Conclusión: la paradoja de la validación institucional</w:t>
      </w:r>
    </w:p>
    <w:p>
      <w:pPr>
        <w:spacing w:after="140" w:line="288"/>
        <w:jc w:val="both"/>
      </w:pPr>
      <w:r>
        <w:rPr>
          <w:rFonts w:ascii="Cambria" w:cs="Cambria" w:eastAsia="Cambria" w:hAnsi="Cambria"/>
          <w:sz w:val="22"/>
          <w:szCs w:val="22"/>
        </w:rPr>
        <w:t xml:space="preserve">Lo que las actas desclasificadas permiten afirmar con precisión es que la Academia no capituló ante el nihilismo ni domesticó a Beckett: se reformó a sí misma para no quedar refutada por él. La secuencia 1964–1969 muestra a una institución cuya cláusula fundacional ya no podía aplicarse sin reinterpretarse, y cuyos dos intérpretes extremos compartían el diagnóstico y disentían solo en la función. Österling leyó la obra como estado final —degradación consumada, sin resto—; Gierow la leyó como operación —degradación practicada para averiguar qué es lo que no se deja degradar—. El acta de 1969 institucionalizó la segunda lectura sin desmentir la primera.</w:t>
      </w:r>
    </w:p>
    <w:p>
      <w:pPr>
        <w:spacing w:after="140" w:line="288"/>
        <w:jc w:val="both"/>
      </w:pPr>
      <w:r>
        <w:rPr>
          <w:rFonts w:ascii="Cambria" w:cs="Cambria" w:eastAsia="Cambria" w:hAnsi="Cambria"/>
          <w:sz w:val="22"/>
          <w:szCs w:val="22"/>
        </w:rPr>
        <w:t xml:space="preserve">De ahí que el caso exceda la anécdota de un galardón disputado. En 1969 la institución literaria central de Occidente aceptó que la defensa de la condición humana ya no se efectuaba mediante himnos a la esperanza, sino mediante la exploración exhaustiva de la brecha y del silencio; que el acto heroico moderno no consiste en vencer a la oscuridad, sino en seguir hablando cuando no quedan razones para hacerlo. La «poesía fantasmagórica» no fue absuelta de su negrura: fue promovida precisamente por ella, una vez demostrado —o decidido— que esa negrura era la forma contemporánea de la piedad.</w:t>
      </w:r>
    </w:p>
    <w:p>
      <w:pPr>
        <w:pStyle w:val="Heading1"/>
        <w:spacing w:after="170" w:before="340"/>
      </w:pPr>
      <w:r>
        <w:rPr>
          <w:rFonts w:ascii="Cambria" w:cs="Cambria" w:eastAsia="Cambria" w:hAnsi="Cambria"/>
          <w:b/>
          <w:bCs/>
          <w:color w:val="1F1F1F"/>
          <w:sz w:val="26"/>
          <w:szCs w:val="26"/>
        </w:rPr>
        <w:t xml:space="preserve">10. Epílogo: después de 1969</w:t>
      </w:r>
    </w:p>
    <w:p>
      <w:pPr>
        <w:spacing w:after="140" w:line="288"/>
        <w:jc w:val="both"/>
      </w:pPr>
      <w:r>
        <w:rPr>
          <w:rFonts w:ascii="Cambria" w:cs="Cambria" w:eastAsia="Cambria" w:hAnsi="Cambria"/>
          <w:sz w:val="22"/>
          <w:szCs w:val="22"/>
        </w:rPr>
        <w:t xml:space="preserve">La mejor prueba empírica sobre las dos lecturas enfrentadas llegó después del veredicto. Si Österling hubiera tenido razón —si la obra fuera un callejón nihilista sin resto—, la consagración debía clausurarla: nada queda por decir tras el desprecio consumado. Y si la Academia hubiera domesticado a Beckett, cabía esperar lo contrario: una obra tardía amansada, reconciliada con su público institucional. No ocurrió ninguna de las dos cosas. El teatro y la prosa posteriores al premio radicalizan el despojamiento: la boca sola de </w:t>
      </w:r>
      <w:r>
        <w:rPr>
          <w:rFonts w:ascii="Cambria" w:cs="Cambria" w:eastAsia="Cambria" w:hAnsi="Cambria"/>
          <w:i/>
          <w:iCs/>
          <w:sz w:val="22"/>
          <w:szCs w:val="22"/>
        </w:rPr>
        <w:t xml:space="preserve">Not I</w:t>
      </w:r>
      <w:r>
        <w:rPr>
          <w:rFonts w:ascii="Cambria" w:cs="Cambria" w:eastAsia="Cambria" w:hAnsi="Cambria"/>
          <w:sz w:val="22"/>
          <w:szCs w:val="22"/>
        </w:rPr>
        <w:t xml:space="preserve"> (1972), los pasos contados de </w:t>
      </w:r>
      <w:r>
        <w:rPr>
          <w:rFonts w:ascii="Cambria" w:cs="Cambria" w:eastAsia="Cambria" w:hAnsi="Cambria"/>
          <w:i/>
          <w:iCs/>
          <w:sz w:val="22"/>
          <w:szCs w:val="22"/>
        </w:rPr>
        <w:t xml:space="preserve">Footfalls</w:t>
      </w:r>
      <w:r>
        <w:rPr>
          <w:rFonts w:ascii="Cambria" w:cs="Cambria" w:eastAsia="Cambria" w:hAnsi="Cambria"/>
          <w:sz w:val="22"/>
          <w:szCs w:val="22"/>
        </w:rPr>
        <w:t xml:space="preserve"> (1976), la mecedora de </w:t>
      </w:r>
      <w:r>
        <w:rPr>
          <w:rFonts w:ascii="Cambria" w:cs="Cambria" w:eastAsia="Cambria" w:hAnsi="Cambria"/>
          <w:i/>
          <w:iCs/>
          <w:sz w:val="22"/>
          <w:szCs w:val="22"/>
        </w:rPr>
        <w:t xml:space="preserve">Rockaby</w:t>
      </w:r>
      <w:r>
        <w:rPr>
          <w:rFonts w:ascii="Cambria" w:cs="Cambria" w:eastAsia="Cambria" w:hAnsi="Cambria"/>
          <w:sz w:val="22"/>
          <w:szCs w:val="22"/>
        </w:rPr>
        <w:t xml:space="preserve"> (1981), la prosa terminal de </w:t>
      </w:r>
      <w:r>
        <w:rPr>
          <w:rFonts w:ascii="Cambria" w:cs="Cambria" w:eastAsia="Cambria" w:hAnsi="Cambria"/>
          <w:i/>
          <w:iCs/>
          <w:sz w:val="22"/>
          <w:szCs w:val="22"/>
        </w:rPr>
        <w:t xml:space="preserve">Worstward Ho</w:t>
      </w:r>
      <w:r>
        <w:rPr>
          <w:rFonts w:ascii="Cambria" w:cs="Cambria" w:eastAsia="Cambria" w:hAnsi="Cambria"/>
          <w:sz w:val="22"/>
          <w:szCs w:val="22"/>
        </w:rPr>
        <w:t xml:space="preserve"> (1983). El laureado usó la consagración exactamente como Gierow había predicho que usaría la desnudez: como yacimiento.</w:t>
      </w:r>
    </w:p>
    <w:p>
      <w:pPr>
        <w:spacing w:after="140" w:line="288"/>
        <w:jc w:val="both"/>
      </w:pPr>
      <w:r>
        <w:rPr>
          <w:rFonts w:ascii="Cambria" w:cs="Cambria" w:eastAsia="Cambria" w:hAnsi="Cambria"/>
          <w:sz w:val="22"/>
          <w:szCs w:val="22"/>
        </w:rPr>
        <w:t xml:space="preserve">De esa última prosa procede la fórmula que condensa, mejor que ningún dictamen, el invariante que el comité había intentado nombrar: «</w:t>
      </w:r>
      <w:r>
        <w:rPr>
          <w:rFonts w:ascii="Cambria" w:cs="Cambria" w:eastAsia="Cambria" w:hAnsi="Cambria"/>
          <w:i/>
          <w:iCs/>
          <w:sz w:val="22"/>
          <w:szCs w:val="22"/>
        </w:rPr>
        <w:t xml:space="preserve">Ever tried. Ever failed. No matter. Try again. Fail again. Fail better.</w:t>
      </w:r>
      <w:r>
        <w:rPr>
          <w:rFonts w:ascii="Cambria" w:cs="Cambria" w:eastAsia="Cambria" w:hAnsi="Cambria"/>
          <w:sz w:val="22"/>
          <w:szCs w:val="22"/>
        </w:rPr>
        <w:t xml:space="preserve">» — Haberlo intentado. Haber fracasado. No importa. Probar otra vez. Fracasar otra vez. Fracasar mejor. No es un programa de esperanza; es la ley de conservación del decir bajo degradación, enunciada esta vez por el propio sistema en estudio. La «dirección» que el testamento exigía y que el acta de 1969 certificó apunta, desde entonces, hacia ahí: no hacia arriba, sino hacia delante en la caída.</w:t>
      </w:r>
    </w:p>
    <w:p>
      <w:pPr>
        <w:pStyle w:val="Heading1"/>
        <w:spacing w:after="170" w:before="340"/>
      </w:pPr>
      <w:r>
        <w:rPr>
          <w:rFonts w:ascii="Cambria" w:cs="Cambria" w:eastAsia="Cambria" w:hAnsi="Cambria"/>
          <w:b/>
          <w:bCs/>
          <w:color w:val="1F1F1F"/>
          <w:sz w:val="26"/>
          <w:szCs w:val="26"/>
        </w:rPr>
        <w:t xml:space="preserve">11. Coda: isomorfismo contra entropía (lectura formal)</w:t>
      </w:r>
    </w:p>
    <w:p>
      <w:pPr>
        <w:spacing w:after="140" w:line="288"/>
        <w:jc w:val="both"/>
      </w:pPr>
      <w:r>
        <w:rPr>
          <w:rFonts w:ascii="Cambria" w:cs="Cambria" w:eastAsia="Cambria" w:hAnsi="Cambria"/>
          <w:i/>
          <w:iCs/>
          <w:color w:val="555555"/>
          <w:sz w:val="20"/>
          <w:szCs w:val="20"/>
        </w:rPr>
        <w:t xml:space="preserve">Lo que sigue es interpretación del autor de este dossier, no contenido de las actas. </w:t>
      </w:r>
      <w:r>
        <w:rPr>
          <w:rFonts w:ascii="Cambria" w:cs="Cambria" w:eastAsia="Cambria" w:hAnsi="Cambria"/>
          <w:sz w:val="22"/>
          <w:szCs w:val="22"/>
        </w:rPr>
        <w:t xml:space="preserve">Sea </w:t>
      </w:r>
      <w:r>
        <w:rPr>
          <w:rFonts w:ascii="Cambria" w:cs="Cambria" w:eastAsia="Cambria" w:hAnsi="Cambria"/>
          <w:b/>
          <w:bCs/>
          <w:sz w:val="22"/>
          <w:szCs w:val="22"/>
        </w:rPr>
        <w:t xml:space="preserve">B</w:t>
      </w:r>
      <w:r>
        <w:rPr>
          <w:rFonts w:ascii="Cambria" w:cs="Cambria" w:eastAsia="Cambria" w:hAnsi="Cambria"/>
          <w:sz w:val="22"/>
          <w:szCs w:val="22"/>
        </w:rPr>
        <w:t xml:space="preserve"> el universo beckettiano dotado de su dinámica propia: un flujo entrópico estricto, degradación monótona e irreversible (en el segundo acto de </w:t>
      </w:r>
      <w:r>
        <w:rPr>
          <w:rFonts w:ascii="Cambria" w:cs="Cambria" w:eastAsia="Cambria" w:hAnsi="Cambria"/>
          <w:i/>
          <w:iCs/>
          <w:sz w:val="22"/>
          <w:szCs w:val="22"/>
        </w:rPr>
        <w:t xml:space="preserve">Godot</w:t>
      </w:r>
      <w:r>
        <w:rPr>
          <w:rFonts w:ascii="Cambria" w:cs="Cambria" w:eastAsia="Cambria" w:hAnsi="Cambria"/>
          <w:sz w:val="22"/>
          <w:szCs w:val="22"/>
        </w:rPr>
        <w:t xml:space="preserve"> Pozzo ha quedado ciego y Lucky mudo; en </w:t>
      </w:r>
      <w:r>
        <w:rPr>
          <w:rFonts w:ascii="Cambria" w:cs="Cambria" w:eastAsia="Cambria" w:hAnsi="Cambria"/>
          <w:i/>
          <w:iCs/>
          <w:sz w:val="22"/>
          <w:szCs w:val="22"/>
        </w:rPr>
        <w:t xml:space="preserve">Fin de partida</w:t>
      </w:r>
      <w:r>
        <w:rPr>
          <w:rFonts w:ascii="Cambria" w:cs="Cambria" w:eastAsia="Cambria" w:hAnsi="Cambria"/>
          <w:sz w:val="22"/>
          <w:szCs w:val="22"/>
        </w:rPr>
        <w:t xml:space="preserve"> los recursos se agotan sin reposición; dS/dt ≥ 0 y no hay máquina que lo revierta). Sea </w:t>
      </w:r>
      <w:r>
        <w:rPr>
          <w:rFonts w:ascii="Cambria" w:cs="Cambria" w:eastAsia="Cambria" w:hAnsi="Cambria"/>
          <w:b/>
          <w:bCs/>
          <w:sz w:val="22"/>
          <w:szCs w:val="22"/>
        </w:rPr>
        <w:t xml:space="preserve">N</w:t>
      </w:r>
      <w:r>
        <w:rPr>
          <w:rFonts w:ascii="Cambria" w:cs="Cambria" w:eastAsia="Cambria" w:hAnsi="Cambria"/>
          <w:sz w:val="22"/>
          <w:szCs w:val="22"/>
        </w:rPr>
        <w:t xml:space="preserve"> el retículo normativo del testamento: los estados de valor ordenados por la «dirección idealista».</w:t>
      </w:r>
    </w:p>
    <w:p>
      <w:pPr>
        <w:spacing w:after="140" w:line="288"/>
        <w:jc w:val="both"/>
      </w:pPr>
      <w:r>
        <w:rPr>
          <w:rFonts w:ascii="Cambria" w:cs="Cambria" w:eastAsia="Cambria" w:hAnsi="Cambria"/>
          <w:sz w:val="22"/>
          <w:szCs w:val="22"/>
        </w:rPr>
        <w:t xml:space="preserve">La posición de Österling equivale a un teorema de imposibilidad: no existe morfismo φ: B → N que preserve estructura, porque en B no hay estructura que preservar —solo ruido degradativo—; premiar a Beckett sería un error de tipo, la aplicación de un funtor de valor a un dominio que carece de invariantes. La operación de Gierow consiste en negar el lema, no el teorema: φ existe, pero no está definido sobre los estados (siempre peores) sino sobre los invariantes del flujo —lo que la degradación no consigue anular—: la espera compartida de Vladimir y Estragón, el cuidado de Clov por Hamm, la voz que persiste. El punto fijo es la aporía célebre: «no puedo seguir, seguiré», donde la negación aplicada al decir devuelve el decir.</w:t>
      </w:r>
    </w:p>
    <w:p>
      <w:pPr>
        <w:spacing w:after="140" w:line="288"/>
        <w:jc w:val="both"/>
      </w:pPr>
      <w:r>
        <w:rPr>
          <w:rFonts w:ascii="Cambria" w:cs="Cambria" w:eastAsia="Cambria" w:hAnsi="Cambria"/>
          <w:sz w:val="22"/>
          <w:szCs w:val="22"/>
        </w:rPr>
        <w:t xml:space="preserve">En esa lectura, φ(blottställdhet) = resning no es una correspondencia de contenidos (la esperanza no se recupera, el consuelo no se restituye) sino de estructura: la dignidad como cantidad conservada bajo el flujo entrópico, la compasión como el límite al que converge la desesperación. El acta de 1969 es el certificado de ese isomorfismo parcial. Contra la entropía estocástica del mundo beckettiano, el comité no opuso un contenido: opuso un morfismo. Y eso es, exactamente, lo que el testamento llamaba una «dirección».</w:t>
      </w:r>
    </w:p>
    <w:p>
      <w:pPr>
        <w:pStyle w:val="Heading1"/>
        <w:spacing w:after="170" w:before="340"/>
      </w:pPr>
      <w:r>
        <w:rPr>
          <w:rFonts w:ascii="Cambria" w:cs="Cambria" w:eastAsia="Cambria" w:hAnsi="Cambria"/>
          <w:b/>
          <w:bCs/>
          <w:color w:val="1F1F1F"/>
          <w:sz w:val="26"/>
          <w:szCs w:val="26"/>
        </w:rPr>
        <w:t xml:space="preserve">Referencias</w:t>
      </w:r>
    </w:p>
    <w:p>
      <w:pPr>
        <w:spacing w:after="90" w:line="264"/>
        <w:ind w:left="420" w:hanging="420"/>
        <w:jc w:val="left"/>
      </w:pPr>
      <w:r>
        <w:rPr>
          <w:rFonts w:ascii="Cambria" w:cs="Cambria" w:eastAsia="Cambria" w:hAnsi="Cambria"/>
          <w:sz w:val="20"/>
          <w:szCs w:val="20"/>
        </w:rPr>
        <w:t xml:space="preserve">[1]  Svenska Akademien, «Nobelkommitténs sammansättning och utlåtande 1969», exposición digital «Beckett, än en gång»; facsímil del utlåtande: svenskaakademien.se/sites/default/files/nobelkommittens_utlatande_1969.pdf.</w:t>
      </w:r>
    </w:p>
    <w:p>
      <w:pPr>
        <w:spacing w:after="90" w:line="264"/>
        <w:ind w:left="420" w:hanging="420"/>
        <w:jc w:val="left"/>
      </w:pPr>
      <w:r>
        <w:rPr>
          <w:rFonts w:ascii="Cambria" w:cs="Cambria" w:eastAsia="Cambria" w:hAnsi="Cambria"/>
          <w:sz w:val="20"/>
          <w:szCs w:val="20"/>
        </w:rPr>
        <w:t xml:space="preserve">[2]  Svenska Akademien, «Nobelarkivet 1969» — lista de candidaturas; facsímil: svenskaakademien.se/sites/default/files/forslag_1969.pdf.</w:t>
      </w:r>
    </w:p>
    <w:p>
      <w:pPr>
        <w:spacing w:after="90" w:line="264"/>
        <w:ind w:left="420" w:hanging="420"/>
        <w:jc w:val="left"/>
      </w:pPr>
      <w:r>
        <w:rPr>
          <w:rFonts w:ascii="Cambria" w:cs="Cambria" w:eastAsia="Cambria" w:hAnsi="Cambria"/>
          <w:sz w:val="20"/>
          <w:szCs w:val="20"/>
        </w:rPr>
        <w:t xml:space="preserve">[3]  Nobel Prize Outreach, «The Nobel Prize in Literature 1969 — Award ceremony speech», discurso de Karl Ragnar Gierow, 10 de diciembre de 1969 (nobelprize.org).</w:t>
      </w:r>
    </w:p>
    <w:p>
      <w:pPr>
        <w:spacing w:after="90" w:line="264"/>
        <w:ind w:left="420" w:hanging="420"/>
        <w:jc w:val="left"/>
      </w:pPr>
      <w:r>
        <w:rPr>
          <w:rFonts w:ascii="Cambria" w:cs="Cambria" w:eastAsia="Cambria" w:hAnsi="Cambria"/>
          <w:sz w:val="20"/>
          <w:szCs w:val="20"/>
        </w:rPr>
        <w:t xml:space="preserve">[4]  The Irish Times, «Revealed: The fight to stop Samuel Beckett winning the Nobel prize», enero de 2020 (apertura de los protocolos de 1969).</w:t>
      </w:r>
    </w:p>
    <w:p>
      <w:pPr>
        <w:spacing w:after="90" w:line="264"/>
        <w:ind w:left="420" w:hanging="420"/>
        <w:jc w:val="left"/>
      </w:pPr>
      <w:r>
        <w:rPr>
          <w:rFonts w:ascii="Cambria" w:cs="Cambria" w:eastAsia="Cambria" w:hAnsi="Cambria"/>
          <w:sz w:val="20"/>
          <w:szCs w:val="20"/>
        </w:rPr>
        <w:t xml:space="preserve">[5]  The Irish Times, «Samuel Beckett rejected as unsuitable for the Nobel prize in 1968», enero de 2019 (apertura de los protocolos de 1968).</w:t>
      </w:r>
    </w:p>
    <w:p>
      <w:pPr>
        <w:spacing w:after="90" w:line="264"/>
        <w:ind w:left="420" w:hanging="420"/>
        <w:jc w:val="left"/>
      </w:pPr>
      <w:r>
        <w:rPr>
          <w:rFonts w:ascii="Cambria" w:cs="Cambria" w:eastAsia="Cambria" w:hAnsi="Cambria"/>
          <w:sz w:val="20"/>
          <w:szCs w:val="20"/>
        </w:rPr>
        <w:t xml:space="preserve">[6]  «1969 Nobel Prize in Literature», Wikipedia (síntesis documentada de las deliberaciones, con remisión a las fuentes anteriores).</w:t>
      </w:r>
    </w:p>
    <w:p>
      <w:pPr>
        <w:spacing w:after="90" w:line="264"/>
        <w:ind w:left="420" w:hanging="420"/>
        <w:jc w:val="left"/>
      </w:pPr>
      <w:r>
        <w:rPr>
          <w:rFonts w:ascii="Cambria" w:cs="Cambria" w:eastAsia="Cambria" w:hAnsi="Cambria"/>
          <w:sz w:val="20"/>
          <w:szCs w:val="20"/>
        </w:rPr>
        <w:t xml:space="preserve">[7]  Poetry Foundation, «Nobel Papers Reveal Beckett’s Narrow Win», enero de 2020.</w:t>
      </w:r>
    </w:p>
    <w:p>
      <w:pPr>
        <w:spacing w:after="90" w:line="264"/>
        <w:ind w:left="420" w:hanging="420"/>
        <w:jc w:val="left"/>
      </w:pPr>
      <w:r>
        <w:rPr>
          <w:rFonts w:ascii="Cambria" w:cs="Cambria" w:eastAsia="Cambria" w:hAnsi="Cambria"/>
          <w:sz w:val="20"/>
          <w:szCs w:val="20"/>
        </w:rPr>
        <w:t xml:space="preserve">[8]  «The Nobel Prize in Literature: 1969 Nominations», The Birdcage, enero de 2020 — reconstrucción secundaria del utlåtande; de aquí proceden «deeply wounded idealism» y la atribución del relevo en el discurso de ceremonia.</w:t>
      </w:r>
    </w:p>
    <w:p>
      <w:pPr>
        <w:spacing w:after="90" w:line="264"/>
        <w:ind w:left="420" w:hanging="420"/>
        <w:jc w:val="left"/>
      </w:pPr>
      <w:r>
        <w:rPr>
          <w:rFonts w:ascii="Cambria" w:cs="Cambria" w:eastAsia="Cambria" w:hAnsi="Cambria"/>
          <w:sz w:val="20"/>
          <w:szCs w:val="20"/>
        </w:rPr>
        <w:t xml:space="preserve">[9]  H. Simpson, «Samuel Beckett and the Nobel Catastrophe», Oxford Research Archive — recepción del premio por Beckett (Túnez, «quelle catastrophe», telegrama de Lindon).</w:t>
      </w:r>
    </w:p>
    <w:p>
      <w:pPr>
        <w:spacing w:after="90" w:line="264"/>
        <w:ind w:left="420" w:hanging="420"/>
        <w:jc w:val="left"/>
      </w:pPr>
      <w:r>
        <w:rPr>
          <w:rFonts w:ascii="Cambria" w:cs="Cambria" w:eastAsia="Cambria" w:hAnsi="Cambria"/>
          <w:sz w:val="20"/>
          <w:szCs w:val="20"/>
        </w:rPr>
        <w:t xml:space="preserve">[10]  J. Knowlson, Damned to Fame: The Life of Samuel Beckett (Bloomsbury, 1996) — contexto biográfico y destino del importe del premio.</w:t>
      </w:r>
    </w:p>
    <w:p>
      <w:pPr>
        <w:spacing w:after="90" w:line="264"/>
        <w:ind w:left="420" w:hanging="420"/>
        <w:jc w:val="left"/>
      </w:pPr>
      <w:r>
        <w:rPr>
          <w:rFonts w:ascii="Cambria" w:cs="Cambria" w:eastAsia="Cambria" w:hAnsi="Cambria"/>
          <w:sz w:val="20"/>
          <w:szCs w:val="20"/>
        </w:rPr>
        <w:t xml:space="preserve">[11]  Th. W. Adorno, «Versuch, das Endspiel zu verstehen» (1961), en Noten zur Literatur II; trad. esp.: «Intento de entender Fin de partida», Notas sobre literatura (Akal, 2003).</w:t>
      </w:r>
    </w:p>
    <w:p>
      <w:pPr>
        <w:spacing w:after="90" w:line="264"/>
        <w:ind w:left="420" w:hanging="420"/>
        <w:jc w:val="left"/>
      </w:pPr>
      <w:r>
        <w:rPr>
          <w:rFonts w:ascii="Cambria" w:cs="Cambria" w:eastAsia="Cambria" w:hAnsi="Cambria"/>
          <w:sz w:val="20"/>
          <w:szCs w:val="20"/>
        </w:rPr>
        <w:t xml:space="preserve">[12]  K. Espmark, The Nobel Prize in Literature: A Study of the Criteria behind the Choices (G. K. Hall, 1991) — historia interna de las reinterpretaciones de «i idealisk riktning».</w:t>
      </w:r>
    </w:p>
    <w:p>
      <w:pPr>
        <w:pBdr>
          <w:top w:val="single" w:color="AAAAAA" w:sz="4" w:space="6"/>
        </w:pBdr>
        <w:spacing w:after="60" w:before="200"/>
      </w:pPr>
    </w:p>
    <w:p>
      <w:pPr>
        <w:spacing w:after="140" w:line="288"/>
        <w:jc w:val="both"/>
      </w:pPr>
      <w:r>
        <w:rPr>
          <w:rFonts w:ascii="Cambria" w:cs="Cambria" w:eastAsia="Cambria" w:hAnsi="Cambria"/>
          <w:color w:val="555555"/>
          <w:sz w:val="19"/>
          <w:szCs w:val="19"/>
        </w:rPr>
        <w:t xml:space="preserve">Nota de verificación: todas las citas textuales de este dossier proceden de las fuentes [1]–[10]; las de los protocolos se dan en la versión inglesa publicada por la prensa que los consultó, con traducción propia. Las formulaciones marcadas como «reconstrucción secundaria» ([8]) no han podido cotejarse con el documento de archivo. Frente a versiones divulgativas anteriores, se corrigen aquí: el texto sueco del dictamen, la atribución exacta de «poesía fantasmagórica» (artistically staged ghost poetry, 1969) y la supresión de citas no documentadas.</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mbria" w:cs="Cambria" w:eastAsia="Cambria" w:hAnsi="Cambria"/>
        <w:color w:val="888888"/>
        <w:sz w:val="16"/>
        <w:szCs w:val="16"/>
      </w:rPr>
      <w:t xml:space="preserve">Beckett y la Academia Sueca · dossier crítico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redención hermenéutica del nihilismo — Beckett y la Academia Sueca (1964–1969)</dc:title>
  <dc:creator>Dossier diana-beckett</dc:creator>
  <cp:lastModifiedBy>Un-named</cp:lastModifiedBy>
  <cp:revision>1</cp:revision>
  <dcterms:created xsi:type="dcterms:W3CDTF">2026-08-10T17:19:32.557Z</dcterms:created>
  <dcterms:modified xsi:type="dcterms:W3CDTF">2026-08-10T17:19:32.560Z</dcterms:modified>
</cp:coreProperties>
</file>

<file path=docProps/custom.xml><?xml version="1.0" encoding="utf-8"?>
<Properties xmlns="http://schemas.openxmlformats.org/officeDocument/2006/custom-properties" xmlns:vt="http://schemas.openxmlformats.org/officeDocument/2006/docPropsVTypes"/>
</file>