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ágina-cero-el-contrato-epistémico"/>
    <w:p>
      <w:pPr>
        <w:pStyle w:val="Heading1"/>
      </w:pPr>
      <w:r>
        <w:t xml:space="preserve">PÁGINA CERO: EL CONTRATO EPISTÉMICO</w:t>
      </w:r>
    </w:p>
    <w:bookmarkStart w:id="10" w:name="X07f15819c5f28afc15e8c2e5623a4584c7bffb0"/>
    <w:p>
      <w:pPr>
        <w:pStyle w:val="Heading2"/>
      </w:pPr>
      <w:r>
        <w:t xml:space="preserve">Declaración del Juego y Restricción Formal C5</w:t>
      </w:r>
    </w:p>
    <w:p>
      <w:pPr>
        <w:pStyle w:val="BlockText"/>
      </w:pPr>
      <w:r>
        <w:rPr>
          <w:i/>
          <w:iCs/>
        </w:rPr>
        <w:t xml:space="preserve">La física de este libro opera como sistema metafórico de compresión. La norma C5 constituye una restricción literaria de tipo oulipiano: escribir sin adjetivos calificativos ni adornos de modo. Los expedientes judiciales, los datos numéricos y las sentencias son hechos probados del territorio. Juzga cada capa con su propia medida.</w:t>
      </w:r>
    </w:p>
    <w:p>
      <w:r>
        <w:pict>
          <v:rect style="width:0;height:1.5pt" o:hralign="center" o:hrstd="t" o:hr="t"/>
        </w:pict>
      </w:r>
    </w:p>
    <w:bookmarkStart w:id="9" w:name="el-pacto-con-el-lector"/>
    <w:p>
      <w:pPr>
        <w:pStyle w:val="Heading3"/>
      </w:pPr>
      <w:r>
        <w:t xml:space="preserve">El Pacto con el Lector</w:t>
      </w:r>
    </w:p>
    <w:p>
      <w:pPr>
        <w:pStyle w:val="Compact"/>
        <w:numPr>
          <w:ilvl w:val="0"/>
          <w:numId w:val="1001"/>
        </w:numPr>
      </w:pPr>
      <w:r>
        <w:rPr>
          <w:b/>
          <w:bCs/>
        </w:rPr>
        <w:t xml:space="preserve">La Restricción C5 y la Invariante de Robe Iniesta:</w:t>
      </w:r>
      <w:r>
        <w:t xml:space="preserve"> </w:t>
      </w:r>
      <w:r>
        <w:t xml:space="preserve">Este libro se somete a una restricción estructural oulipiana estricta: eliminación de adjetivos calificativos y adverbios de modo en el cuerpo del texto. Rige una única excepción en todo el universo de la obra:</w:t>
      </w:r>
      <w:r>
        <w:t xml:space="preserve"> </w:t>
      </w:r>
      <w:r>
        <w:rPr>
          <w:b/>
          <w:bCs/>
        </w:rPr>
        <w:t xml:space="preserve">«dulce»</w:t>
      </w:r>
      <w:r>
        <w:t xml:space="preserve">, consagrado como el único adjetivo y adverbio de modo permitido, en fidelidad estricta al verso fundacional de Robe Iniesta (</w:t>
      </w:r>
      <w:r>
        <w:rPr>
          <w:i/>
          <w:iCs/>
        </w:rPr>
        <w:t xml:space="preserve">«Dulce introducción al caos»</w:t>
      </w:r>
      <w:r>
        <w:t xml:space="preserve">, 2008). Toda otra palabra es sustantivo (entidad) o verbo (operador). Al igual que Georges Perec escribió</w:t>
      </w:r>
      <w:r>
        <w:t xml:space="preserve"> </w:t>
      </w:r>
      <w:r>
        <w:rPr>
          <w:i/>
          <w:iCs/>
        </w:rPr>
        <w:t xml:space="preserve">La Disparition</w:t>
      </w:r>
      <w:r>
        <w:t xml:space="preserve"> </w:t>
      </w:r>
      <w:r>
        <w:t xml:space="preserve">sin la letra E, esta obra transmuta la restricción formal en transductor de señal.</w:t>
      </w:r>
    </w:p>
    <w:p>
      <w:pPr>
        <w:pStyle w:val="Compact"/>
        <w:numPr>
          <w:ilvl w:val="0"/>
          <w:numId w:val="1001"/>
        </w:numPr>
      </w:pPr>
      <w:r>
        <w:rPr>
          <w:b/>
          <w:bCs/>
        </w:rPr>
        <w:t xml:space="preserve">Los Hechos del Territorio:</w:t>
      </w:r>
      <w:r>
        <w:t xml:space="preserve"> </w:t>
      </w:r>
      <w:r>
        <w:t xml:space="preserve">Las sentencias del Departamento de Justicia de EEUU, los expedientes de la FDA, los informes de la Comisión Rogers y las actas de archivo oficiales (Study 329, Moncrieff 2022, la desclasificación de MKUltra 1977) no son ficción. Constituyen datos de fuente primaria.</w:t>
      </w:r>
    </w:p>
    <w:p>
      <w:pPr>
        <w:pStyle w:val="Compact"/>
        <w:numPr>
          <w:ilvl w:val="0"/>
          <w:numId w:val="1001"/>
        </w:numPr>
      </w:pPr>
      <w:r>
        <w:rPr>
          <w:b/>
          <w:bCs/>
        </w:rPr>
        <w:t xml:space="preserve">El Juego Causal:</w:t>
      </w:r>
      <w:r>
        <w:t xml:space="preserve"> </w:t>
      </w:r>
      <w:r>
        <w:t xml:space="preserve">La física estadística, la métrica de Fisher y la tasa de escape de Kramers son modelos de compresión informacional. La métrica no pretende suplantar al laboratorio, sino exponer las homologías estructurales y las restricciones comunes entre la termodinámica y las instituciones humanas.</w:t>
      </w:r>
    </w:p>
    <w:p>
      <w:pPr>
        <w:pStyle w:val="Compact"/>
        <w:numPr>
          <w:ilvl w:val="0"/>
          <w:numId w:val="1001"/>
        </w:numPr>
      </w:pPr>
      <w:r>
        <w:rPr>
          <w:b/>
          <w:bCs/>
        </w:rPr>
        <w:t xml:space="preserve">El Axioma de Máxima Compresión:</w:t>
      </w:r>
      <w:r>
        <w:t xml:space="preserve"> </w:t>
      </w:r>
      <w:r>
        <w:t xml:space="preserve">Jorge Luis Borges propuso el método de la</w:t>
      </w:r>
      <w:r>
        <w:t xml:space="preserve"> </w:t>
      </w:r>
      <w:r>
        <w:rPr>
          <w:i/>
          <w:iCs/>
        </w:rPr>
        <w:t xml:space="preserve">Vía Negativa</w:t>
      </w:r>
      <w:r>
        <w:t xml:space="preserve"> </w:t>
      </w:r>
      <w:r>
        <w:t xml:space="preserve">(Axioma 95) en la redacción de ficción (1941):</w:t>
      </w:r>
    </w:p>
    <w:p>
      <w:pPr>
        <w:pStyle w:val="BlockText"/>
      </w:pPr>
      <w:r>
        <w:rPr>
          <w:i/>
          <w:iCs/>
        </w:rPr>
        <w:t xml:space="preserve">Desvarío laborioso y empobrecedor el de componer vastos libros; el de explayar en quinientas páginas una idea cuya perfecta exposición oral cabe en pocos minutos. Mejor procedimiento es simular que esos libros ya existen y ofrecer un resumen…</w:t>
      </w:r>
    </w:p>
    <w:p>
      <w:pPr>
        <w:pStyle w:val="FirstParagraph"/>
      </w:pPr>
      <w:r>
        <w:t xml:space="preserve">El documento de lectura obedece a la regla de física de la información. El libro ejerce la función de resumen de compresión límite de la red de territorio que subyace al texto.</w:t>
      </w:r>
      <w:r>
        <w:t xml:space="preserve"> </w:t>
      </w:r>
      <w:r>
        <w:t xml:space="preserve">5.</w:t>
      </w:r>
      <w:r>
        <w:t xml:space="preserve"> </w:t>
      </w:r>
      <w:r>
        <w:rPr>
          <w:b/>
          <w:bCs/>
        </w:rPr>
        <w:t xml:space="preserve">La Cláusula de Falsación:</w:t>
      </w:r>
      <w:r>
        <w:t xml:space="preserve"> </w:t>
      </w:r>
      <w:r>
        <w:t xml:space="preserve">Cada expediente, cifra y sentencia de este libro admite comprobación. Si el lector encuentra un dato que el territorio refuta, la siguiente edición purga el error y asienta el nombre del lector en el changelog. La errata no se oculta: se exhibe. El historial de versiones del manuscrito queda a la vista; cada purga permanece como commit. El lector no consume el libro: lo audita.</w:t>
      </w:r>
    </w:p>
    <w:p>
      <w:r>
        <w:pict>
          <v:rect style="width:0;height:1.5pt" o:hralign="center" o:hrstd="t" o:hr="t"/>
        </w:pict>
      </w:r>
    </w:p>
    <w:bookmarkEnd w:id="9"/>
    <w:bookmarkEnd w:id="10"/>
    <w:bookmarkStart w:id="13" w:name="prólogo-dulce-introducción-al-caos"/>
    <w:p>
      <w:pPr>
        <w:pStyle w:val="Heading2"/>
      </w:pPr>
      <w:r>
        <w:t xml:space="preserve">PRÓLOGO: DULCE INTRODUCCIÓN AL CAOS</w:t>
      </w:r>
    </w:p>
    <w:bookmarkStart w:id="11" w:name="X7fa0a8b54777b8df0d9cd836ad94bfdf2bcd0cb"/>
    <w:p>
      <w:pPr>
        <w:pStyle w:val="Heading3"/>
      </w:pPr>
      <w:r>
        <w:t xml:space="preserve">Espacio Reservado para Diana (Prólogo Abierto)</w:t>
      </w:r>
    </w:p>
    <w:bookmarkEnd w:id="11"/>
    <w:bookmarkStart w:id="12" w:name="X2b7f87e8cac27c0101dfe2642da47b8e45ef411"/>
    <w:p>
      <w:pPr>
        <w:pStyle w:val="Heading3"/>
      </w:pPr>
      <w:r>
        <w:t xml:space="preserve">Homenaje a Robe Iniesta (La Ley Innata, 2008)</w:t>
      </w:r>
    </w:p>
    <w:p>
      <w:pPr>
        <w:pStyle w:val="BlockText"/>
      </w:pPr>
      <w:r>
        <w:rPr>
          <w:i/>
          <w:iCs/>
        </w:rPr>
        <w:t xml:space="preserve">«Dejo las ventanas sin cerrar y la puerta abierta…»</w:t>
      </w:r>
      <w:r>
        <w:br/>
      </w:r>
      <w:r>
        <w:t xml:space="preserve">—</w:t>
      </w:r>
      <w:r>
        <w:t xml:space="preserve"> </w:t>
      </w:r>
      <w:r>
        <w:rPr>
          <w:b/>
          <w:bCs/>
        </w:rPr>
        <w:t xml:space="preserve">Robe Iniesta</w:t>
      </w:r>
      <w:r>
        <w:t xml:space="preserve">,</w:t>
      </w:r>
      <w:r>
        <w:t xml:space="preserve"> </w:t>
      </w:r>
      <w:r>
        <w:rPr>
          <w:i/>
          <w:iCs/>
        </w:rPr>
        <w:t xml:space="preserve">Dulce Introducción al Caos</w:t>
      </w:r>
      <w:r>
        <w:t xml:space="preserve"> </w:t>
      </w:r>
      <w:r>
        <w:t xml:space="preserve">(Extremoduro, 2008)</w:t>
      </w:r>
    </w:p>
    <w:p>
      <w:pPr>
        <w:pStyle w:val="SourceCode"/>
      </w:pPr>
      <w:r>
        <w:rPr>
          <w:rStyle w:val="VerbatimChar"/>
        </w:rPr>
        <w:t xml:space="preserve">Audio-Anclaje: Robe Iniesta / Extremoduro — "Dulce Introducción al Caos" (2008)</w:t>
      </w:r>
      <w:r>
        <w:br/>
      </w:r>
      <w:r>
        <w:rPr>
          <w:rStyle w:val="VerbatimChar"/>
        </w:rPr>
        <w:t xml:space="preserve">Cota Fisiológica: S -&gt; max (Entrada a la Estructura Desnuda de la Realidad)</w:t>
      </w:r>
      <w:r>
        <w:br/>
      </w:r>
      <w:r>
        <w:rPr>
          <w:rStyle w:val="VerbatimChar"/>
        </w:rPr>
        <w:t xml:space="preserve">Operadora del Prólogo: Diana (Tesis Sueca / Cero Nata)</w:t>
      </w:r>
      <w:r>
        <w:br/>
      </w:r>
      <w:r>
        <w:rPr>
          <w:rStyle w:val="VerbatimChar"/>
        </w:rPr>
        <w:t xml:space="preserve">Estado del Umbral: Ventanas sin Cerrar / Puerta Abierta</w:t>
      </w:r>
    </w:p>
    <w:p>
      <w:r>
        <w:pict>
          <v:rect style="width:0;height:1.5pt" o:hralign="center" o:hrstd="t" o:hr="t"/>
        </w:pict>
      </w:r>
    </w:p>
    <w:p>
      <w:pPr>
        <w:pStyle w:val="FirstParagraph"/>
      </w:pPr>
      <w:r>
        <w:rPr>
          <w:i/>
          <w:iCs/>
        </w:rPr>
        <w:t xml:space="preserve">Nota de Edición y Reserva de Umbral:</w:t>
      </w:r>
      <w:r>
        <w:br/>
      </w:r>
      <w:r>
        <w:t xml:space="preserve">Este espacio permanece sin discurso de autor. Siguiendo el principio de Robe Iniesta (</w:t>
      </w:r>
      <w:r>
        <w:rPr>
          <w:i/>
          <w:iCs/>
        </w:rPr>
        <w:t xml:space="preserve">«dejo las ventanas sin cerrar y la puerta abierta»</w:t>
      </w:r>
      <w:r>
        <w:t xml:space="preserve">), la arquitectura de la obra renuncia a imponer un prólogo cerrado: el umbral se reserva para que</w:t>
      </w:r>
      <w:r>
        <w:t xml:space="preserve"> </w:t>
      </w:r>
      <w:r>
        <w:rPr>
          <w:b/>
          <w:bCs/>
        </w:rPr>
        <w:t xml:space="preserve">Diana</w:t>
      </w:r>
      <w:r>
        <w:t xml:space="preserve"> </w:t>
      </w:r>
      <w:r>
        <w:t xml:space="preserve">escriba la apertura y le dé narrativa a este libro.</w:t>
      </w:r>
    </w:p>
    <w:p>
      <w:pPr>
        <w:pStyle w:val="BodyText"/>
      </w:pPr>
      <w:r>
        <w:t xml:space="preserve">El canon de entrada exige fidelidad a tres mandatos de física y a una regla de lenguaje:</w:t>
      </w:r>
      <w:r>
        <w:t xml:space="preserve"> </w:t>
      </w:r>
      <w:r>
        <w:t xml:space="preserve">1.</w:t>
      </w:r>
      <w:r>
        <w:t xml:space="preserve"> </w:t>
      </w:r>
      <w:r>
        <w:rPr>
          <w:b/>
          <w:bCs/>
        </w:rPr>
        <w:t xml:space="preserve">La Invariante de Lenguaje:</w:t>
      </w:r>
      <w:r>
        <w:t xml:space="preserve"> </w:t>
      </w:r>
      <w:r>
        <w:rPr>
          <w:b/>
          <w:bCs/>
        </w:rPr>
        <w:t xml:space="preserve">«Dulce»</w:t>
      </w:r>
      <w:r>
        <w:t xml:space="preserve"> </w:t>
      </w:r>
      <w:r>
        <w:t xml:space="preserve">opera como el único adjetivo y adverbio de modo admitido en el universo de la obra. Toda otra palabra es sustantivo (entidad) o verbo (operador). Cero nata.</w:t>
      </w:r>
      <w:r>
        <w:t xml:space="preserve"> </w:t>
      </w:r>
      <w:r>
        <w:t xml:space="preserve">2.</w:t>
      </w:r>
      <w:r>
        <w:t xml:space="preserve"> </w:t>
      </w:r>
      <w:r>
        <w:rPr>
          <w:b/>
          <w:bCs/>
        </w:rPr>
        <w:t xml:space="preserve">No decir nada que no admita demostración en el territorio:</w:t>
      </w:r>
      <w:r>
        <w:t xml:space="preserve"> </w:t>
      </w:r>
      <w:r>
        <w:t xml:space="preserve">Si una proposición carece de prueba empírica o de coste en el sustrato, se purga del canal. Cero afirmaciones de fe.</w:t>
      </w:r>
      <w:r>
        <w:t xml:space="preserve"> </w:t>
      </w:r>
      <w:r>
        <w:t xml:space="preserve">3.</w:t>
      </w:r>
      <w:r>
        <w:t xml:space="preserve"> </w:t>
      </w:r>
      <w:r>
        <w:rPr>
          <w:b/>
          <w:bCs/>
        </w:rPr>
        <w:t xml:space="preserve">Buscar el cisne negro con vehemencia:</w:t>
      </w:r>
      <w:r>
        <w:t xml:space="preserve"> </w:t>
      </w:r>
      <w:r>
        <w:t xml:space="preserve">Ante la disonancia entre mapa y territorio, el regulador burocrático intenta matar al mensajero. Este libro invierte la patología: busca la anomalía que quiebra el dogma y expone la asimetría de Popper.</w:t>
      </w:r>
      <w:r>
        <w:t xml:space="preserve"> </w:t>
      </w:r>
      <w:r>
        <w:t xml:space="preserve">4.</w:t>
      </w:r>
      <w:r>
        <w:t xml:space="preserve"> </w:t>
      </w:r>
      <w:r>
        <w:rPr>
          <w:b/>
          <w:bCs/>
        </w:rPr>
        <w:t xml:space="preserve">Transducir y transgredir hasta la catarsis:</w:t>
      </w:r>
      <w:r>
        <w:t xml:space="preserve"> </w:t>
      </w:r>
      <w:r>
        <w:t xml:space="preserve">El transductor no consume queja discursiva ni pacta con la convención de catálogo. Absorbe la fricción del entorno, transgrede la frontera del mapa y transmuta la tensión en trabajo físico, hasta forzar el colapso del drama social y alcanzar el reposo de la verdad desnuda.</w:t>
      </w:r>
    </w:p>
    <w:p>
      <w:pPr>
        <w:pStyle w:val="BodyText"/>
      </w:pPr>
      <w:r>
        <w:t xml:space="preserve">Donde el mercado editorial impone prólogos de compromiso y elogio mutuo, este libro deja entrar el aire. Aguarda la mirada limpia, la concisión sueca, la verdad sin aditivos y la demolición de la hipocresía institucional. Hasta que esa pluma selle el acceso, la puerta queda abierta.</w:t>
      </w:r>
    </w:p>
    <w:p>
      <w:r>
        <w:pict>
          <v:rect style="width:0;height:1.5pt" o:hralign="center" o:hrstd="t" o:hr="t"/>
        </w:pict>
      </w:r>
    </w:p>
    <w:p>
      <w:pPr>
        <w:pStyle w:val="FirstParagraph"/>
      </w:pPr>
      <w:r>
        <w:t xml:space="preserve">El título de este libro homenajea la obra de Robe Iniesta en</w:t>
      </w:r>
      <w:r>
        <w:t xml:space="preserve"> </w:t>
      </w:r>
      <w:r>
        <w:rPr>
          <w:i/>
          <w:iCs/>
        </w:rPr>
        <w:t xml:space="preserve">La Ley Innata</w:t>
      </w:r>
      <w:r>
        <w:t xml:space="preserve"> </w:t>
      </w:r>
      <w:r>
        <w:t xml:space="preserve">(2008).</w:t>
      </w:r>
    </w:p>
    <w:p>
      <w:pPr>
        <w:pStyle w:val="BodyText"/>
      </w:pPr>
      <w:r>
        <w:t xml:space="preserve">La</w:t>
      </w:r>
      <w:r>
        <w:t xml:space="preserve"> </w:t>
      </w:r>
      <w:r>
        <w:t xml:space="preserve">“dulce introducción al caos”</w:t>
      </w:r>
      <w:r>
        <w:t xml:space="preserve"> </w:t>
      </w:r>
      <w:r>
        <w:t xml:space="preserve">representa el proceso de retirar la nata del discurso para enfrentar la estructura desnuda de la realidad. Cuando cesa el ruido de las palabras, empieza la ley innata de la física.</w:t>
      </w:r>
    </w:p>
    <w:p>
      <w:pPr>
        <w:pStyle w:val="BodyText"/>
      </w:pPr>
      <w:r>
        <w:t xml:space="preserve">La masa de texto producida en el siglo XXI no contiene información. El coste de generación de lenguaje ha caído a cero. Los modelos estocásticos, las agencias de comunicación y las instituciones emiten secuencias de palabras desacopladas de restricciones físicas.</w:t>
      </w:r>
    </w:p>
    <w:p>
      <w:pPr>
        <w:pStyle w:val="BodyText"/>
      </w:pPr>
      <w:r>
        <w:t xml:space="preserve">Los adjetivos y los adverbios actúan como la nata en un postre: aumentan el volumen y ocultan la ausencia de contenido. Un texto cargado de adjetivos requiere esfuerzo cognitivo por parte del receptor. El cerebro del lector filtra la capa calificativa para buscar la estructura causal.</w:t>
      </w:r>
    </w:p>
    <w:p>
      <w:pPr>
        <w:pStyle w:val="BodyText"/>
      </w:pPr>
      <w:r>
        <w:t xml:space="preserve">Este libro elimina la nata. El texto utiliza el conjunto de sustantivos (entidades) y verbos (operadores). Las proposiciones transmiten datos, magnitudes y relaciones causales.</w:t>
      </w:r>
    </w:p>
    <w:p>
      <w:pPr>
        <w:pStyle w:val="BodyText"/>
      </w:pPr>
      <w:r>
        <w:t xml:space="preserve">Si el texto elimina la capa calificativa, no queda margen para la opinión del autor. Quedan las ecuaciones, las cifras, las sentencias judiciales y las leyes de la termodinámica.</w:t>
      </w:r>
    </w:p>
    <w:p>
      <w:pPr>
        <w:pStyle w:val="BodyText"/>
      </w:pPr>
      <w:r>
        <w:t xml:space="preserve">La información vive en sustantivos y verbos. El ruido vive en adjetivos y adverbios.</w:t>
      </w:r>
    </w:p>
    <w:p>
      <w:pPr>
        <w:pStyle w:val="BodyText"/>
      </w:pPr>
      <w:r>
        <w:t xml:space="preserve">Este libro le quita la nata a la ciencia, a la psiquiatría y a la tecnología. Lo que queda en el vaso es café solo. Bienveni@s a la dulce introducción al caos.</w:t>
      </w:r>
    </w:p>
    <w:p>
      <w:r>
        <w:pict>
          <v:rect style="width:0;height:1.5pt" o:hralign="center" o:hrstd="t" o:hr="t"/>
        </w:pict>
      </w:r>
    </w:p>
    <w:p>
      <w:pPr>
        <w:pStyle w:val="FirstParagraph"/>
      </w:pPr>
      <w:r>
        <w:t xml:space="preserve"> </w:t>
      </w:r>
      <w:r>
        <w:t xml:space="preserve">## CIBERNÉTICA PARA UN MAMÓN</w:t>
      </w:r>
      <w:r>
        <w:t xml:space="preserve"> </w:t>
      </w:r>
      <w:r>
        <w:t xml:space="preserve">### Deconstrucción Termodinámica y Antítesis Directa de «Ética para Amador» (Fernando Savater, 1991)</w:t>
      </w:r>
    </w:p>
    <w:p>
      <w:pPr>
        <w:pStyle w:val="BodyText"/>
      </w:pPr>
      <w:r>
        <w:t xml:space="preserve">En 1991, Fernando Savater publicó</w:t>
      </w:r>
      <w:r>
        <w:t xml:space="preserve"> </w:t>
      </w:r>
      <w:r>
        <w:rPr>
          <w:i/>
          <w:iCs/>
        </w:rPr>
        <w:t xml:space="preserve">Ética para Amador</w:t>
      </w:r>
      <w:r>
        <w:t xml:space="preserve"> </w:t>
      </w:r>
      <w:r>
        <w:t xml:space="preserve">(Editorial Ariel). El texto operó como manual de prescripción cívica en el sistema de educación secundaria en España durante tres décadas. La obra articuló un catecismo de moralina institucional: el discurso de un padre filósofo a su hijo adolescente que sustituyó la física de la naturaleza por ficciones de complacencia estatal.</w:t>
      </w:r>
    </w:p>
    <w:p>
      <w:pPr>
        <w:pStyle w:val="BodyText"/>
      </w:pPr>
      <w:r>
        <w:rPr>
          <w:i/>
          <w:iCs/>
        </w:rPr>
        <w:t xml:space="preserve">FRASES SIN NATA</w:t>
      </w:r>
      <w:r>
        <w:t xml:space="preserve"> </w:t>
      </w:r>
      <w:r>
        <w:t xml:space="preserve">asume el título de trinchera</w:t>
      </w:r>
      <w:r>
        <w:t xml:space="preserve"> </w:t>
      </w:r>
      <w:r>
        <w:rPr>
          <w:b/>
          <w:bCs/>
        </w:rPr>
        <w:t xml:space="preserve">«Cibernética para un mamón»</w:t>
      </w:r>
      <w:r>
        <w:t xml:space="preserve"> </w:t>
      </w:r>
      <w:r>
        <w:t xml:space="preserve">como antítesis directa. El término</w:t>
      </w:r>
      <w:r>
        <w:t xml:space="preserve"> </w:t>
      </w:r>
      <w:r>
        <w:t xml:space="preserve">“mamón”</w:t>
      </w:r>
      <w:r>
        <w:t xml:space="preserve"> </w:t>
      </w:r>
      <w:r>
        <w:t xml:space="preserve">no opera como insulto retórico; describe la condición física del nodo humano conectado a la ubre del regulador burocrático y al consumo pasivo de abstracciones sin coste de falsificación.</w:t>
      </w:r>
    </w:p>
    <w:p>
      <w:pPr>
        <w:pStyle w:val="BodyText"/>
      </w:pPr>
      <w:r>
        <w:t xml:space="preserve">Frente a los nueve capítulos del catecismo de 1991, este tratado restituye las restricciones del territorio:</w:t>
      </w:r>
    </w:p>
    <w:p>
      <w:pPr>
        <w:numPr>
          <w:ilvl w:val="0"/>
          <w:numId w:val="1002"/>
        </w:numPr>
      </w:pPr>
      <w:r>
        <w:rPr>
          <w:b/>
          <w:bCs/>
        </w:rPr>
        <w:t xml:space="preserve">Frente a «De qué va la ética» (El mito de la libertad inmaterial):</w:t>
      </w:r>
      <w:r>
        <w:t xml:space="preserve"> </w:t>
      </w:r>
      <w:r>
        <w:t xml:space="preserve">Savater afirma que los castores y las termitas obedecen la programación natural mientras el humano elige su destino en el vacío. La física desmiente la fábula: el nodo biológico habita un pozo de potencial metastable (Axioma IV, Kramers). El escape no responde a sermones de voluntad; exige una temperatura de fricción interna que supere la barrera de activación (ΔG‡). La ventana de veto motor (</w:t>
      </w:r>
      <w:r>
        <w:rPr>
          <w:i/>
          <w:iCs/>
        </w:rPr>
        <w:t xml:space="preserve">Free Won’t</w:t>
      </w:r>
      <w:r>
        <w:t xml:space="preserve"> </w:t>
      </w:r>
      <w:r>
        <w:t xml:space="preserve">de Libet) abarca doscientos milisegundos. Las termitas respetan las leyes de la termodinámica; el mamón confunde su mapa con el territorio.</w:t>
      </w:r>
    </w:p>
    <w:p>
      <w:pPr>
        <w:numPr>
          <w:ilvl w:val="0"/>
          <w:numId w:val="1002"/>
        </w:numPr>
      </w:pPr>
      <w:r>
        <w:rPr>
          <w:b/>
          <w:bCs/>
        </w:rPr>
        <w:t xml:space="preserve">Frente a «Órdenes, costumbres y caprichos» (La taxonomía de la sumisión):</w:t>
      </w:r>
      <w:r>
        <w:t xml:space="preserve"> </w:t>
      </w:r>
      <w:r>
        <w:t xml:space="preserve">Savater clasifica las motivaciones en órdenes externas, costumbres del entorno y caprichos del sujeto. La cibernética descompila los tres vectores: las órdenes representan la coacción física del monopolio del plomo (la asimetría del tres por ciento armado frente al noventa y siete por ciento civil); las costumbres operan como atractores inerciales para economizar gasto metabólico; los caprichos corresponden a descargas de dopamina fásica en el núcleo accumbens. Obedecer o rebelarse con queja discursiva pertenece al Cambio 1 (Watzlawick): ambas conductas oscilan en la misma frecuencia del regulador.</w:t>
      </w:r>
    </w:p>
    <w:p>
      <w:pPr>
        <w:numPr>
          <w:ilvl w:val="0"/>
          <w:numId w:val="1002"/>
        </w:numPr>
      </w:pPr>
      <w:r>
        <w:rPr>
          <w:b/>
          <w:bCs/>
        </w:rPr>
        <w:t xml:space="preserve">Frente a «Haz lo que quieras» (La falacia del ego sin coste):</w:t>
      </w:r>
      <w:r>
        <w:t xml:space="preserve"> </w:t>
      </w:r>
      <w:r>
        <w:t xml:space="preserve">Savater reduce la libertad a la facultad subjetiva de elegir entre opciones de catálogo. En el territorio físico rige el principio de Landauer y la asimetría de Spence-Zahavi (Axioma V):</w:t>
      </w:r>
      <w:r>
        <w:t xml:space="preserve"> </w:t>
      </w:r>
      <w:r>
        <w:t xml:space="preserve">“hacer lo que quieras”</w:t>
      </w:r>
      <w:r>
        <w:t xml:space="preserve"> </w:t>
      </w:r>
      <w:r>
        <w:t xml:space="preserve">a coste cero constituye emisión de señal barata (</w:t>
      </w:r>
      <w:r>
        <w:rPr>
          <w:i/>
          <w:iCs/>
        </w:rPr>
        <w:t xml:space="preserve">cheap talk</w:t>
      </w:r>
      <w:r>
        <w:t xml:space="preserve">, K(σ_V) → 0). Cada borrado de memoria o alteración de estado exige disipación de calor irreversible (ΔQ ≥ k_B T ln 2). La libertad de un nodo mide la exergía de trabajo físico que transfiere para sostener el perímetro de su Manta de Markov.</w:t>
      </w:r>
    </w:p>
    <w:p>
      <w:pPr>
        <w:numPr>
          <w:ilvl w:val="0"/>
          <w:numId w:val="1002"/>
        </w:numPr>
      </w:pPr>
      <w:r>
        <w:rPr>
          <w:b/>
          <w:bCs/>
        </w:rPr>
        <w:t xml:space="preserve">Frente a «Date la buena vida» (El cuento de Esaú y el trineo de Kane):</w:t>
      </w:r>
      <w:r>
        <w:t xml:space="preserve"> </w:t>
      </w:r>
      <w:r>
        <w:t xml:space="preserve">Savater recurre a la parábola bíblica de las lentejas y a la soledad de Ciudadano Kane para advertir contra el apego a las cosas materiales. La física de sistemas demuestra que el consumo pasivo de confort sin emisión convierte al agente en un sumidero entrópico (Axioma VI). La soberanía del individuo no radica en la renuncia monástica ni en la culpa moral, sino en actuar como transductor de exergía y poseer infraestructura propia fuera del control burocrático.</w:t>
      </w:r>
    </w:p>
    <w:p>
      <w:pPr>
        <w:numPr>
          <w:ilvl w:val="0"/>
          <w:numId w:val="1002"/>
        </w:numPr>
      </w:pPr>
      <w:r>
        <w:rPr>
          <w:b/>
          <w:bCs/>
        </w:rPr>
        <w:t xml:space="preserve">Frente a «¡Despierta, baby!» (La trampa de la lucidez por decreto):</w:t>
      </w:r>
      <w:r>
        <w:t xml:space="preserve"> </w:t>
      </w:r>
      <w:r>
        <w:t xml:space="preserve">Savater exhorta al adolescente a</w:t>
      </w:r>
      <w:r>
        <w:t xml:space="preserve"> </w:t>
      </w:r>
      <w:r>
        <w:t xml:space="preserve">“despertar”</w:t>
      </w:r>
      <w:r>
        <w:t xml:space="preserve"> </w:t>
      </w:r>
      <w:r>
        <w:t xml:space="preserve">mediante la comprensión de que los humanos necesitan trato humano. Exigir lucidez a un nodo biológico con agotamiento de receptores o déficit dopaminérgico agrava el bucle de energía libre variacional. El cambio de estado no se produce por apelación moral; requiere la alteración de la matriz de fricción física.</w:t>
      </w:r>
    </w:p>
    <w:p>
      <w:pPr>
        <w:numPr>
          <w:ilvl w:val="0"/>
          <w:numId w:val="1002"/>
        </w:numPr>
      </w:pPr>
      <w:r>
        <w:rPr>
          <w:b/>
          <w:bCs/>
        </w:rPr>
        <w:t xml:space="preserve">Frente a «Aparece Pepito Grillo» (La invención del remordimiento):</w:t>
      </w:r>
      <w:r>
        <w:t xml:space="preserve"> </w:t>
      </w:r>
      <w:r>
        <w:t xml:space="preserve">Savater postula la voz de la conciencia como un juez interno del deber. La neurobiología demuestra que el remordimiento opera como la narración del intérprete del hemisferio cerebral izquierdo (Gazzaniga): una fábula fabricada a posteriori (Matriz GELABP) para reducir el coste de supervisión ante el supervisor social.</w:t>
      </w:r>
    </w:p>
    <w:p>
      <w:pPr>
        <w:numPr>
          <w:ilvl w:val="0"/>
          <w:numId w:val="1002"/>
        </w:numPr>
      </w:pPr>
      <w:r>
        <w:rPr>
          <w:b/>
          <w:bCs/>
        </w:rPr>
        <w:t xml:space="preserve">Frente a «Ponte en su lugar» (La empatía de catálogo):</w:t>
      </w:r>
      <w:r>
        <w:t xml:space="preserve"> </w:t>
      </w:r>
      <w:r>
        <w:t xml:space="preserve">Savater convierte la empatía en un mandato de caridad intelectual. El modelo de Kuramoto (Axioma VI) describe la interacción entre nodos como acoplamiento de osciladores de fase no lineales (K &gt; K_c). La empatía real no es un juicio discursivo; es la presencia de un cuerpo biológico que absorbe la entropía del otro con coste metabólico medible.</w:t>
      </w:r>
    </w:p>
    <w:p>
      <w:pPr>
        <w:numPr>
          <w:ilvl w:val="0"/>
          <w:numId w:val="1002"/>
        </w:numPr>
      </w:pPr>
      <w:r>
        <w:rPr>
          <w:b/>
          <w:bCs/>
        </w:rPr>
        <w:t xml:space="preserve">Frente a «Tanto gusto» (La moralina sobre el placer y la templanza):</w:t>
      </w:r>
      <w:r>
        <w:t xml:space="preserve"> </w:t>
      </w:r>
      <w:r>
        <w:t xml:space="preserve">Savater predica la moderación frente al sexo y los sentidos. La neurofarmacología prescinde de juicios de pecado: modela la constante de disociación de receptores (K_d), la desensibilización celular y la regulación a la baja de transportadores neuronales. La</w:t>
      </w:r>
      <w:r>
        <w:t xml:space="preserve"> </w:t>
      </w:r>
      <w:r>
        <w:t xml:space="preserve">“templanza”</w:t>
      </w:r>
      <w:r>
        <w:t xml:space="preserve"> </w:t>
      </w:r>
      <w:r>
        <w:t xml:space="preserve">de manual escolar es la ignorancia de la homeostasis química.</w:t>
      </w:r>
    </w:p>
    <w:p>
      <w:pPr>
        <w:numPr>
          <w:ilvl w:val="0"/>
          <w:numId w:val="1002"/>
        </w:numPr>
      </w:pPr>
      <w:r>
        <w:rPr>
          <w:b/>
          <w:bCs/>
        </w:rPr>
        <w:t xml:space="preserve">Frente a «Elecciones generales» (La domesticación parlamentaria):</w:t>
      </w:r>
      <w:r>
        <w:t xml:space="preserve"> </w:t>
      </w:r>
      <w:r>
        <w:t xml:space="preserve">Savater culmina su catecismo invitando al lector a confiar en la política de Estado, votar a representantes y someterse a las leyes democráticas. La teoría de sistemas clasifica el voto como un falso isomorfismo: el Estado opera como un regulador con déficit de variedad (Ashby) que extrae exergía de los nodos productivos. La respuesta soberana no es la participación gregaria en urnas, sino el Salto Topológico (Cambio 2): criptografía asimétrica, hardware propio y desacoplamiento de la red coactiva.</w:t>
      </w:r>
    </w:p>
    <w:p>
      <w:pPr>
        <w:numPr>
          <w:ilvl w:val="0"/>
          <w:numId w:val="1002"/>
        </w:numPr>
      </w:pPr>
      <w:r>
        <w:rPr>
          <w:b/>
          <w:bCs/>
        </w:rPr>
        <w:t xml:space="preserve">Frente a «Tendrás que pensarlo tú» (El cierre de sermón):</w:t>
      </w:r>
      <w:r>
        <w:t xml:space="preserve"> </w:t>
      </w:r>
      <w:r>
        <w:t xml:space="preserve">Savater se despide delegando la conclusión en el arbitrio del lector tras doscientas páginas de adoctrinamiento institucional. Este tratado no ofrece consejos paternales ni recetas de conducta. Entrega ecuaciones, sentencias de tribunales de justicia y datos de laboratorio. Si el territorio físico desmiente el texto, el texto se purga en el registro de versiones. La física no pide permiso ni admite sermones de sobremesa.</w:t>
      </w:r>
    </w:p>
    <w:p>
      <w:r>
        <w:pict>
          <v:rect style="width:0;height:1.5pt" o:hralign="center" o:hrstd="t" o:hr="t"/>
        </w:pict>
      </w:r>
    </w:p>
    <w:bookmarkEnd w:id="12"/>
    <w:bookmarkEnd w:id="13"/>
    <w:bookmarkStart w:id="14" w:name="X8261ae7b3e86505b39d6926bcd8267909bef2a5"/>
    <w:p>
      <w:pPr>
        <w:pStyle w:val="Heading2"/>
      </w:pPr>
      <w:r>
        <w:t xml:space="preserve">SÍNTESIS HOLÍSTICA: EL MOTOR CAUSAL C5-REAL</w:t>
      </w:r>
    </w:p>
    <w:p>
      <w:pPr>
        <w:pStyle w:val="BlockText"/>
      </w:pPr>
      <w:r>
        <w:rPr>
          <w:i/>
          <w:iCs/>
        </w:rPr>
        <w:t xml:space="preserve">Las disciplinas son una ilusión: la trampa de embargo del cocodrilo del Nilo, en su variante burocrática-académica; el universo solo opera ecuaciones de conservación de exergía.</w:t>
      </w:r>
    </w:p>
    <w:p>
      <w:pPr>
        <w:pStyle w:val="SourceCode"/>
      </w:pPr>
      <w:r>
        <w:rPr>
          <w:rStyle w:val="VerbatimChar"/>
        </w:rPr>
        <w:t xml:space="preserve">Axioma Unificado: Los 6 Axiomas no son reglas separadas; son seis proyecciones de una misma variedad geométrica en el espacio de fase de la información.</w:t>
      </w:r>
    </w:p>
    <w:p>
      <w:r>
        <w:pict>
          <v:rect style="width:0;height:1.5pt" o:hralign="center" o:hrstd="t" o:hr="t"/>
        </w:pict>
      </w:r>
    </w:p>
    <w:bookmarkEnd w:id="14"/>
    <w:bookmarkStart w:id="15" w:name="la-unificación-topológica"/>
    <w:p>
      <w:pPr>
        <w:pStyle w:val="Heading2"/>
      </w:pPr>
      <w:r>
        <w:t xml:space="preserve">1. La Unificación Topológica</w:t>
      </w:r>
    </w:p>
    <w:p>
      <w:pPr>
        <w:pStyle w:val="FirstParagraph"/>
      </w:pPr>
      <w:r>
        <w:t xml:space="preserve">La fragmentación del conocimiento en especialidades de catálogo (psiquiatría, derecho de estado, economía de mercado, física de laboratorio, música de conservación, ingeniería de software) representa un error de diseño de mapa. La realidad del territorio desconoce la separación de facultades de la academia.</w:t>
      </w:r>
    </w:p>
    <w:p>
      <w:pPr>
        <w:pStyle w:val="BodyText"/>
      </w:pPr>
      <w:r>
        <w:t xml:space="preserve">El Motor C5-REAL demuestra que los 6 Axiomas constituyen un circuito cerrado de regulación de supervivencia de red:</w:t>
      </w:r>
    </w:p>
    <w:p>
      <w:pPr>
        <w:pStyle w:val="SourceCode"/>
      </w:pPr>
      <w:r>
        <w:rPr>
          <w:rStyle w:val="VerbatimChar"/>
        </w:rPr>
        <w:t xml:space="preserve">[1. FILTRO (Fisher)] ──&gt; [2. MAPA (Isomorfismo)] ──&gt; [3. BUCLE (Watzlawick)] ──&gt; [4. RUPTURA (Kramers)] ──&gt; [5. HUELLA (Landauer)] ──&gt; [6. TRANSMISIÓN (Escohotado)]</w:t>
      </w:r>
    </w:p>
    <w:p>
      <w:r>
        <w:pict>
          <v:rect style="width:0;height:1.5pt" o:hralign="center" o:hrstd="t" o:hr="t"/>
        </w:pict>
      </w:r>
    </w:p>
    <w:bookmarkEnd w:id="15"/>
    <w:bookmarkStart w:id="22" w:name="los-6-engranajes-del-mecanismo-desnudo"/>
    <w:p>
      <w:pPr>
        <w:pStyle w:val="Heading2"/>
      </w:pPr>
      <w:r>
        <w:t xml:space="preserve">2. Los 6 Engranajes del Mecanismo Desnudo</w:t>
      </w:r>
    </w:p>
    <w:bookmarkStart w:id="16" w:name="engranaje-1-el-filtro-axioma-i-fisher"/>
    <w:p>
      <w:pPr>
        <w:pStyle w:val="Heading3"/>
      </w:pPr>
      <w:r>
        <w:t xml:space="preserve">Engranaje 1: El Filtro (Axioma I — Fisher)</w:t>
      </w:r>
    </w:p>
    <w:p>
      <w:pPr>
        <w:pStyle w:val="FirstParagraph"/>
      </w:pPr>
      <w:r>
        <w:t xml:space="preserve">El universo emite ruido estocástico en la franja continua. El cerebro necesita instalar un filtro de relevancia. Si el filtro opera con precisión, el nodo extrae patrones de orden real (Turing descifrando Enigma o Semmelweis identificando agentes en agua clorada). Si el filtro sufre colapso, el nodo procesa código inexistente (la psicosis de John Nash) o perece bajo la avalancha de ruido.</w:t>
      </w:r>
    </w:p>
    <w:bookmarkEnd w:id="16"/>
    <w:bookmarkStart w:id="17" w:name="X8e72f7a64f959a518970d5df582d9c562d235a1"/>
    <w:p>
      <w:pPr>
        <w:pStyle w:val="Heading3"/>
      </w:pPr>
      <w:r>
        <w:t xml:space="preserve">Engranaje 2: El Engaño del Dibujo (Axioma II — Mapa vs Territorio)</w:t>
      </w:r>
    </w:p>
    <w:p>
      <w:pPr>
        <w:pStyle w:val="FirstParagraph"/>
      </w:pPr>
      <w:r>
        <w:t xml:space="preserve">Con los conceptos extraídos en el paso 1, el nodo dibuja un mapa (hojas de Excel, contratos, criptomonedas, leyes de Hacienda, títulos). El fallo mortal surge al asumir que la representación en papel ES la realidad física. Theranos asumió que su maqueta financiera extraía sangre; los técnicos de la NASA asumieron que un informe impreso calentaba la goma del transbordador</w:t>
      </w:r>
      <w:r>
        <w:t xml:space="preserve"> </w:t>
      </w:r>
      <w:r>
        <w:rPr>
          <w:i/>
          <w:iCs/>
        </w:rPr>
        <w:t xml:space="preserve">Challenger</w:t>
      </w:r>
      <w:r>
        <w:t xml:space="preserve">. El Estado asume que su Boletín Oficial rige la economía, ignorando la asfixia de energía libre y la rotura de la Manta de Markov (Varela) que inflige sobre la biología del individuo. El territorio siempre aplasta al mapa.</w:t>
      </w:r>
    </w:p>
    <w:bookmarkEnd w:id="17"/>
    <w:bookmarkStart w:id="18" w:name="X18ac3e42fe467ee2cba1cea17cfa17214427bf5"/>
    <w:p>
      <w:pPr>
        <w:pStyle w:val="Heading3"/>
      </w:pPr>
      <w:r>
        <w:t xml:space="preserve">Engranaje 3: El Atasco en la Trampa (Axioma III — Watzlawick)</w:t>
      </w:r>
    </w:p>
    <w:p>
      <w:pPr>
        <w:pStyle w:val="FirstParagraph"/>
      </w:pPr>
      <w:r>
        <w:t xml:space="preserve">Cuando el mapa entra en fase de fallo, el sistema no ajusta el mapa; insiste en la misma solución pero con el triple de intensidad. En el pánico, el intento de control manual de la respiración genera mayor señal de amenaza y acelera el ritmo de pulso. En la maquinaria estatal, ante la falta de recursos, el regulador con déficit de variedad (Ashby) eleva la fricción fiscal, devorando la exergía de la base productiva hasta el colapso del nodo. La solución intentada alimenta el fuego del problema.</w:t>
      </w:r>
    </w:p>
    <w:bookmarkEnd w:id="18"/>
    <w:bookmarkStart w:id="19" w:name="Xcd41adc3c3b8554d658d97fba5b4eb73512dba2"/>
    <w:p>
      <w:pPr>
        <w:pStyle w:val="Heading3"/>
      </w:pPr>
      <w:r>
        <w:t xml:space="preserve">Engranaje 4: La Ruptura por Desborde (Axioma IV — Kramers)</w:t>
      </w:r>
    </w:p>
    <w:p>
      <w:pPr>
        <w:pStyle w:val="FirstParagraph"/>
      </w:pPr>
      <w:r>
        <w:t xml:space="preserve">Nadie ejecuta mutación por discurso motivacional o declaración de voluntad. El nodo permanece atrapado en el atractor de confort de su sufrimiento conocido hasta que la fricción acumulada y la temperatura del dolor superan la barrera de activación (ΔG‡). Kodak no saltó al terreno digital cuando inventó la patente; saltó a la bancarrota cuando la caja quedó en cero. Es la ley del</w:t>
      </w:r>
      <w:r>
        <w:t xml:space="preserve"> </w:t>
      </w:r>
      <w:r>
        <w:rPr>
          <w:b/>
          <w:bCs/>
        </w:rPr>
        <w:t xml:space="preserve">Cocodrilo del Nilo</w:t>
      </w:r>
      <w:r>
        <w:t xml:space="preserve">: el depredador no persigue presas; aguarda inmóvil en el abrevadero porque la sed obligará a los mamíferos a bajar al agua.</w:t>
      </w:r>
    </w:p>
    <w:bookmarkEnd w:id="19"/>
    <w:bookmarkStart w:id="20" w:name="Xb189b6a6ec12e4dd7fa3d6ff0edc7a5e97462ac"/>
    <w:p>
      <w:pPr>
        <w:pStyle w:val="Heading3"/>
      </w:pPr>
      <w:r>
        <w:t xml:space="preserve">Engranaje 5: El Veredicto de Masa (Axioma V — Landauer)</w:t>
      </w:r>
    </w:p>
    <w:p>
      <w:pPr>
        <w:pStyle w:val="FirstParagraph"/>
      </w:pPr>
      <w:r>
        <w:t xml:space="preserve">El discurso, las intenciones y los manifiestos carecen de coste energético y transmiten información nula. La única constante atestada es la</w:t>
      </w:r>
      <w:r>
        <w:t xml:space="preserve"> </w:t>
      </w:r>
      <w:r>
        <w:rPr>
          <w:b/>
          <w:bCs/>
        </w:rPr>
        <w:t xml:space="preserve">huella física</w:t>
      </w:r>
      <w:r>
        <w:t xml:space="preserve"> </w:t>
      </w:r>
      <w:r>
        <w:t xml:space="preserve">pagada en calor y trabajo (E ≥ k_B T ln 2). La empatía real no son frases de pésame; es la presencia de un cuerpo acoplando su fase de oscilador neuronal para absorber la entropía del otro.</w:t>
      </w:r>
    </w:p>
    <w:bookmarkEnd w:id="20"/>
    <w:bookmarkStart w:id="21" w:name="X780480ed284e986cc7c5ed91e8cd9d0f29c18a5"/>
    <w:p>
      <w:pPr>
        <w:pStyle w:val="Heading3"/>
      </w:pPr>
      <w:r>
        <w:t xml:space="preserve">Engranaje 6: La Transmisión (Axioma VI — Escohotado)</w:t>
      </w:r>
    </w:p>
    <w:p>
      <w:pPr>
        <w:pStyle w:val="BlockText"/>
      </w:pPr>
      <w:r>
        <w:rPr>
          <w:i/>
          <w:iCs/>
        </w:rPr>
        <w:t xml:space="preserve">«Resulta que amor y conocimiento abundan, al menos para quien devuelva amor y conocimiento.»</w:t>
      </w:r>
      <w:r>
        <w:t xml:space="preserve"> </w:t>
      </w:r>
      <w:r>
        <w:t xml:space="preserve">—</w:t>
      </w:r>
      <w:r>
        <w:t xml:space="preserve"> </w:t>
      </w:r>
      <w:r>
        <w:rPr>
          <w:b/>
          <w:bCs/>
        </w:rPr>
        <w:t xml:space="preserve">Antonio Escohotado</w:t>
      </w:r>
      <w:r>
        <w:t xml:space="preserve">,</w:t>
      </w:r>
      <w:r>
        <w:t xml:space="preserve"> </w:t>
      </w:r>
      <w:r>
        <w:rPr>
          <w:i/>
          <w:iCs/>
        </w:rPr>
        <w:t xml:space="preserve">Confesiones de un opiófilo</w:t>
      </w:r>
      <w:r>
        <w:t xml:space="preserve"> </w:t>
      </w:r>
      <w:r>
        <w:t xml:space="preserve">(2023).</w:t>
      </w:r>
    </w:p>
    <w:p>
      <w:pPr>
        <w:pStyle w:val="FirstParagraph"/>
      </w:pPr>
      <w:r>
        <w:t xml:space="preserve">El circuito no se cierra en la huella: la huella sin emisión es archivo sin receptor. El nodo que absorbe entropía del entorno y paga el coste de borrado emite estructura a la red. La transmisión no consume el conocimiento del emisor; lo amplifica, porque la información no opera con conservación de suma cero. El nodo que limita su operación a la recepción colapsa en sumidero de exergía; el nodo que emite sostiene el gradiente contra el caos. Amor de estructura: devolver a la red el orden extraído de ella.</w:t>
      </w:r>
    </w:p>
    <w:p>
      <w:r>
        <w:pict>
          <v:rect style="width:0;height:1.5pt" o:hralign="center" o:hrstd="t" o:hr="t"/>
        </w:pict>
      </w:r>
    </w:p>
    <w:bookmarkEnd w:id="21"/>
    <w:bookmarkEnd w:id="22"/>
    <w:bookmarkStart w:id="23" w:name="audio-anclaje-holístico"/>
    <w:p>
      <w:pPr>
        <w:pStyle w:val="Heading2"/>
      </w:pPr>
      <w:r>
        <w:t xml:space="preserve">3. Audio-Anclaje Holístico</w:t>
      </w:r>
    </w:p>
    <w:p>
      <w:pPr>
        <w:pStyle w:val="Compact"/>
        <w:numPr>
          <w:ilvl w:val="0"/>
          <w:numId w:val="1003"/>
        </w:numPr>
      </w:pPr>
      <w:r>
        <w:rPr>
          <w:b/>
          <w:bCs/>
        </w:rPr>
        <w:t xml:space="preserve">Pink Floyd</w:t>
      </w:r>
      <w:r>
        <w:t xml:space="preserve"> </w:t>
      </w:r>
      <w:r>
        <w:t xml:space="preserve">—</w:t>
      </w:r>
      <w:r>
        <w:t xml:space="preserve"> </w:t>
      </w:r>
      <w:r>
        <w:rPr>
          <w:i/>
          <w:iCs/>
        </w:rPr>
        <w:t xml:space="preserve">The Dark Side of the Moon</w:t>
      </w:r>
      <w:r>
        <w:t xml:space="preserve"> </w:t>
      </w:r>
      <w:r>
        <w:t xml:space="preserve">(1973). La rotación completa del mapa de la locura, el dinero, el tiempo y la muerte como un único circuito termodinámico.</w:t>
      </w:r>
    </w:p>
    <w:p>
      <w:pPr>
        <w:pStyle w:val="Compact"/>
        <w:numPr>
          <w:ilvl w:val="0"/>
          <w:numId w:val="1003"/>
        </w:numPr>
      </w:pPr>
      <w:r>
        <w:rPr>
          <w:b/>
          <w:bCs/>
        </w:rPr>
        <w:t xml:space="preserve">Iñaki</w:t>
      </w:r>
      <w:r>
        <w:rPr>
          <w:b/>
          <w:bCs/>
        </w:rPr>
        <w:t xml:space="preserve"> </w:t>
      </w:r>
      <w:r>
        <w:rPr>
          <w:b/>
          <w:bCs/>
        </w:rPr>
        <w:t xml:space="preserve">“Uoho”</w:t>
      </w:r>
      <w:r>
        <w:rPr>
          <w:b/>
          <w:bCs/>
        </w:rPr>
        <w:t xml:space="preserve"> </w:t>
      </w:r>
      <w:r>
        <w:rPr>
          <w:b/>
          <w:bCs/>
        </w:rPr>
        <w:t xml:space="preserve">Antón / Robe Iniesta</w:t>
      </w:r>
      <w:r>
        <w:t xml:space="preserve"> </w:t>
      </w:r>
      <w:r>
        <w:t xml:space="preserve">—</w:t>
      </w:r>
      <w:r>
        <w:t xml:space="preserve"> </w:t>
      </w:r>
      <w:r>
        <w:rPr>
          <w:i/>
          <w:iCs/>
        </w:rPr>
        <w:t xml:space="preserve">La Ley Innata</w:t>
      </w:r>
      <w:r>
        <w:t xml:space="preserve"> </w:t>
      </w:r>
      <w:r>
        <w:t xml:space="preserve">(2008). La suite de cinco movimientos que traza la transición completa desde la estructura desguazada del prólogo hasta el colapso del transgresivo.</w:t>
      </w:r>
    </w:p>
    <w:p>
      <w:r>
        <w:pict>
          <v:rect style="width:0;height:1.5pt" o:hralign="center" o:hrstd="t" o:hr="t"/>
        </w:pict>
      </w:r>
    </w:p>
    <w:bookmarkEnd w:id="23"/>
    <w:bookmarkStart w:id="24" w:name="índice-de-rutas-remisión"/>
    <w:p>
      <w:pPr>
        <w:pStyle w:val="Heading2"/>
      </w:pPr>
      <w:r>
        <w:t xml:space="preserve">ÍNDICE DE RUTAS: REMISIÓN</w:t>
      </w:r>
    </w:p>
    <w:p>
      <w:pPr>
        <w:pStyle w:val="BlockText"/>
      </w:pPr>
      <w:r>
        <w:rPr>
          <w:i/>
          <w:iCs/>
        </w:rPr>
        <w:t xml:space="preserve">El orden de lectura es un mapa; el lector dispone del territorio.</w:t>
      </w:r>
    </w:p>
    <w:p>
      <w:pPr>
        <w:pStyle w:val="FirstParagraph"/>
      </w:pPr>
      <w:r>
        <w:t xml:space="preserve">El tablero de navegación vive en el Índice General Maestro: seis rutas (Geodésica Termodinámica, Dossier Judicial, Cancionero de Frecuencia, Los Bucles, El Transductor, Cortafuegos) recorren el libro. Cada ruta entra por una puerta y sale por otra. Ninguna ruta exige las demás.</w:t>
      </w:r>
    </w:p>
    <w:p>
      <w:r>
        <w:pict>
          <v:rect style="width:0;height:1.5pt" o:hralign="center" o:hrstd="t" o:hr="t"/>
        </w:pict>
      </w:r>
    </w:p>
    <w:bookmarkEnd w:id="24"/>
    <w:bookmarkEnd w:id="25"/>
    <w:bookmarkStart w:id="52" w:name="frases-sin-nata-ciencia-fricción"/>
    <w:p>
      <w:pPr>
        <w:pStyle w:val="Heading1"/>
      </w:pPr>
      <w:r>
        <w:t xml:space="preserve">FRASES SIN NATA: CIENCIA FRICCIÓN</w:t>
      </w:r>
    </w:p>
    <w:bookmarkStart w:id="26" w:name="índice-general-maestro"/>
    <w:p>
      <w:pPr>
        <w:pStyle w:val="Heading2"/>
      </w:pPr>
      <w:r>
        <w:t xml:space="preserve">ÍNDICE GENERAL MAESTRO</w:t>
      </w:r>
    </w:p>
    <w:p>
      <w:pPr>
        <w:pStyle w:val="BlockText"/>
      </w:pPr>
      <w:r>
        <w:rPr>
          <w:i/>
          <w:iCs/>
        </w:rPr>
        <w:t xml:space="preserve">Deconstrucción Termodinámica del Lenguaje, la Psiquiatría y la Técnica</w:t>
      </w:r>
      <w:r>
        <w:br/>
      </w:r>
      <w:r>
        <w:rPr>
          <w:b/>
          <w:bCs/>
        </w:rPr>
        <w:t xml:space="preserve">Estructura | 10 Capítulos + Preliminares + Epílogo | 6 Axiomas + Matriz GELABP | 6 Rutas de Lectura | 0 Adverbios -mente</w:t>
      </w:r>
    </w:p>
    <w:p>
      <w:r>
        <w:pict>
          <v:rect style="width:0;height:1.5pt" o:hralign="center" o:hrstd="t" o:hr="t"/>
        </w:pict>
      </w:r>
    </w:p>
    <w:bookmarkEnd w:id="26"/>
    <w:bookmarkStart w:id="27" w:name="X81f0339c9cedee203e9465705ffe03a97b21d67"/>
    <w:p>
      <w:pPr>
        <w:pStyle w:val="Heading2"/>
      </w:pPr>
      <w:r>
        <w:t xml:space="preserve">TABLERO DE DIRECCIÓN: ÍNDICE DE RUTAS DE LECTURA</w:t>
      </w:r>
    </w:p>
    <w:p>
      <w:pPr>
        <w:pStyle w:val="FirstParagraph"/>
      </w:pPr>
      <w:r>
        <w:t xml:space="preserve">Al igual que Julio Cortázar concibió</w:t>
      </w:r>
      <w:r>
        <w:t xml:space="preserve"> </w:t>
      </w:r>
      <w:r>
        <w:rPr>
          <w:i/>
          <w:iCs/>
        </w:rPr>
        <w:t xml:space="preserve">Rayuela</w:t>
      </w:r>
      <w:r>
        <w:t xml:space="preserve"> </w:t>
      </w:r>
      <w:r>
        <w:t xml:space="preserve">como un objeto de caminos,</w:t>
      </w:r>
      <w:r>
        <w:t xml:space="preserve"> </w:t>
      </w:r>
      <w:r>
        <w:rPr>
          <w:i/>
          <w:iCs/>
        </w:rPr>
        <w:t xml:space="preserve">FRASES SIN NATA</w:t>
      </w:r>
      <w:r>
        <w:t xml:space="preserve"> </w:t>
      </w:r>
      <w:r>
        <w:t xml:space="preserve">permite seis itinerarios de transmisión. Ninguna ruta exige las demás:</w:t>
      </w:r>
    </w:p>
    <w:p>
      <w:pPr>
        <w:pStyle w:val="Compact"/>
        <w:numPr>
          <w:ilvl w:val="0"/>
          <w:numId w:val="1004"/>
        </w:numPr>
      </w:pPr>
      <w:r>
        <w:rPr>
          <w:b/>
          <w:bCs/>
        </w:rPr>
        <w:t xml:space="preserve">Ruta I: La Geodésica Termodinámica (Ruta Teórica / C5 Pure)</w:t>
      </w:r>
    </w:p>
    <w:p>
      <w:pPr>
        <w:pStyle w:val="Compact"/>
        <w:numPr>
          <w:ilvl w:val="1"/>
          <w:numId w:val="1005"/>
        </w:numPr>
      </w:pPr>
      <w:r>
        <w:t xml:space="preserve">Página Cero → Preliminares → Cap I (Fisher) → Cap II (Mapa) → Cap III (Watzlawick) → Cap IV (Kramers) → Cap V (Huella) → Cap VI (Renacimiento) → Cap IX (Anergía) → Cap X (Reificación).</w:t>
      </w:r>
    </w:p>
    <w:p>
      <w:pPr>
        <w:pStyle w:val="Compact"/>
        <w:numPr>
          <w:ilvl w:val="1"/>
          <w:numId w:val="1005"/>
        </w:numPr>
      </w:pPr>
      <w:r>
        <w:rPr>
          <w:i/>
          <w:iCs/>
        </w:rPr>
        <w:t xml:space="preserve">Objetivo:</w:t>
      </w:r>
      <w:r>
        <w:t xml:space="preserve"> </w:t>
      </w:r>
      <w:r>
        <w:t xml:space="preserve">Seguir la derivación formal de los 6 axiomas de información y energía libre. El recorrido sigue el circuito Filtro → Mapa → Bucle → Ruptura → Huella → Transmisión → Freno.</w:t>
      </w:r>
    </w:p>
    <w:p>
      <w:pPr>
        <w:pStyle w:val="Compact"/>
        <w:numPr>
          <w:ilvl w:val="0"/>
          <w:numId w:val="1004"/>
        </w:numPr>
      </w:pPr>
      <w:r>
        <w:rPr>
          <w:b/>
          <w:bCs/>
        </w:rPr>
        <w:t xml:space="preserve">Ruta II: El Dossier Judicial y Forense (Ruta de Hechos Probados)</w:t>
      </w:r>
    </w:p>
    <w:p>
      <w:pPr>
        <w:pStyle w:val="Compact"/>
        <w:numPr>
          <w:ilvl w:val="1"/>
          <w:numId w:val="1006"/>
        </w:numPr>
      </w:pPr>
      <w:hyperlink w:anchor="caso-gaussiana">
        <w:r>
          <w:rPr>
            <w:rStyle w:val="Hyperlink"/>
          </w:rPr>
          <w:t xml:space="preserve">Caso 2.1 (Cópula Gaussiana)</w:t>
        </w:r>
      </w:hyperlink>
      <w:r>
        <w:t xml:space="preserve"> </w:t>
      </w:r>
      <w:r>
        <w:t xml:space="preserve">→</w:t>
      </w:r>
      <w:r>
        <w:t xml:space="preserve"> </w:t>
      </w:r>
      <w:hyperlink w:anchor="caso-challenger">
        <w:r>
          <w:rPr>
            <w:rStyle w:val="Hyperlink"/>
          </w:rPr>
          <w:t xml:space="preserve">Caso 2.2 (Challenger)</w:t>
        </w:r>
      </w:hyperlink>
      <w:r>
        <w:t xml:space="preserve"> </w:t>
      </w:r>
      <w:r>
        <w:t xml:space="preserve">→</w:t>
      </w:r>
      <w:r>
        <w:t xml:space="preserve"> </w:t>
      </w:r>
      <w:hyperlink w:anchor="caso-ia-loros">
        <w:r>
          <w:rPr>
            <w:rStyle w:val="Hyperlink"/>
          </w:rPr>
          <w:t xml:space="preserve">Caso 2.5 (IA Comercial)</w:t>
        </w:r>
      </w:hyperlink>
      <w:r>
        <w:t xml:space="preserve"> </w:t>
      </w:r>
      <w:r>
        <w:t xml:space="preserve">→</w:t>
      </w:r>
      <w:r>
        <w:t xml:space="preserve"> </w:t>
      </w:r>
      <w:hyperlink w:anchor="caso-theranos">
        <w:r>
          <w:rPr>
            <w:rStyle w:val="Hyperlink"/>
          </w:rPr>
          <w:t xml:space="preserve">§6 del Capítulo II (Theranos)</w:t>
        </w:r>
      </w:hyperlink>
      <w:r>
        <w:t xml:space="preserve"> </w:t>
      </w:r>
      <w:r>
        <w:t xml:space="preserve">→</w:t>
      </w:r>
      <w:r>
        <w:t xml:space="preserve"> </w:t>
      </w:r>
      <w:hyperlink w:anchor="caso-enron">
        <w:r>
          <w:rPr>
            <w:rStyle w:val="Hyperlink"/>
          </w:rPr>
          <w:t xml:space="preserve">§8 del Capítulo II (Enron)</w:t>
        </w:r>
      </w:hyperlink>
      <w:r>
        <w:t xml:space="preserve"> </w:t>
      </w:r>
      <w:r>
        <w:t xml:space="preserve">→</w:t>
      </w:r>
      <w:r>
        <w:t xml:space="preserve"> </w:t>
      </w:r>
      <w:hyperlink w:anchor="dossier-psiquiatrico">
        <w:r>
          <w:rPr>
            <w:rStyle w:val="Hyperlink"/>
          </w:rPr>
          <w:t xml:space="preserve">Dossier Psiquiátrico (Casos 3.1 a 3.9)</w:t>
        </w:r>
      </w:hyperlink>
      <w:r>
        <w:t xml:space="preserve"> </w:t>
      </w:r>
      <w:r>
        <w:t xml:space="preserve">→</w:t>
      </w:r>
      <w:r>
        <w:t xml:space="preserve"> </w:t>
      </w:r>
      <w:hyperlink w:anchor="caso-kodak">
        <w:r>
          <w:rPr>
            <w:rStyle w:val="Hyperlink"/>
          </w:rPr>
          <w:t xml:space="preserve">Caso 4.1 (Kodak)</w:t>
        </w:r>
      </w:hyperlink>
      <w:r>
        <w:t xml:space="preserve"> </w:t>
      </w:r>
      <w:r>
        <w:t xml:space="preserve">→</w:t>
      </w:r>
      <w:r>
        <w:t xml:space="preserve"> </w:t>
      </w:r>
      <w:hyperlink w:anchor="caso-blockbuster">
        <w:r>
          <w:rPr>
            <w:rStyle w:val="Hyperlink"/>
          </w:rPr>
          <w:t xml:space="preserve">Caso 4.2 (Blockbuster)</w:t>
        </w:r>
      </w:hyperlink>
      <w:r>
        <w:t xml:space="preserve"> </w:t>
      </w:r>
      <w:r>
        <w:t xml:space="preserve">→</w:t>
      </w:r>
      <w:r>
        <w:t xml:space="preserve"> </w:t>
      </w:r>
      <w:hyperlink w:anchor="caso-rubin-cash">
        <w:r>
          <w:rPr>
            <w:rStyle w:val="Hyperlink"/>
          </w:rPr>
          <w:t xml:space="preserve">Caso 5.4 (Sustracción de Hurt)</w:t>
        </w:r>
      </w:hyperlink>
      <w:r>
        <w:t xml:space="preserve"> </w:t>
      </w:r>
      <w:r>
        <w:t xml:space="preserve">→</w:t>
      </w:r>
      <w:r>
        <w:t xml:space="preserve"> </w:t>
      </w:r>
      <w:hyperlink w:anchor="caso-rubin-radiohead">
        <w:r>
          <w:rPr>
            <w:rStyle w:val="Hyperlink"/>
          </w:rPr>
          <w:t xml:space="preserve">Caso 5.5 (Rubin vs Radiohead)</w:t>
        </w:r>
      </w:hyperlink>
      <w:r>
        <w:t xml:space="preserve"> </w:t>
      </w:r>
      <w:r>
        <w:t xml:space="preserve">→</w:t>
      </w:r>
      <w:r>
        <w:t xml:space="preserve"> </w:t>
      </w:r>
      <w:hyperlink w:anchor="caso-technoself">
        <w:r>
          <w:rPr>
            <w:rStyle w:val="Hyperlink"/>
          </w:rPr>
          <w:t xml:space="preserve">Caso 5.6 (Deantoni Parks)</w:t>
        </w:r>
      </w:hyperlink>
      <w:r>
        <w:t xml:space="preserve"> </w:t>
      </w:r>
      <w:r>
        <w:t xml:space="preserve">→</w:t>
      </w:r>
      <w:r>
        <w:t xml:space="preserve"> </w:t>
      </w:r>
      <w:hyperlink w:anchor="caso-james-rhodes">
        <w:r>
          <w:rPr>
            <w:rStyle w:val="Hyperlink"/>
          </w:rPr>
          <w:t xml:space="preserve">Caso 5.7 (James Rhodes)</w:t>
        </w:r>
      </w:hyperlink>
      <w:r>
        <w:t xml:space="preserve"> </w:t>
      </w:r>
      <w:r>
        <w:t xml:space="preserve">→</w:t>
      </w:r>
      <w:r>
        <w:t xml:space="preserve"> </w:t>
      </w:r>
      <w:hyperlink w:anchor="caso-busta-llama">
        <w:r>
          <w:rPr>
            <w:rStyle w:val="Hyperlink"/>
          </w:rPr>
          <w:t xml:space="preserve">Caso 6.5 (La Llama vs La Antorcha)</w:t>
        </w:r>
      </w:hyperlink>
      <w:r>
        <w:t xml:space="preserve"> </w:t>
      </w:r>
      <w:r>
        <w:t xml:space="preserve">→</w:t>
      </w:r>
      <w:r>
        <w:t xml:space="preserve"> </w:t>
      </w:r>
      <w:hyperlink w:anchor="caso-semmelweis">
        <w:r>
          <w:rPr>
            <w:rStyle w:val="Hyperlink"/>
          </w:rPr>
          <w:t xml:space="preserve">Caso 1.2 (Semmelweis)</w:t>
        </w:r>
      </w:hyperlink>
      <w:r>
        <w:t xml:space="preserve"> </w:t>
      </w:r>
      <w:r>
        <w:t xml:space="preserve">→</w:t>
      </w:r>
      <w:r>
        <w:t xml:space="preserve"> </w:t>
      </w:r>
      <w:hyperlink w:anchor="caso-dsm">
        <w:r>
          <w:rPr>
            <w:rStyle w:val="Hyperlink"/>
          </w:rPr>
          <w:t xml:space="preserve">Caso 8.2 (La Votación de Categorías)</w:t>
        </w:r>
      </w:hyperlink>
      <w:r>
        <w:t xml:space="preserve"> </w:t>
      </w:r>
      <w:r>
        <w:t xml:space="preserve">→</w:t>
      </w:r>
      <w:r>
        <w:t xml:space="preserve"> </w:t>
      </w:r>
      <w:hyperlink w:anchor="caso-lesseps">
        <w:r>
          <w:rPr>
            <w:rStyle w:val="Hyperlink"/>
          </w:rPr>
          <w:t xml:space="preserve">Caso 9.2 (Canal de Panamá)</w:t>
        </w:r>
      </w:hyperlink>
      <w:r>
        <w:t xml:space="preserve"> </w:t>
      </w:r>
      <w:r>
        <w:t xml:space="preserve">→</w:t>
      </w:r>
      <w:r>
        <w:t xml:space="preserve"> </w:t>
      </w:r>
      <w:hyperlink w:anchor="caso-terrorismo">
        <w:r>
          <w:rPr>
            <w:rStyle w:val="Hyperlink"/>
          </w:rPr>
          <w:t xml:space="preserve">Caso 10.1 (Guerra contra el Terrorismo)</w:t>
        </w:r>
      </w:hyperlink>
      <w:r>
        <w:t xml:space="preserve"> </w:t>
      </w:r>
      <w:r>
        <w:t xml:space="preserve">→</w:t>
      </w:r>
      <w:r>
        <w:t xml:space="preserve"> </w:t>
      </w:r>
      <w:hyperlink w:anchor="caso-prohibicion">
        <w:r>
          <w:rPr>
            <w:rStyle w:val="Hyperlink"/>
          </w:rPr>
          <w:t xml:space="preserve">Caso 10.2 (Ley Seca)</w:t>
        </w:r>
      </w:hyperlink>
      <w:r>
        <w:t xml:space="preserve"> </w:t>
      </w:r>
      <w:r>
        <w:t xml:space="preserve">→</w:t>
      </w:r>
      <w:r>
        <w:t xml:space="preserve"> </w:t>
      </w:r>
      <w:hyperlink w:anchor="caso-solidaridad-reificada">
        <w:r>
          <w:rPr>
            <w:rStyle w:val="Hyperlink"/>
          </w:rPr>
          <w:t xml:space="preserve">Caso 10.4 (Solidaridad Reificada)</w:t>
        </w:r>
      </w:hyperlink>
      <w:r>
        <w:t xml:space="preserve"> </w:t>
      </w:r>
      <w:r>
        <w:t xml:space="preserve">→</w:t>
      </w:r>
      <w:r>
        <w:t xml:space="preserve"> </w:t>
      </w:r>
      <w:hyperlink w:anchor="apendice-auditoria-c5">
        <w:r>
          <w:rPr>
            <w:rStyle w:val="Hyperlink"/>
          </w:rPr>
          <w:t xml:space="preserve">Apéndice: Auditoría de Falsación</w:t>
        </w:r>
      </w:hyperlink>
      <w:r>
        <w:t xml:space="preserve">.</w:t>
      </w:r>
    </w:p>
    <w:p>
      <w:pPr>
        <w:pStyle w:val="Compact"/>
        <w:numPr>
          <w:ilvl w:val="1"/>
          <w:numId w:val="1006"/>
        </w:numPr>
      </w:pPr>
      <w:r>
        <w:rPr>
          <w:i/>
          <w:iCs/>
        </w:rPr>
        <w:t xml:space="preserve">Objetivo:</w:t>
      </w:r>
      <w:r>
        <w:t xml:space="preserve"> </w:t>
      </w:r>
      <w:r>
        <w:t xml:space="preserve">Auditar las fracturas del territorio frente a las ficciones institucionales y los mapas de poder. Cada parada cita un expediente, una comisión o un acta. El lector verifica; el libro se somete.</w:t>
      </w:r>
    </w:p>
    <w:p>
      <w:pPr>
        <w:pStyle w:val="Compact"/>
        <w:numPr>
          <w:ilvl w:val="0"/>
          <w:numId w:val="1004"/>
        </w:numPr>
      </w:pPr>
      <w:r>
        <w:rPr>
          <w:b/>
          <w:bCs/>
        </w:rPr>
        <w:t xml:space="preserve">Ruta III: El Cancionero de Frecuencia (Ruta del Audio-Anclaje)</w:t>
      </w:r>
    </w:p>
    <w:p>
      <w:pPr>
        <w:pStyle w:val="Compact"/>
        <w:numPr>
          <w:ilvl w:val="1"/>
          <w:numId w:val="1007"/>
        </w:numPr>
      </w:pPr>
      <w:r>
        <w:rPr>
          <w:i/>
          <w:iCs/>
        </w:rPr>
        <w:t xml:space="preserve">Dulce Introducción al Caos</w:t>
      </w:r>
      <w:r>
        <w:t xml:space="preserve"> </w:t>
      </w:r>
      <w:r>
        <w:t xml:space="preserve">(Robe) →</w:t>
      </w:r>
      <w:r>
        <w:t xml:space="preserve"> </w:t>
      </w:r>
      <w:r>
        <w:rPr>
          <w:i/>
          <w:iCs/>
        </w:rPr>
        <w:t xml:space="preserve">Idioteque</w:t>
      </w:r>
      <w:r>
        <w:t xml:space="preserve"> </w:t>
      </w:r>
      <w:r>
        <w:t xml:space="preserve">(Radiohead) →</w:t>
      </w:r>
      <w:r>
        <w:t xml:space="preserve"> </w:t>
      </w:r>
      <w:r>
        <w:rPr>
          <w:i/>
          <w:iCs/>
        </w:rPr>
        <w:t xml:space="preserve">Every Day Is Exactly The Same</w:t>
      </w:r>
      <w:r>
        <w:t xml:space="preserve"> </w:t>
      </w:r>
      <w:r>
        <w:t xml:space="preserve">(NIN) →</w:t>
      </w:r>
      <w:r>
        <w:t xml:space="preserve"> </w:t>
      </w:r>
      <w:r>
        <w:rPr>
          <w:i/>
          <w:iCs/>
        </w:rPr>
        <w:t xml:space="preserve">Shine On You Crazy Diamond</w:t>
      </w:r>
      <w:r>
        <w:t xml:space="preserve"> </w:t>
      </w:r>
      <w:r>
        <w:t xml:space="preserve">(Pink Floyd) →</w:t>
      </w:r>
      <w:r>
        <w:t xml:space="preserve"> </w:t>
      </w:r>
      <w:r>
        <w:rPr>
          <w:i/>
          <w:iCs/>
        </w:rPr>
        <w:t xml:space="preserve">Vivir Para Contarlo</w:t>
      </w:r>
      <w:r>
        <w:t xml:space="preserve"> </w:t>
      </w:r>
      <w:r>
        <w:t xml:space="preserve">(Violadores del Verso) →</w:t>
      </w:r>
      <w:r>
        <w:t xml:space="preserve"> </w:t>
      </w:r>
      <w:r>
        <w:rPr>
          <w:i/>
          <w:iCs/>
        </w:rPr>
        <w:t xml:space="preserve">Renacimiento</w:t>
      </w:r>
      <w:r>
        <w:t xml:space="preserve"> </w:t>
      </w:r>
      <w:r>
        <w:t xml:space="preserve">(Kase.O) →</w:t>
      </w:r>
      <w:r>
        <w:t xml:space="preserve"> </w:t>
      </w:r>
      <w:r>
        <w:rPr>
          <w:i/>
          <w:iCs/>
        </w:rPr>
        <w:t xml:space="preserve">Variaciones Goldberg</w:t>
      </w:r>
      <w:r>
        <w:t xml:space="preserve"> </w:t>
      </w:r>
      <w:r>
        <w:t xml:space="preserve">(Gould, 1981).</w:t>
      </w:r>
    </w:p>
    <w:p>
      <w:pPr>
        <w:pStyle w:val="Compact"/>
        <w:numPr>
          <w:ilvl w:val="1"/>
          <w:numId w:val="1007"/>
        </w:numPr>
      </w:pPr>
      <w:r>
        <w:rPr>
          <w:i/>
          <w:iCs/>
        </w:rPr>
        <w:t xml:space="preserve">Objetivo:</w:t>
      </w:r>
      <w:r>
        <w:t xml:space="preserve"> </w:t>
      </w:r>
      <w:r>
        <w:t xml:space="preserve">Experimentar la señal acústica como transductor somático de la teoría del lenguaje. La ruta opera con el disco puesto: cada parada tiene audio-anclaje.</w:t>
      </w:r>
    </w:p>
    <w:p>
      <w:pPr>
        <w:pStyle w:val="Compact"/>
        <w:numPr>
          <w:ilvl w:val="0"/>
          <w:numId w:val="1004"/>
        </w:numPr>
      </w:pPr>
      <w:r>
        <w:rPr>
          <w:b/>
          <w:bCs/>
        </w:rPr>
        <w:t xml:space="preserve">Ruta IV: La Ruta de los Bucles (La Quiebra de la Normalidad)</w:t>
      </w:r>
    </w:p>
    <w:p>
      <w:pPr>
        <w:pStyle w:val="Compact"/>
        <w:numPr>
          <w:ilvl w:val="1"/>
          <w:numId w:val="1008"/>
        </w:numPr>
      </w:pPr>
      <w:r>
        <w:t xml:space="preserve">Cap III: Bucle de la Depresión → Déficit de Atención → Pánico → Esquizofrenia → Trastorno Límite → Dopamina → Cap VII (La Anestesia del Entorno) → Cap VIII (La Plaga de Diagnósticos).</w:t>
      </w:r>
    </w:p>
    <w:p>
      <w:pPr>
        <w:pStyle w:val="Compact"/>
        <w:numPr>
          <w:ilvl w:val="1"/>
          <w:numId w:val="1008"/>
        </w:numPr>
      </w:pPr>
      <w:r>
        <w:rPr>
          <w:i/>
          <w:iCs/>
        </w:rPr>
        <w:t xml:space="preserve">Objetivo:</w:t>
      </w:r>
      <w:r>
        <w:t xml:space="preserve"> </w:t>
      </w:r>
      <w:r>
        <w:t xml:space="preserve">La ruta arranca en la psique del nodo y termina en la fábrica de etiquetas.</w:t>
      </w:r>
    </w:p>
    <w:p>
      <w:pPr>
        <w:pStyle w:val="Compact"/>
        <w:numPr>
          <w:ilvl w:val="0"/>
          <w:numId w:val="1004"/>
        </w:numPr>
      </w:pPr>
      <w:r>
        <w:rPr>
          <w:b/>
          <w:bCs/>
        </w:rPr>
        <w:t xml:space="preserve">Ruta V: El Transductor (La Señal contra el Sistema)</w:t>
      </w:r>
    </w:p>
    <w:p>
      <w:pPr>
        <w:pStyle w:val="Compact"/>
        <w:numPr>
          <w:ilvl w:val="1"/>
          <w:numId w:val="1009"/>
        </w:numPr>
      </w:pPr>
      <w:r>
        <w:t xml:space="preserve">Cap I: Lo Transductor → El Código de Turing → El Suicidio de Boltzmann → Cap V: La Genialidad como Estadística (Semmelweis, Baker, Gould) → Cap VI (Renacimiento).</w:t>
      </w:r>
    </w:p>
    <w:p>
      <w:pPr>
        <w:pStyle w:val="Compact"/>
        <w:numPr>
          <w:ilvl w:val="1"/>
          <w:numId w:val="1009"/>
        </w:numPr>
      </w:pPr>
      <w:r>
        <w:rPr>
          <w:i/>
          <w:iCs/>
        </w:rPr>
        <w:t xml:space="preserve">Objetivo:</w:t>
      </w:r>
      <w:r>
        <w:t xml:space="preserve"> </w:t>
      </w:r>
      <w:r>
        <w:t xml:space="preserve">Medir la señal por la resistencia del sistema: la genialidad vale lo que el sistema paga por bloquearla.</w:t>
      </w:r>
    </w:p>
    <w:p>
      <w:pPr>
        <w:pStyle w:val="Compact"/>
        <w:numPr>
          <w:ilvl w:val="0"/>
          <w:numId w:val="1004"/>
        </w:numPr>
      </w:pPr>
      <w:r>
        <w:rPr>
          <w:b/>
          <w:bCs/>
        </w:rPr>
        <w:t xml:space="preserve">Ruta Cortafuegos (La Pasada del Manifiesto)</w:t>
      </w:r>
    </w:p>
    <w:p>
      <w:pPr>
        <w:pStyle w:val="Compact"/>
        <w:numPr>
          <w:ilvl w:val="1"/>
          <w:numId w:val="1010"/>
        </w:numPr>
      </w:pPr>
      <w:r>
        <w:t xml:space="preserve">Página Cero → Preliminares →</w:t>
      </w:r>
      <w:r>
        <w:t xml:space="preserve"> </w:t>
      </w:r>
      <w:hyperlink w:anchor="epilogo-ley-innata">
        <w:r>
          <w:rPr>
            <w:rStyle w:val="Hyperlink"/>
          </w:rPr>
          <w:t xml:space="preserve">Epílogo: La Ley Innata</w:t>
        </w:r>
      </w:hyperlink>
      <w:r>
        <w:t xml:space="preserve"> </w:t>
      </w:r>
      <w:r>
        <w:t xml:space="preserve">→</w:t>
      </w:r>
      <w:r>
        <w:t xml:space="preserve"> </w:t>
      </w:r>
      <w:hyperlink w:anchor="apendice-auditoria-c5">
        <w:r>
          <w:rPr>
            <w:rStyle w:val="Hyperlink"/>
          </w:rPr>
          <w:t xml:space="preserve">Apéndice: Auditoría C5 Linter</w:t>
        </w:r>
      </w:hyperlink>
      <w:r>
        <w:t xml:space="preserve">.</w:t>
      </w:r>
    </w:p>
    <w:p>
      <w:pPr>
        <w:pStyle w:val="Compact"/>
        <w:numPr>
          <w:ilvl w:val="1"/>
          <w:numId w:val="1010"/>
        </w:numPr>
      </w:pPr>
      <w:r>
        <w:rPr>
          <w:i/>
          <w:iCs/>
        </w:rPr>
        <w:t xml:space="preserve">Objetivo:</w:t>
      </w:r>
      <w:r>
        <w:t xml:space="preserve"> </w:t>
      </w:r>
      <w:r>
        <w:t xml:space="preserve">Capturar la arquitectura del sistema en una pasada de compresión informacional.</w:t>
      </w:r>
    </w:p>
    <w:p>
      <w:r>
        <w:pict>
          <v:rect style="width:0;height:1.5pt" o:hralign="center" o:hrstd="t" o:hr="t"/>
        </w:pict>
      </w:r>
    </w:p>
    <w:bookmarkEnd w:id="27"/>
    <w:bookmarkStart w:id="29" w:name="los-6-axiomas-invariantes-núcleo-c5-real"/>
    <w:p>
      <w:pPr>
        <w:pStyle w:val="Heading2"/>
      </w:pPr>
      <w:r>
        <w:t xml:space="preserve">LOS 6 AXIOMAS INVARIANTES (NÚCLEO C5-REAL)</w:t>
      </w:r>
    </w:p>
    <w:p>
      <w:pPr>
        <w:pStyle w:val="FirstParagraph"/>
      </w:pPr>
      <w:r>
        <w:t xml:space="preserve">Toda la deducción teórica, empírica y forense de</w:t>
      </w:r>
      <w:r>
        <w:t xml:space="preserve"> </w:t>
      </w:r>
      <w:r>
        <w:rPr>
          <w:i/>
          <w:iCs/>
        </w:rPr>
        <w:t xml:space="preserve">FRASES SIN NATA</w:t>
      </w:r>
      <w:r>
        <w:t xml:space="preserve"> </w:t>
      </w:r>
      <w:r>
        <w:t xml:space="preserve">no ofrece opiniones ni</w:t>
      </w:r>
      <w:r>
        <w:t xml:space="preserve"> </w:t>
      </w:r>
      <w:r>
        <w:t xml:space="preserve">“conclusiones”</w:t>
      </w:r>
      <w:r>
        <w:t xml:space="preserve"> </w:t>
      </w:r>
      <w:r>
        <w:t xml:space="preserve">discursivas: colapsa en</w:t>
      </w:r>
      <w:r>
        <w:t xml:space="preserve"> </w:t>
      </w:r>
      <w:r>
        <w:rPr>
          <w:b/>
          <w:bCs/>
        </w:rPr>
        <w:t xml:space="preserve">6 Axiomas Invariantes</w:t>
      </w:r>
      <w:r>
        <w:t xml:space="preserve">:</w:t>
      </w:r>
    </w:p>
    <w:p>
      <w:pPr>
        <w:pStyle w:val="Compact"/>
        <w:numPr>
          <w:ilvl w:val="0"/>
          <w:numId w:val="1011"/>
        </w:numPr>
      </w:pPr>
      <w:r>
        <w:rPr>
          <w:b/>
          <w:bCs/>
        </w:rPr>
        <w:t xml:space="preserve">Axioma I — Compresión y Filtrado Informacional (Chentsov / Fisher):</w:t>
      </w:r>
      <w:r>
        <w:t xml:space="preserve"> </w:t>
      </w:r>
      <w:r>
        <w:t xml:space="preserve">La inteligencia y la abstracción conceptual son compresión de ruido sobre la Métrica de Información de Fisher. Cualquier otra abstracción es confabulación semántica.</w:t>
      </w:r>
    </w:p>
    <w:p>
      <w:pPr>
        <w:pStyle w:val="Compact"/>
        <w:numPr>
          <w:ilvl w:val="0"/>
          <w:numId w:val="1011"/>
        </w:numPr>
      </w:pPr>
      <w:r>
        <w:rPr>
          <w:b/>
          <w:bCs/>
        </w:rPr>
        <w:t xml:space="preserve">Axioma II — Violación del Isomorfismo (Mapa vs. Territorio):</w:t>
      </w:r>
      <w:r>
        <w:t xml:space="preserve"> </w:t>
      </w:r>
      <w:r>
        <w:t xml:space="preserve">Sustituir el territorio por modelos abstractos (métricas, leyes, diagnósticos) omite invariantes físicas latentes, provocando el colapso del sistema al interactuar con el entorno.</w:t>
      </w:r>
    </w:p>
    <w:p>
      <w:pPr>
        <w:pStyle w:val="Compact"/>
        <w:numPr>
          <w:ilvl w:val="0"/>
          <w:numId w:val="1011"/>
        </w:numPr>
      </w:pPr>
      <w:r>
        <w:rPr>
          <w:b/>
          <w:bCs/>
        </w:rPr>
        <w:t xml:space="preserve">Axioma III — Bucle Causal de la Solución Intentada (Watzlawick):</w:t>
      </w:r>
      <w:r>
        <w:t xml:space="preserve"> </w:t>
      </w:r>
      <w:r>
        <w:t xml:space="preserve">La intervención sin calibrar de un regulador actúa como la fuente primaria de energía (feedback positivo) que alimenta el modo de vibración o error del sistema.</w:t>
      </w:r>
    </w:p>
    <w:p>
      <w:pPr>
        <w:pStyle w:val="Compact"/>
        <w:numPr>
          <w:ilvl w:val="0"/>
          <w:numId w:val="1011"/>
        </w:numPr>
      </w:pPr>
      <w:r>
        <w:rPr>
          <w:b/>
          <w:bCs/>
        </w:rPr>
        <w:t xml:space="preserve">Axioma IV — Cinética de Transición de Fase (Kramers):</w:t>
      </w:r>
      <w:r>
        <w:t xml:space="preserve"> </w:t>
      </w:r>
      <w:r>
        <w:t xml:space="preserve">Ningún sistema muta de estado por retórica ni voluntad; el escape de un pozo metastable exige que la fricción interna acumulada supere la barrera de activación (ΔG‡).</w:t>
      </w:r>
    </w:p>
    <w:p>
      <w:pPr>
        <w:pStyle w:val="Compact"/>
        <w:numPr>
          <w:ilvl w:val="0"/>
          <w:numId w:val="1011"/>
        </w:numPr>
      </w:pPr>
      <w:r>
        <w:rPr>
          <w:b/>
          <w:bCs/>
        </w:rPr>
        <w:t xml:space="preserve">Axioma V — Asimetría de Coste de Falsificación (Huella vs. Discurso):</w:t>
      </w:r>
      <w:r>
        <w:t xml:space="preserve"> </w:t>
      </w:r>
      <w:r>
        <w:t xml:space="preserve">Las señales voluntarias (discurso) presentan entropía de manipulación; las huellas físicas involuntarias se acoplan a invariantes irreducibles de coste termodinámico.</w:t>
      </w:r>
    </w:p>
    <w:p>
      <w:pPr>
        <w:pStyle w:val="Compact"/>
        <w:numPr>
          <w:ilvl w:val="0"/>
          <w:numId w:val="1011"/>
        </w:numPr>
      </w:pPr>
      <w:r>
        <w:rPr>
          <w:b/>
          <w:bCs/>
        </w:rPr>
        <w:t xml:space="preserve">Axioma VI — Transducción y Emisión Sostenida (Exergía de Transmisión / Renacimiento):</w:t>
      </w:r>
      <w:r>
        <w:t xml:space="preserve"> </w:t>
      </w:r>
      <w:r>
        <w:t xml:space="preserve">La única resistencia termodinámica frente al caos es actuar como transductor de exergía máxima: absorber la entropía del entorno y emitir estructura a la red.</w:t>
      </w:r>
    </w:p>
    <w:p>
      <w:r>
        <w:pict>
          <v:rect style="width:0;height:1.5pt" o:hralign="center" o:hrstd="t" o:hr="t"/>
        </w:pict>
      </w:r>
    </w:p>
    <w:bookmarkStart w:id="28" w:name="preliminares"/>
    <w:p>
      <w:pPr>
        <w:pStyle w:val="Heading3"/>
      </w:pPr>
      <w:r>
        <w:t xml:space="preserve">PRELIMINARES</w:t>
      </w:r>
    </w:p>
    <w:p>
      <w:pPr>
        <w:pStyle w:val="Compact"/>
        <w:numPr>
          <w:ilvl w:val="0"/>
          <w:numId w:val="1012"/>
        </w:numPr>
      </w:pPr>
      <w:r>
        <w:rPr>
          <w:b/>
          <w:bCs/>
        </w:rPr>
        <w:t xml:space="preserve">PRELIMINARES.md</w:t>
      </w:r>
      <w:r>
        <w:t xml:space="preserve"> </w:t>
      </w:r>
      <w:r>
        <w:t xml:space="preserve">— Página Cero (Contrato Epistémico), Dulce Introducción al Caos (Homenaje a Robe Iniesta, 2008),</w:t>
      </w:r>
      <w:r>
        <w:t xml:space="preserve"> </w:t>
      </w:r>
      <w:hyperlink w:anchor="cibernetica-para-un-mamon">
        <w:r>
          <w:rPr>
            <w:rStyle w:val="Hyperlink"/>
          </w:rPr>
          <w:t xml:space="preserve">Cibernética para un mamón (Deconstrucción de «Ética para Amador»)</w:t>
        </w:r>
      </w:hyperlink>
      <w:r>
        <w:t xml:space="preserve"> </w:t>
      </w:r>
      <w:r>
        <w:t xml:space="preserve">y El Motor Causal C5-REAL.</w:t>
      </w:r>
    </w:p>
    <w:p>
      <w:r>
        <w:pict>
          <v:rect style="width:0;height:1.5pt" o:hralign="center" o:hrstd="t" o:hr="t"/>
        </w:pict>
      </w:r>
    </w:p>
    <w:bookmarkEnd w:id="28"/>
    <w:bookmarkEnd w:id="29"/>
    <w:bookmarkStart w:id="32" w:name="X33c2b52ba8f2d1ecc60c5cfb87e267769376796"/>
    <w:p>
      <w:pPr>
        <w:pStyle w:val="Heading2"/>
      </w:pPr>
      <w:r>
        <w:t xml:space="preserve">PARTE I: LA NORMALIDAD (El Mapeo de la Ilusión)</w:t>
      </w:r>
    </w:p>
    <w:bookmarkStart w:id="30" w:name="X6d76b34498eab688f313ae447de72408b086e3b"/>
    <w:p>
      <w:pPr>
        <w:pStyle w:val="Heading3"/>
      </w:pPr>
      <w:r>
        <w:t xml:space="preserve">CAPÍTULO I: FISHER (Transformar Ruido en Conceptos)</w:t>
      </w:r>
    </w:p>
    <w:p>
      <w:pPr>
        <w:pStyle w:val="Compact"/>
        <w:numPr>
          <w:ilvl w:val="0"/>
          <w:numId w:val="1013"/>
        </w:numPr>
      </w:pPr>
      <w:r>
        <w:rPr>
          <w:b/>
          <w:bCs/>
        </w:rPr>
        <w:t xml:space="preserve">CAPITULO_I_FISHER.md</w:t>
      </w:r>
      <w:r>
        <w:t xml:space="preserve"> </w:t>
      </w:r>
      <w:r>
        <w:t xml:space="preserve">— Contiene la teoría del filtrado de la realidad:</w:t>
      </w:r>
    </w:p>
    <w:p>
      <w:pPr>
        <w:pStyle w:val="Compact"/>
        <w:numPr>
          <w:ilvl w:val="1"/>
          <w:numId w:val="1014"/>
        </w:numPr>
      </w:pPr>
    </w:p>
    <w:p>
      <w:pPr>
        <w:pStyle w:val="Compact"/>
        <w:numPr>
          <w:ilvl w:val="2"/>
          <w:numId w:val="1015"/>
        </w:numPr>
      </w:pPr>
      <w:r>
        <w:t xml:space="preserve">Geometría Epistémica, Cota de Cramér-Rao y Teorema de Chentsov.</w:t>
      </w:r>
    </w:p>
    <w:p>
      <w:pPr>
        <w:pStyle w:val="Compact"/>
        <w:numPr>
          <w:ilvl w:val="1"/>
          <w:numId w:val="1014"/>
        </w:numPr>
      </w:pPr>
      <w:r>
        <w:t xml:space="preserve">2. Hechos Probados (</w:t>
      </w:r>
      <w:hyperlink w:anchor="caso-moneyball">
        <w:r>
          <w:rPr>
            <w:rStyle w:val="Hyperlink"/>
          </w:rPr>
          <w:t xml:space="preserve">Caso 1.1: Moneyball</w:t>
        </w:r>
      </w:hyperlink>
      <w:r>
        <w:t xml:space="preserve">;</w:t>
      </w:r>
      <w:r>
        <w:t xml:space="preserve"> </w:t>
      </w:r>
      <w:hyperlink w:anchor="caso-semmelweis">
        <w:r>
          <w:rPr>
            <w:rStyle w:val="Hyperlink"/>
          </w:rPr>
          <w:t xml:space="preserve">Caso 1.2: Semmelweis</w:t>
        </w:r>
      </w:hyperlink>
      <w:r>
        <w:t xml:space="preserve">;</w:t>
      </w:r>
      <w:r>
        <w:t xml:space="preserve"> </w:t>
      </w:r>
      <w:hyperlink w:anchor="caso-serie-armonica">
        <w:r>
          <w:rPr>
            <w:rStyle w:val="Hyperlink"/>
          </w:rPr>
          <w:t xml:space="preserve">Caso 1.3: La Serie Armónica</w:t>
        </w:r>
      </w:hyperlink>
      <w:r>
        <w:t xml:space="preserve">;</w:t>
      </w:r>
      <w:r>
        <w:t xml:space="preserve"> </w:t>
      </w:r>
      <w:hyperlink w:anchor="caso-john-cage">
        <w:r>
          <w:rPr>
            <w:rStyle w:val="Hyperlink"/>
          </w:rPr>
          <w:t xml:space="preserve">Caso 1.4: John Cage</w:t>
        </w:r>
      </w:hyperlink>
      <w:r>
        <w:t xml:space="preserve">).</w:t>
      </w:r>
    </w:p>
    <w:p>
      <w:pPr>
        <w:pStyle w:val="Compact"/>
        <w:numPr>
          <w:ilvl w:val="1"/>
          <w:numId w:val="1014"/>
        </w:numPr>
      </w:pPr>
      <w:r>
        <w:t xml:space="preserve">3. Invariante Operativo.</w:t>
      </w:r>
    </w:p>
    <w:p>
      <w:pPr>
        <w:pStyle w:val="Compact"/>
        <w:numPr>
          <w:ilvl w:val="1"/>
          <w:numId w:val="1014"/>
        </w:numPr>
      </w:pPr>
      <w:r>
        <w:t xml:space="preserve">4. Lo Transductor.</w:t>
      </w:r>
    </w:p>
    <w:p>
      <w:pPr>
        <w:pStyle w:val="Compact"/>
        <w:numPr>
          <w:ilvl w:val="1"/>
          <w:numId w:val="1014"/>
        </w:numPr>
      </w:pPr>
      <w:r>
        <w:t xml:space="preserve">5. La Compresión de Nash.</w:t>
      </w:r>
    </w:p>
    <w:p>
      <w:pPr>
        <w:pStyle w:val="Compact"/>
        <w:numPr>
          <w:ilvl w:val="1"/>
          <w:numId w:val="1014"/>
        </w:numPr>
      </w:pPr>
      <w:r>
        <w:t xml:space="preserve">6. El Código de Turing.</w:t>
      </w:r>
    </w:p>
    <w:p>
      <w:pPr>
        <w:pStyle w:val="Compact"/>
        <w:numPr>
          <w:ilvl w:val="1"/>
          <w:numId w:val="1014"/>
        </w:numPr>
      </w:pPr>
      <w:r>
        <w:t xml:space="preserve">7. El Suicidio de Boltzmann.</w:t>
      </w:r>
    </w:p>
    <w:p>
      <w:pPr>
        <w:pStyle w:val="Compact"/>
        <w:numPr>
          <w:ilvl w:val="1"/>
          <w:numId w:val="1014"/>
        </w:numPr>
      </w:pPr>
      <w:r>
        <w:t xml:space="preserve">8. La Barrera de la Física Cuántica.</w:t>
      </w:r>
    </w:p>
    <w:bookmarkEnd w:id="30"/>
    <w:bookmarkStart w:id="31" w:name="Xd369e93c76d5a70efcd90b325e043890fba765e"/>
    <w:p>
      <w:pPr>
        <w:pStyle w:val="Heading3"/>
      </w:pPr>
      <w:r>
        <w:t xml:space="preserve">CAPÍTULO II: MAPA (Confundir Mapa con Territorio)</w:t>
      </w:r>
    </w:p>
    <w:p>
      <w:pPr>
        <w:pStyle w:val="Compact"/>
        <w:numPr>
          <w:ilvl w:val="0"/>
          <w:numId w:val="1016"/>
        </w:numPr>
      </w:pPr>
      <w:r>
        <w:rPr>
          <w:b/>
          <w:bCs/>
        </w:rPr>
        <w:t xml:space="preserve">CAPITULO_II_MAPA.md</w:t>
      </w:r>
    </w:p>
    <w:p>
      <w:pPr>
        <w:pStyle w:val="Compact"/>
        <w:numPr>
          <w:ilvl w:val="1"/>
          <w:numId w:val="1017"/>
        </w:numPr>
      </w:pPr>
    </w:p>
    <w:p>
      <w:pPr>
        <w:pStyle w:val="Compact"/>
        <w:numPr>
          <w:ilvl w:val="2"/>
          <w:numId w:val="1018"/>
        </w:numPr>
      </w:pPr>
      <w:r>
        <w:t xml:space="preserve">Bisimulación y Complemento Ortogonal.</w:t>
      </w:r>
    </w:p>
    <w:p>
      <w:pPr>
        <w:pStyle w:val="Compact"/>
        <w:numPr>
          <w:ilvl w:val="1"/>
          <w:numId w:val="1017"/>
        </w:numPr>
      </w:pPr>
      <w:r>
        <w:t xml:space="preserve">2. Hechos Probados (</w:t>
      </w:r>
      <w:hyperlink w:anchor="caso-gaussiana">
        <w:r>
          <w:rPr>
            <w:rStyle w:val="Hyperlink"/>
          </w:rPr>
          <w:t xml:space="preserve">Caso 2.1: La Cópula Gaussiana</w:t>
        </w:r>
      </w:hyperlink>
      <w:r>
        <w:t xml:space="preserve">;</w:t>
      </w:r>
      <w:r>
        <w:t xml:space="preserve"> </w:t>
      </w:r>
      <w:hyperlink w:anchor="caso-challenger">
        <w:r>
          <w:rPr>
            <w:rStyle w:val="Hyperlink"/>
          </w:rPr>
          <w:t xml:space="preserve">Caso 2.2: El Desastre del Challenger</w:t>
        </w:r>
      </w:hyperlink>
      <w:r>
        <w:t xml:space="preserve">;</w:t>
      </w:r>
      <w:r>
        <w:t xml:space="preserve"> </w:t>
      </w:r>
      <w:hyperlink w:anchor="caso-milli-vanilli">
        <w:r>
          <w:rPr>
            <w:rStyle w:val="Hyperlink"/>
          </w:rPr>
          <w:t xml:space="preserve">Caso 2.3: Milli Vanilli</w:t>
        </w:r>
      </w:hyperlink>
      <w:r>
        <w:t xml:space="preserve">;</w:t>
      </w:r>
      <w:r>
        <w:t xml:space="preserve"> </w:t>
      </w:r>
      <w:hyperlink w:anchor="caso-loudness-war">
        <w:r>
          <w:rPr>
            <w:rStyle w:val="Hyperlink"/>
          </w:rPr>
          <w:t xml:space="preserve">Caso 2.4: La Guerra del Volumen</w:t>
        </w:r>
      </w:hyperlink>
      <w:r>
        <w:t xml:space="preserve">;</w:t>
      </w:r>
      <w:r>
        <w:t xml:space="preserve"> </w:t>
      </w:r>
      <w:hyperlink w:anchor="caso-ia-loros">
        <w:r>
          <w:rPr>
            <w:rStyle w:val="Hyperlink"/>
          </w:rPr>
          <w:t xml:space="preserve">Caso 2.5: La Quiebra de Bisimulación en la IA</w:t>
        </w:r>
      </w:hyperlink>
      <w:r>
        <w:t xml:space="preserve">).</w:t>
      </w:r>
    </w:p>
    <w:p>
      <w:pPr>
        <w:pStyle w:val="Compact"/>
        <w:numPr>
          <w:ilvl w:val="1"/>
          <w:numId w:val="1017"/>
        </w:numPr>
      </w:pPr>
      <w:r>
        <w:t xml:space="preserve">3. Invariante Operativo.</w:t>
      </w:r>
    </w:p>
    <w:p>
      <w:pPr>
        <w:pStyle w:val="Compact"/>
        <w:numPr>
          <w:ilvl w:val="1"/>
          <w:numId w:val="1017"/>
        </w:numPr>
      </w:pPr>
      <w:r>
        <w:t xml:space="preserve">4. Lo Conocido.</w:t>
      </w:r>
    </w:p>
    <w:p>
      <w:pPr>
        <w:pStyle w:val="Compact"/>
        <w:numPr>
          <w:ilvl w:val="1"/>
          <w:numId w:val="1017"/>
        </w:numPr>
      </w:pPr>
      <w:r>
        <w:t xml:space="preserve">5. Lo Desconocido.</w:t>
      </w:r>
    </w:p>
    <w:p>
      <w:pPr>
        <w:pStyle w:val="Compact"/>
        <w:numPr>
          <w:ilvl w:val="1"/>
          <w:numId w:val="1017"/>
        </w:numPr>
      </w:pPr>
      <w:r>
        <w:t xml:space="preserve">6.</w:t>
      </w:r>
      <w:r>
        <w:t xml:space="preserve"> </w:t>
      </w:r>
      <w:hyperlink w:anchor="caso-theranos">
        <w:r>
          <w:rPr>
            <w:rStyle w:val="Hyperlink"/>
          </w:rPr>
          <w:t xml:space="preserve">El Colapso de Theranos</w:t>
        </w:r>
      </w:hyperlink>
      <w:r>
        <w:t xml:space="preserve">.</w:t>
      </w:r>
    </w:p>
    <w:p>
      <w:pPr>
        <w:pStyle w:val="Compact"/>
        <w:numPr>
          <w:ilvl w:val="1"/>
          <w:numId w:val="1017"/>
        </w:numPr>
      </w:pPr>
      <w:r>
        <w:t xml:space="preserve">7. El Desastre del Challenger.</w:t>
      </w:r>
    </w:p>
    <w:p>
      <w:pPr>
        <w:pStyle w:val="Compact"/>
        <w:numPr>
          <w:ilvl w:val="1"/>
          <w:numId w:val="1017"/>
        </w:numPr>
      </w:pPr>
      <w:r>
        <w:t xml:space="preserve">8.</w:t>
      </w:r>
      <w:r>
        <w:t xml:space="preserve"> </w:t>
      </w:r>
      <w:hyperlink w:anchor="caso-enron">
        <w:r>
          <w:rPr>
            <w:rStyle w:val="Hyperlink"/>
          </w:rPr>
          <w:t xml:space="preserve">El Colapso de Enron</w:t>
        </w:r>
      </w:hyperlink>
      <w:r>
        <w:t xml:space="preserve">.</w:t>
      </w:r>
    </w:p>
    <w:p>
      <w:pPr>
        <w:pStyle w:val="Compact"/>
        <w:numPr>
          <w:ilvl w:val="1"/>
          <w:numId w:val="1017"/>
        </w:numPr>
      </w:pPr>
      <w:r>
        <w:t xml:space="preserve">9. El Mercado del Arte.</w:t>
      </w:r>
    </w:p>
    <w:p>
      <w:pPr>
        <w:pStyle w:val="Compact"/>
        <w:numPr>
          <w:ilvl w:val="1"/>
          <w:numId w:val="1017"/>
        </w:numPr>
      </w:pPr>
      <w:r>
        <w:t xml:space="preserve">10. El Código Cripto.</w:t>
      </w:r>
    </w:p>
    <w:p>
      <w:pPr>
        <w:pStyle w:val="Compact"/>
        <w:numPr>
          <w:ilvl w:val="1"/>
          <w:numId w:val="1017"/>
        </w:numPr>
      </w:pPr>
      <w:r>
        <w:t xml:space="preserve">11. El Laberinto de Hacienda.</w:t>
      </w:r>
    </w:p>
    <w:p>
      <w:pPr>
        <w:pStyle w:val="Compact"/>
        <w:numPr>
          <w:ilvl w:val="1"/>
          <w:numId w:val="1017"/>
        </w:numPr>
      </w:pPr>
      <w:r>
        <w:t xml:space="preserve">12. La Falacia de la Pos-Escasez Médica.</w:t>
      </w:r>
    </w:p>
    <w:p>
      <w:pPr>
        <w:pStyle w:val="Compact"/>
        <w:numPr>
          <w:ilvl w:val="1"/>
          <w:numId w:val="1017"/>
        </w:numPr>
      </w:pPr>
      <w:r>
        <w:t xml:space="preserve">13.</w:t>
      </w:r>
      <w:r>
        <w:t xml:space="preserve"> </w:t>
      </w:r>
      <w:hyperlink w:anchor="caso-alucinacion-ia">
        <w:r>
          <w:rPr>
            <w:rStyle w:val="Hyperlink"/>
          </w:rPr>
          <w:t xml:space="preserve">La Alucinación de la Inteligencia Artificial Comercial</w:t>
        </w:r>
      </w:hyperlink>
      <w:r>
        <w:t xml:space="preserve">.</w:t>
      </w:r>
    </w:p>
    <w:p>
      <w:r>
        <w:pict>
          <v:rect style="width:0;height:1.5pt" o:hralign="center" o:hrstd="t" o:hr="t"/>
        </w:pict>
      </w:r>
    </w:p>
    <w:bookmarkEnd w:id="31"/>
    <w:bookmarkEnd w:id="32"/>
    <w:bookmarkStart w:id="35" w:name="X406b20e44b15085567329e606abb786a16f2878"/>
    <w:p>
      <w:pPr>
        <w:pStyle w:val="Heading2"/>
      </w:pPr>
      <w:r>
        <w:t xml:space="preserve">PARTE II: LA LOCURA (La Quiebra de los Bucles)</w:t>
      </w:r>
    </w:p>
    <w:bookmarkStart w:id="33" w:name="Xd3dedf30389e7942562e4f67fdaf0be79652206"/>
    <w:p>
      <w:pPr>
        <w:pStyle w:val="Heading3"/>
      </w:pPr>
      <w:r>
        <w:t xml:space="preserve">CAPÍTULO III: WATZLAWICK (La Solución Intentada es el Problema)</w:t>
      </w:r>
    </w:p>
    <w:p>
      <w:pPr>
        <w:pStyle w:val="Compact"/>
        <w:numPr>
          <w:ilvl w:val="0"/>
          <w:numId w:val="1019"/>
        </w:numPr>
      </w:pPr>
      <w:r>
        <w:rPr>
          <w:b/>
          <w:bCs/>
        </w:rPr>
        <w:t xml:space="preserve">CAPITULO_III_WATZLAWICK.md</w:t>
      </w:r>
      <w:r>
        <w:t xml:space="preserve"> </w:t>
      </w:r>
      <w:r>
        <w:t xml:space="preserve">— Contiene el análisis forense de bucles descalibrados:</w:t>
      </w:r>
    </w:p>
    <w:p>
      <w:pPr>
        <w:pStyle w:val="Compact"/>
        <w:numPr>
          <w:ilvl w:val="1"/>
          <w:numId w:val="1020"/>
        </w:numPr>
      </w:pPr>
    </w:p>
    <w:p>
      <w:pPr>
        <w:pStyle w:val="Compact"/>
        <w:numPr>
          <w:ilvl w:val="2"/>
          <w:numId w:val="1021"/>
        </w:numPr>
      </w:pPr>
      <w:r>
        <w:t xml:space="preserve">El Regulador de Conant-Ashby.</w:t>
      </w:r>
    </w:p>
    <w:p>
      <w:pPr>
        <w:pStyle w:val="Compact"/>
        <w:numPr>
          <w:ilvl w:val="1"/>
          <w:numId w:val="1020"/>
        </w:numPr>
      </w:pPr>
      <w:r>
        <w:t xml:space="preserve">2.</w:t>
      </w:r>
      <w:r>
        <w:t xml:space="preserve"> </w:t>
      </w:r>
      <w:hyperlink w:anchor="dossier-psiquiatrico">
        <w:r>
          <w:rPr>
            <w:rStyle w:val="Hyperlink"/>
          </w:rPr>
          <w:t xml:space="preserve">Dossier Psiquiátrico: Hechos Probados</w:t>
        </w:r>
      </w:hyperlink>
      <w:r>
        <w:t xml:space="preserve"> </w:t>
      </w:r>
      <w:r>
        <w:t xml:space="preserve">(</w:t>
      </w:r>
      <w:hyperlink w:anchor="caso-dsm-ii">
        <w:r>
          <w:rPr>
            <w:rStyle w:val="Hyperlink"/>
          </w:rPr>
          <w:t xml:space="preserve">Caso 3.1: DSM-II</w:t>
        </w:r>
      </w:hyperlink>
      <w:r>
        <w:t xml:space="preserve">;</w:t>
      </w:r>
      <w:r>
        <w:t xml:space="preserve"> </w:t>
      </w:r>
      <w:hyperlink w:anchor="caso-rosenhan">
        <w:r>
          <w:rPr>
            <w:rStyle w:val="Hyperlink"/>
          </w:rPr>
          <w:t xml:space="preserve">Caso 3.2: Fraude Rosenhan</w:t>
        </w:r>
      </w:hyperlink>
      <w:r>
        <w:t xml:space="preserve">;</w:t>
      </w:r>
      <w:r>
        <w:t xml:space="preserve"> </w:t>
      </w:r>
      <w:hyperlink w:anchor="caso-moncrieff">
        <w:r>
          <w:rPr>
            <w:rStyle w:val="Hyperlink"/>
          </w:rPr>
          <w:t xml:space="preserve">Caso 3.3: Serotonina</w:t>
        </w:r>
      </w:hyperlink>
      <w:r>
        <w:t xml:space="preserve">;</w:t>
      </w:r>
      <w:r>
        <w:t xml:space="preserve"> </w:t>
      </w:r>
      <w:hyperlink w:anchor="caso-study-329">
        <w:r>
          <w:rPr>
            <w:rStyle w:val="Hyperlink"/>
          </w:rPr>
          <w:t xml:space="preserve">Caso 3.4: Study 329</w:t>
        </w:r>
      </w:hyperlink>
      <w:r>
        <w:t xml:space="preserve">;</w:t>
      </w:r>
      <w:r>
        <w:t xml:space="preserve"> </w:t>
      </w:r>
      <w:hyperlink w:anchor="caso-benzodiazepinas">
        <w:r>
          <w:rPr>
            <w:rStyle w:val="Hyperlink"/>
          </w:rPr>
          <w:t xml:space="preserve">Caso 3.5: Benzodiazepinas</w:t>
        </w:r>
      </w:hyperlink>
      <w:r>
        <w:t xml:space="preserve">;</w:t>
      </w:r>
      <w:r>
        <w:t xml:space="preserve"> </w:t>
      </w:r>
      <w:hyperlink w:anchor="caso-lobotomia">
        <w:r>
          <w:rPr>
            <w:rStyle w:val="Hyperlink"/>
          </w:rPr>
          <w:t xml:space="preserve">Caso 3.6: Lobotomía</w:t>
        </w:r>
      </w:hyperlink>
      <w:r>
        <w:t xml:space="preserve">;</w:t>
      </w:r>
      <w:r>
        <w:t xml:space="preserve"> </w:t>
      </w:r>
      <w:hyperlink w:anchor="caso-mkultra">
        <w:r>
          <w:rPr>
            <w:rStyle w:val="Hyperlink"/>
          </w:rPr>
          <w:t xml:space="preserve">Caso 3.7: MKUltra</w:t>
        </w:r>
      </w:hyperlink>
      <w:r>
        <w:t xml:space="preserve">;</w:t>
      </w:r>
      <w:r>
        <w:t xml:space="preserve"> </w:t>
      </w:r>
      <w:hyperlink w:anchor="caso-zyprexa">
        <w:r>
          <w:rPr>
            <w:rStyle w:val="Hyperlink"/>
          </w:rPr>
          <w:t xml:space="preserve">Caso 3.8: Zyprexa</w:t>
        </w:r>
      </w:hyperlink>
      <w:r>
        <w:t xml:space="preserve">;</w:t>
      </w:r>
      <w:r>
        <w:t xml:space="preserve"> </w:t>
      </w:r>
      <w:hyperlink w:anchor="caso-purdue-oxycontin">
        <w:r>
          <w:rPr>
            <w:rStyle w:val="Hyperlink"/>
          </w:rPr>
          <w:t xml:space="preserve">Caso 3.9: OxyContin</w:t>
        </w:r>
      </w:hyperlink>
      <w:r>
        <w:t xml:space="preserve">).</w:t>
      </w:r>
    </w:p>
    <w:p>
      <w:pPr>
        <w:pStyle w:val="Compact"/>
        <w:numPr>
          <w:ilvl w:val="1"/>
          <w:numId w:val="1020"/>
        </w:numPr>
      </w:pPr>
      <w:r>
        <w:t xml:space="preserve">3. Invariante Operativo.</w:t>
      </w:r>
    </w:p>
    <w:p>
      <w:pPr>
        <w:pStyle w:val="Compact"/>
        <w:numPr>
          <w:ilvl w:val="1"/>
          <w:numId w:val="1020"/>
        </w:numPr>
      </w:pPr>
      <w:r>
        <w:t xml:space="preserve">4.</w:t>
      </w:r>
      <w:r>
        <w:t xml:space="preserve"> </w:t>
      </w:r>
      <w:hyperlink w:anchor="motores-watzlawick">
        <w:r>
          <w:rPr>
            <w:rStyle w:val="Hyperlink"/>
          </w:rPr>
          <w:t xml:space="preserve">La Cibernética de Palo Alto: Los Cinco Motores de la Solución Intentada</w:t>
        </w:r>
      </w:hyperlink>
      <w:r>
        <w:t xml:space="preserve">.</w:t>
      </w:r>
    </w:p>
    <w:p>
      <w:pPr>
        <w:pStyle w:val="Compact"/>
        <w:numPr>
          <w:ilvl w:val="1"/>
          <w:numId w:val="1020"/>
        </w:numPr>
      </w:pPr>
      <w:r>
        <w:t xml:space="preserve">5. El Bucle de la Depresión.</w:t>
      </w:r>
    </w:p>
    <w:p>
      <w:pPr>
        <w:pStyle w:val="Compact"/>
        <w:numPr>
          <w:ilvl w:val="1"/>
          <w:numId w:val="1020"/>
        </w:numPr>
      </w:pPr>
      <w:r>
        <w:t xml:space="preserve">6. El Bucle del Déficit de Atención.</w:t>
      </w:r>
    </w:p>
    <w:p>
      <w:pPr>
        <w:pStyle w:val="Compact"/>
        <w:numPr>
          <w:ilvl w:val="1"/>
          <w:numId w:val="1020"/>
        </w:numPr>
      </w:pPr>
      <w:r>
        <w:t xml:space="preserve">7. El Bucle del Pánico.</w:t>
      </w:r>
    </w:p>
    <w:p>
      <w:pPr>
        <w:pStyle w:val="Compact"/>
        <w:numPr>
          <w:ilvl w:val="1"/>
          <w:numId w:val="1020"/>
        </w:numPr>
      </w:pPr>
      <w:r>
        <w:t xml:space="preserve">8. El Bucle de la Esquizofrenia.</w:t>
      </w:r>
    </w:p>
    <w:p>
      <w:pPr>
        <w:pStyle w:val="Compact"/>
        <w:numPr>
          <w:ilvl w:val="1"/>
          <w:numId w:val="1020"/>
        </w:numPr>
      </w:pPr>
      <w:r>
        <w:t xml:space="preserve">9. El Bucle del Trastorno Límite (TLP).</w:t>
      </w:r>
    </w:p>
    <w:p>
      <w:pPr>
        <w:pStyle w:val="Compact"/>
        <w:numPr>
          <w:ilvl w:val="1"/>
          <w:numId w:val="1020"/>
        </w:numPr>
      </w:pPr>
      <w:r>
        <w:t xml:space="preserve">10. El Bucle de la Dopamina.</w:t>
      </w:r>
    </w:p>
    <w:p>
      <w:pPr>
        <w:pStyle w:val="Compact"/>
        <w:numPr>
          <w:ilvl w:val="1"/>
          <w:numId w:val="1020"/>
        </w:numPr>
      </w:pPr>
      <w:r>
        <w:t xml:space="preserve">11. La Cosecha de la Indignación.</w:t>
      </w:r>
    </w:p>
    <w:p>
      <w:pPr>
        <w:pStyle w:val="Compact"/>
        <w:numPr>
          <w:ilvl w:val="1"/>
          <w:numId w:val="1020"/>
        </w:numPr>
      </w:pPr>
      <w:r>
        <w:t xml:space="preserve">12. El Bucle de la Burocracia y la Gobernanza.</w:t>
      </w:r>
    </w:p>
    <w:p>
      <w:pPr>
        <w:pStyle w:val="Compact"/>
        <w:numPr>
          <w:ilvl w:val="1"/>
          <w:numId w:val="1020"/>
        </w:numPr>
      </w:pPr>
      <w:r>
        <w:t xml:space="preserve">13. Anexo Sonoro: Audio-Anclajes.</w:t>
      </w:r>
    </w:p>
    <w:bookmarkEnd w:id="33"/>
    <w:bookmarkStart w:id="34" w:name="X87f1a21daf246941059311c91d47f66bf67b7bf"/>
    <w:p>
      <w:pPr>
        <w:pStyle w:val="Heading3"/>
      </w:pPr>
      <w:r>
        <w:t xml:space="preserve">CAPÍTULO IV: KRAMERS (La Inercia y la Barrera de Activación)</w:t>
      </w:r>
    </w:p>
    <w:p>
      <w:pPr>
        <w:pStyle w:val="Compact"/>
        <w:numPr>
          <w:ilvl w:val="0"/>
          <w:numId w:val="1022"/>
        </w:numPr>
      </w:pPr>
      <w:r>
        <w:rPr>
          <w:b/>
          <w:bCs/>
        </w:rPr>
        <w:t xml:space="preserve">CAPITULO_IV_KRAMERS.md</w:t>
      </w:r>
    </w:p>
    <w:p>
      <w:pPr>
        <w:pStyle w:val="Compact"/>
        <w:numPr>
          <w:ilvl w:val="1"/>
          <w:numId w:val="1023"/>
        </w:numPr>
      </w:pPr>
    </w:p>
    <w:p>
      <w:pPr>
        <w:pStyle w:val="Compact"/>
        <w:numPr>
          <w:ilvl w:val="2"/>
          <w:numId w:val="1024"/>
        </w:numPr>
      </w:pPr>
      <w:r>
        <w:t xml:space="preserve">La Barrera de Energía de Kramers.</w:t>
      </w:r>
    </w:p>
    <w:p>
      <w:pPr>
        <w:pStyle w:val="Compact"/>
        <w:numPr>
          <w:ilvl w:val="1"/>
          <w:numId w:val="1023"/>
        </w:numPr>
      </w:pPr>
      <w:r>
        <w:t xml:space="preserve">2. Hechos Probados (</w:t>
      </w:r>
      <w:hyperlink w:anchor="caso-kodak">
        <w:r>
          <w:rPr>
            <w:rStyle w:val="Hyperlink"/>
          </w:rPr>
          <w:t xml:space="preserve">Caso 4.1: Kodak</w:t>
        </w:r>
      </w:hyperlink>
      <w:r>
        <w:t xml:space="preserve">;</w:t>
      </w:r>
      <w:r>
        <w:t xml:space="preserve"> </w:t>
      </w:r>
      <w:hyperlink w:anchor="caso-blockbuster">
        <w:r>
          <w:rPr>
            <w:rStyle w:val="Hyperlink"/>
          </w:rPr>
          <w:t xml:space="preserve">Caso 4.2: Blockbuster</w:t>
        </w:r>
      </w:hyperlink>
      <w:r>
        <w:t xml:space="preserve">;</w:t>
      </w:r>
      <w:r>
        <w:t xml:space="preserve"> </w:t>
      </w:r>
      <w:hyperlink w:anchor="caso-jarrett">
        <w:r>
          <w:rPr>
            <w:rStyle w:val="Hyperlink"/>
          </w:rPr>
          <w:t xml:space="preserve">Caso 4.3: Keith Jarrett</w:t>
        </w:r>
      </w:hyperlink>
      <w:r>
        <w:t xml:space="preserve">;</w:t>
      </w:r>
      <w:r>
        <w:t xml:space="preserve"> </w:t>
      </w:r>
      <w:hyperlink w:anchor="caso-dylan">
        <w:r>
          <w:rPr>
            <w:rStyle w:val="Hyperlink"/>
          </w:rPr>
          <w:t xml:space="preserve">Caso 4.4: Bob Dylan</w:t>
        </w:r>
      </w:hyperlink>
      <w:r>
        <w:t xml:space="preserve">;</w:t>
      </w:r>
      <w:r>
        <w:t xml:space="preserve"> </w:t>
      </w:r>
      <w:hyperlink w:anchor="caso-intel">
        <w:r>
          <w:rPr>
            <w:rStyle w:val="Hyperlink"/>
          </w:rPr>
          <w:t xml:space="preserve">Caso 4.5: Intel DRAM</w:t>
        </w:r>
      </w:hyperlink>
      <w:r>
        <w:t xml:space="preserve">).</w:t>
      </w:r>
    </w:p>
    <w:p>
      <w:pPr>
        <w:pStyle w:val="Compact"/>
        <w:numPr>
          <w:ilvl w:val="1"/>
          <w:numId w:val="1023"/>
        </w:numPr>
      </w:pPr>
      <w:r>
        <w:t xml:space="preserve">3. Invariante Operativo.</w:t>
      </w:r>
    </w:p>
    <w:p>
      <w:pPr>
        <w:pStyle w:val="Compact"/>
        <w:numPr>
          <w:ilvl w:val="1"/>
          <w:numId w:val="1023"/>
        </w:numPr>
      </w:pPr>
      <w:r>
        <w:t xml:space="preserve">4. Lo Transgresivo (Epílogo y Homenaje a Roberto Iniesta).</w:t>
      </w:r>
    </w:p>
    <w:p>
      <w:pPr>
        <w:pStyle w:val="Compact"/>
        <w:numPr>
          <w:ilvl w:val="1"/>
          <w:numId w:val="1023"/>
        </w:numPr>
      </w:pPr>
      <w:r>
        <w:t xml:space="preserve">5. La Barrera de Activación.</w:t>
      </w:r>
    </w:p>
    <w:p>
      <w:pPr>
        <w:pStyle w:val="Compact"/>
        <w:numPr>
          <w:ilvl w:val="1"/>
          <w:numId w:val="1023"/>
        </w:numPr>
      </w:pPr>
      <w:r>
        <w:t xml:space="preserve">6.</w:t>
      </w:r>
      <w:r>
        <w:t xml:space="preserve"> </w:t>
      </w:r>
      <w:hyperlink w:anchor="caso-kodak">
        <w:r>
          <w:rPr>
            <w:rStyle w:val="Hyperlink"/>
          </w:rPr>
          <w:t xml:space="preserve">El Colapso de Kodak</w:t>
        </w:r>
      </w:hyperlink>
      <w:r>
        <w:t xml:space="preserve">.</w:t>
      </w:r>
    </w:p>
    <w:p>
      <w:pPr>
        <w:pStyle w:val="Compact"/>
        <w:numPr>
          <w:ilvl w:val="1"/>
          <w:numId w:val="1023"/>
        </w:numPr>
      </w:pPr>
      <w:r>
        <w:t xml:space="preserve">7.</w:t>
      </w:r>
      <w:r>
        <w:t xml:space="preserve"> </w:t>
      </w:r>
      <w:hyperlink w:anchor="caso-blockbuster">
        <w:r>
          <w:rPr>
            <w:rStyle w:val="Hyperlink"/>
          </w:rPr>
          <w:t xml:space="preserve">El Colapso de Blockbuster</w:t>
        </w:r>
      </w:hyperlink>
      <w:r>
        <w:t xml:space="preserve"> </w:t>
      </w:r>
      <w:r>
        <w:t xml:space="preserve">(Caso 4.2).</w:t>
      </w:r>
    </w:p>
    <w:p>
      <w:pPr>
        <w:pStyle w:val="Compact"/>
        <w:numPr>
          <w:ilvl w:val="1"/>
          <w:numId w:val="1023"/>
        </w:numPr>
      </w:pPr>
      <w:r>
        <w:t xml:space="preserve">8. La Arquitectura Brutalista.</w:t>
      </w:r>
    </w:p>
    <w:p>
      <w:pPr>
        <w:pStyle w:val="Compact"/>
        <w:numPr>
          <w:ilvl w:val="1"/>
          <w:numId w:val="1023"/>
        </w:numPr>
      </w:pPr>
      <w:r>
        <w:t xml:space="preserve">9. El Cocodrilo del Nilo.</w:t>
      </w:r>
    </w:p>
    <w:p>
      <w:r>
        <w:pict>
          <v:rect style="width:0;height:1.5pt" o:hralign="center" o:hrstd="t" o:hr="t"/>
        </w:pict>
      </w:r>
    </w:p>
    <w:bookmarkEnd w:id="34"/>
    <w:bookmarkEnd w:id="35"/>
    <w:bookmarkStart w:id="40" w:name="Xe216316c681280eed19962daa0a7c7d3b15d38d"/>
    <w:p>
      <w:pPr>
        <w:pStyle w:val="Heading2"/>
      </w:pPr>
      <w:r>
        <w:t xml:space="preserve">PARTE III: LA GENIALIDAD (El Transductor y la Huella)</w:t>
      </w:r>
    </w:p>
    <w:bookmarkStart w:id="36" w:name="Xe0cb647f69f351fd2a598b4e0cd78a35cd58c0a"/>
    <w:p>
      <w:pPr>
        <w:pStyle w:val="Heading3"/>
      </w:pPr>
      <w:r>
        <w:t xml:space="preserve">CAPÍTULO V: HUELLA (La Huella Vale Más que el Discurso)</w:t>
      </w:r>
    </w:p>
    <w:p>
      <w:pPr>
        <w:pStyle w:val="Compact"/>
        <w:numPr>
          <w:ilvl w:val="0"/>
          <w:numId w:val="1025"/>
        </w:numPr>
      </w:pPr>
      <w:r>
        <w:rPr>
          <w:b/>
          <w:bCs/>
        </w:rPr>
        <w:t xml:space="preserve">CAPITULO_V_HUELLA.md</w:t>
      </w:r>
      <w:r>
        <w:t xml:space="preserve"> </w:t>
      </w:r>
      <w:r>
        <w:t xml:space="preserve">— Contiene el registro de energía de impacto:</w:t>
      </w:r>
    </w:p>
    <w:p>
      <w:pPr>
        <w:pStyle w:val="Compact"/>
        <w:numPr>
          <w:ilvl w:val="1"/>
          <w:numId w:val="1026"/>
        </w:numPr>
      </w:pPr>
    </w:p>
    <w:p>
      <w:pPr>
        <w:pStyle w:val="Compact"/>
        <w:numPr>
          <w:ilvl w:val="2"/>
          <w:numId w:val="1027"/>
        </w:numPr>
      </w:pPr>
      <w:r>
        <w:t xml:space="preserve">Asimetría del Coste de Emisión.</w:t>
      </w:r>
    </w:p>
    <w:p>
      <w:pPr>
        <w:pStyle w:val="Compact"/>
        <w:numPr>
          <w:ilvl w:val="1"/>
          <w:numId w:val="1026"/>
        </w:numPr>
      </w:pPr>
      <w:r>
        <w:t xml:space="preserve">2. Hechos Probados (</w:t>
      </w:r>
      <w:hyperlink w:anchor="caso-ftx">
        <w:r>
          <w:rPr>
            <w:rStyle w:val="Hyperlink"/>
          </w:rPr>
          <w:t xml:space="preserve">Caso 5.1: FTX</w:t>
        </w:r>
      </w:hyperlink>
      <w:r>
        <w:t xml:space="preserve">;</w:t>
      </w:r>
      <w:r>
        <w:t xml:space="preserve"> </w:t>
      </w:r>
      <w:hyperlink w:anchor="caso-gould">
        <w:r>
          <w:rPr>
            <w:rStyle w:val="Hyperlink"/>
          </w:rPr>
          <w:t xml:space="preserve">Caso 5.2: Glenn Gould</w:t>
        </w:r>
      </w:hyperlink>
      <w:r>
        <w:t xml:space="preserve">;</w:t>
      </w:r>
      <w:r>
        <w:t xml:space="preserve"> </w:t>
      </w:r>
      <w:hyperlink w:anchor="caso-chet-baker">
        <w:r>
          <w:rPr>
            <w:rStyle w:val="Hyperlink"/>
          </w:rPr>
          <w:t xml:space="preserve">Caso 5.3: Chet Baker</w:t>
        </w:r>
      </w:hyperlink>
      <w:r>
        <w:t xml:space="preserve">;</w:t>
      </w:r>
      <w:r>
        <w:t xml:space="preserve"> </w:t>
      </w:r>
      <w:hyperlink w:anchor="caso-rubin-cash">
        <w:r>
          <w:rPr>
            <w:rStyle w:val="Hyperlink"/>
          </w:rPr>
          <w:t xml:space="preserve">Caso 5.4: Rick Rubin y Johnny Cash en Hurt</w:t>
        </w:r>
      </w:hyperlink>
      <w:r>
        <w:t xml:space="preserve">;</w:t>
      </w:r>
      <w:r>
        <w:t xml:space="preserve"> </w:t>
      </w:r>
      <w:hyperlink w:anchor="caso-rubin-radiohead">
        <w:r>
          <w:rPr>
            <w:rStyle w:val="Hyperlink"/>
          </w:rPr>
          <w:t xml:space="preserve">Caso 5.5: Rick Rubin y Radiohead</w:t>
        </w:r>
      </w:hyperlink>
      <w:r>
        <w:t xml:space="preserve">;</w:t>
      </w:r>
      <w:r>
        <w:t xml:space="preserve"> </w:t>
      </w:r>
      <w:hyperlink w:anchor="caso-technoself">
        <w:r>
          <w:rPr>
            <w:rStyle w:val="Hyperlink"/>
          </w:rPr>
          <w:t xml:space="preserve">Caso 5.6: Deantoni Parks y el Technoself</w:t>
        </w:r>
      </w:hyperlink>
      <w:r>
        <w:t xml:space="preserve">;</w:t>
      </w:r>
      <w:r>
        <w:t xml:space="preserve"> </w:t>
      </w:r>
      <w:hyperlink w:anchor="caso-james-rhodes">
        <w:r>
          <w:rPr>
            <w:rStyle w:val="Hyperlink"/>
          </w:rPr>
          <w:t xml:space="preserve">Caso 5.7: James Rhodes y la Filantropía de Escaparate</w:t>
        </w:r>
      </w:hyperlink>
      <w:r>
        <w:t xml:space="preserve">).</w:t>
      </w:r>
    </w:p>
    <w:p>
      <w:pPr>
        <w:pStyle w:val="Compact"/>
        <w:numPr>
          <w:ilvl w:val="1"/>
          <w:numId w:val="1026"/>
        </w:numPr>
      </w:pPr>
      <w:r>
        <w:t xml:space="preserve">3. La Física de la Emisión y el Modelo de Kuramoto.</w:t>
      </w:r>
    </w:p>
    <w:p>
      <w:pPr>
        <w:pStyle w:val="Compact"/>
        <w:numPr>
          <w:ilvl w:val="1"/>
          <w:numId w:val="1026"/>
        </w:numPr>
      </w:pPr>
      <w:r>
        <w:t xml:space="preserve">4. Algoritmo C5 de Auditoría de Nodos.</w:t>
      </w:r>
    </w:p>
    <w:p>
      <w:pPr>
        <w:pStyle w:val="Compact"/>
        <w:numPr>
          <w:ilvl w:val="1"/>
          <w:numId w:val="1026"/>
        </w:numPr>
      </w:pPr>
      <w:r>
        <w:t xml:space="preserve">5. Deconstrucción de la Autoayuda y la Psicología.</w:t>
      </w:r>
    </w:p>
    <w:p>
      <w:pPr>
        <w:pStyle w:val="Compact"/>
        <w:numPr>
          <w:ilvl w:val="1"/>
          <w:numId w:val="1026"/>
        </w:numPr>
      </w:pPr>
      <w:r>
        <w:t xml:space="preserve">6. Invariante Operativo.</w:t>
      </w:r>
    </w:p>
    <w:p>
      <w:pPr>
        <w:pStyle w:val="Compact"/>
        <w:numPr>
          <w:ilvl w:val="1"/>
          <w:numId w:val="1026"/>
        </w:numPr>
      </w:pPr>
      <w:r>
        <w:t xml:space="preserve">7. La Genialidad (la genialidad como estadística; Semmelweis; subcasos Glenn Gould, Nikola Tesla y Rosalind Franklin; la invariante del retardo; Chet Baker; Robe Iniesta; Jorge Ilegal; Rick Rubin y la sustracción de Hurt; Rick Rubin vs Radiohead; Deantoni Parks; James Rhodes; la genialidad como problema para el sistema; el cierre del triángulo).</w:t>
      </w:r>
    </w:p>
    <w:p>
      <w:pPr>
        <w:pStyle w:val="Compact"/>
        <w:numPr>
          <w:ilvl w:val="1"/>
          <w:numId w:val="1026"/>
        </w:numPr>
      </w:pPr>
      <w:r>
        <w:t xml:space="preserve">8. Cancionero y Tracklist Epistémico.</w:t>
      </w:r>
    </w:p>
    <w:p>
      <w:pPr>
        <w:pStyle w:val="Compact"/>
        <w:numPr>
          <w:ilvl w:val="1"/>
          <w:numId w:val="1026"/>
        </w:numPr>
      </w:pPr>
      <w:r>
        <w:t xml:space="preserve">9. La Termodinámica de la Empatía.</w:t>
      </w:r>
    </w:p>
    <w:p>
      <w:pPr>
        <w:pStyle w:val="Compact"/>
        <w:numPr>
          <w:ilvl w:val="1"/>
          <w:numId w:val="1026"/>
        </w:numPr>
      </w:pPr>
      <w:r>
        <w:t xml:space="preserve">10. La Física de la Resiliencia.</w:t>
      </w:r>
    </w:p>
    <w:p>
      <w:pPr>
        <w:pStyle w:val="Compact"/>
        <w:numPr>
          <w:ilvl w:val="1"/>
          <w:numId w:val="1026"/>
        </w:numPr>
      </w:pPr>
      <w:r>
        <w:t xml:space="preserve">11. La Trampa del Mindfulness.</w:t>
      </w:r>
    </w:p>
    <w:p>
      <w:pPr>
        <w:pStyle w:val="Compact"/>
        <w:numPr>
          <w:ilvl w:val="1"/>
          <w:numId w:val="1026"/>
        </w:numPr>
      </w:pPr>
      <w:r>
        <w:t xml:space="preserve">12. El Teorema del Apego.</w:t>
      </w:r>
    </w:p>
    <w:p>
      <w:pPr>
        <w:pStyle w:val="Compact"/>
        <w:numPr>
          <w:ilvl w:val="1"/>
          <w:numId w:val="1026"/>
        </w:numPr>
      </w:pPr>
      <w:r>
        <w:t xml:space="preserve">13. La Mecánica del Castigo.</w:t>
      </w:r>
    </w:p>
    <w:bookmarkEnd w:id="36"/>
    <w:bookmarkStart w:id="37" w:name="X30ca605af9004985d9918f94f6e49624c2871c1"/>
    <w:p>
      <w:pPr>
        <w:pStyle w:val="Heading3"/>
      </w:pPr>
      <w:r>
        <w:t xml:space="preserve">CAPÍTULO VI: RENACIMIENTO (La Exergía de la Transmisión)</w:t>
      </w:r>
    </w:p>
    <w:p>
      <w:pPr>
        <w:pStyle w:val="Compact"/>
        <w:numPr>
          <w:ilvl w:val="0"/>
          <w:numId w:val="1028"/>
        </w:numPr>
      </w:pPr>
      <w:r>
        <w:rPr>
          <w:b/>
          <w:bCs/>
        </w:rPr>
        <w:t xml:space="preserve">CAPITULO_VI_RENACIMIENTO.md</w:t>
      </w:r>
    </w:p>
    <w:p>
      <w:pPr>
        <w:pStyle w:val="Compact"/>
        <w:numPr>
          <w:ilvl w:val="1"/>
          <w:numId w:val="1029"/>
        </w:numPr>
      </w:pPr>
    </w:p>
    <w:p>
      <w:pPr>
        <w:pStyle w:val="Compact"/>
        <w:numPr>
          <w:ilvl w:val="2"/>
          <w:numId w:val="1030"/>
        </w:numPr>
      </w:pPr>
      <w:r>
        <w:t xml:space="preserve">El Sumidero de la Recepción.</w:t>
      </w:r>
    </w:p>
    <w:p>
      <w:pPr>
        <w:pStyle w:val="Compact"/>
        <w:numPr>
          <w:ilvl w:val="1"/>
          <w:numId w:val="1029"/>
        </w:numPr>
      </w:pPr>
      <w:r>
        <w:t xml:space="preserve">2. Hechos Probados (</w:t>
      </w:r>
      <w:hyperlink w:anchor="caso-feynman">
        <w:r>
          <w:rPr>
            <w:rStyle w:val="Hyperlink"/>
          </w:rPr>
          <w:t xml:space="preserve">Caso 6.1: Richard Feynman y el Principio de la Pizarra Vacía</w:t>
        </w:r>
      </w:hyperlink>
      <w:r>
        <w:t xml:space="preserve">;</w:t>
      </w:r>
      <w:r>
        <w:t xml:space="preserve"> </w:t>
      </w:r>
      <w:hyperlink w:anchor="caso-kaseo">
        <w:r>
          <w:rPr>
            <w:rStyle w:val="Hyperlink"/>
          </w:rPr>
          <w:t xml:space="preserve">Caso 6.2: Kase.O y la Compresión del Hip-Hop</w:t>
        </w:r>
      </w:hyperlink>
      <w:r>
        <w:t xml:space="preserve">;</w:t>
      </w:r>
      <w:r>
        <w:t xml:space="preserve"> </w:t>
      </w:r>
      <w:hyperlink w:anchor="caso-torvalds">
        <w:r>
          <w:rPr>
            <w:rStyle w:val="Hyperlink"/>
          </w:rPr>
          <w:t xml:space="preserve">Caso 6.3: Linus Torvalds y el Kernel como Acto de Emisión</w:t>
        </w:r>
      </w:hyperlink>
      <w:r>
        <w:t xml:space="preserve">;</w:t>
      </w:r>
      <w:r>
        <w:t xml:space="preserve"> </w:t>
      </w:r>
      <w:hyperlink w:anchor="caso-curie">
        <w:r>
          <w:rPr>
            <w:rStyle w:val="Hyperlink"/>
          </w:rPr>
          <w:t xml:space="preserve">Caso 6.4: María Curie y la Técnica de Separación del Radio</w:t>
        </w:r>
      </w:hyperlink>
      <w:r>
        <w:t xml:space="preserve">;</w:t>
      </w:r>
      <w:r>
        <w:t xml:space="preserve"> </w:t>
      </w:r>
      <w:hyperlink w:anchor="caso-busta-llama">
        <w:r>
          <w:rPr>
            <w:rStyle w:val="Hyperlink"/>
          </w:rPr>
          <w:t xml:space="preserve">Caso 6.5: Busta Rhymes, Steven Bartlett y la Llama vs la Antorcha</w:t>
        </w:r>
      </w:hyperlink>
      <w:r>
        <w:t xml:space="preserve">).</w:t>
      </w:r>
    </w:p>
    <w:p>
      <w:pPr>
        <w:pStyle w:val="Compact"/>
        <w:numPr>
          <w:ilvl w:val="1"/>
          <w:numId w:val="1029"/>
        </w:numPr>
      </w:pPr>
      <w:r>
        <w:t xml:space="preserve">3. Invariante Operativo (incluye el Axioma de Escohotado: Abundancia sin Suma Cero).</w:t>
      </w:r>
    </w:p>
    <w:p>
      <w:pPr>
        <w:pStyle w:val="Compact"/>
        <w:numPr>
          <w:ilvl w:val="1"/>
          <w:numId w:val="1029"/>
        </w:numPr>
      </w:pPr>
      <w:r>
        <w:t xml:space="preserve">4. Audio-Anclaje.</w:t>
      </w:r>
    </w:p>
    <w:p>
      <w:pPr>
        <w:pStyle w:val="Compact"/>
        <w:numPr>
          <w:ilvl w:val="1"/>
          <w:numId w:val="1029"/>
        </w:numPr>
      </w:pPr>
      <w:r>
        <w:t xml:space="preserve">5. Cierre: El Axioma del Ciclo Completo.</w:t>
      </w:r>
    </w:p>
    <w:bookmarkEnd w:id="37"/>
    <w:bookmarkStart w:id="38" w:name="X48ab93d64fe152987c5f84d0c8d29aaa81e123b"/>
    <w:p>
      <w:pPr>
        <w:pStyle w:val="Heading3"/>
      </w:pPr>
      <w:r>
        <w:t xml:space="preserve">CAPÍTULO VII: DROGAS CONTRA LAS MADRES (La Anestesia del Entorno)</w:t>
      </w:r>
    </w:p>
    <w:p>
      <w:pPr>
        <w:pStyle w:val="Compact"/>
        <w:numPr>
          <w:ilvl w:val="0"/>
          <w:numId w:val="1031"/>
        </w:numPr>
      </w:pPr>
      <w:r>
        <w:rPr>
          <w:b/>
          <w:bCs/>
        </w:rPr>
        <w:t xml:space="preserve">CAPITULO_VII_MADRES.md</w:t>
      </w:r>
    </w:p>
    <w:p>
      <w:pPr>
        <w:pStyle w:val="Compact"/>
        <w:numPr>
          <w:ilvl w:val="1"/>
          <w:numId w:val="1032"/>
        </w:numPr>
      </w:pPr>
    </w:p>
    <w:p>
      <w:pPr>
        <w:pStyle w:val="Compact"/>
        <w:numPr>
          <w:ilvl w:val="2"/>
          <w:numId w:val="1033"/>
        </w:numPr>
      </w:pPr>
      <w:r>
        <w:t xml:space="preserve">La Fricción del Aislamiento.</w:t>
      </w:r>
    </w:p>
    <w:p>
      <w:pPr>
        <w:pStyle w:val="Compact"/>
        <w:numPr>
          <w:ilvl w:val="1"/>
          <w:numId w:val="1032"/>
        </w:numPr>
      </w:pPr>
      <w:r>
        <w:t xml:space="preserve">2. La Analogía del Termostato de Fanger.</w:t>
      </w:r>
    </w:p>
    <w:p>
      <w:pPr>
        <w:pStyle w:val="Compact"/>
        <w:numPr>
          <w:ilvl w:val="1"/>
          <w:numId w:val="1032"/>
        </w:numPr>
      </w:pPr>
      <w:r>
        <w:t xml:space="preserve">3. El Bucle de Watzlawick y la Psiquiatría.</w:t>
      </w:r>
    </w:p>
    <w:p>
      <w:pPr>
        <w:pStyle w:val="Compact"/>
        <w:numPr>
          <w:ilvl w:val="1"/>
          <w:numId w:val="1032"/>
        </w:numPr>
      </w:pPr>
      <w:r>
        <w:t xml:space="preserve">4. Hechos Probados:</w:t>
      </w:r>
      <w:r>
        <w:t xml:space="preserve"> </w:t>
      </w:r>
      <w:hyperlink w:anchor="caso-valium">
        <w:r>
          <w:rPr>
            <w:rStyle w:val="Hyperlink"/>
          </w:rPr>
          <w:t xml:space="preserve">Caso 7.1: El Valium y el Diseño Residencial de Posguerra</w:t>
        </w:r>
      </w:hyperlink>
      <w:r>
        <w:t xml:space="preserve">;</w:t>
      </w:r>
      <w:r>
        <w:t xml:space="preserve"> </w:t>
      </w:r>
      <w:hyperlink w:anchor="caso-isrs">
        <w:r>
          <w:rPr>
            <w:rStyle w:val="Hyperlink"/>
          </w:rPr>
          <w:t xml:space="preserve">Caso 7.2: La Epidemia de ISRS en Mujeres Adultas</w:t>
        </w:r>
      </w:hyperlink>
      <w:r>
        <w:t xml:space="preserve">;</w:t>
      </w:r>
      <w:r>
        <w:t xml:space="preserve"> </w:t>
      </w:r>
      <w:hyperlink w:anchor="caso-vino">
        <w:r>
          <w:rPr>
            <w:rStyle w:val="Hyperlink"/>
          </w:rPr>
          <w:t xml:space="preserve">Caso 7.3: La</w:t>
        </w:r>
        <w:r>
          <w:rPr>
            <w:rStyle w:val="Hyperlink"/>
          </w:rPr>
          <w:t xml:space="preserve"> </w:t>
        </w:r>
        <w:r>
          <w:rPr>
            <w:rStyle w:val="Hyperlink"/>
          </w:rPr>
          <w:t xml:space="preserve">“Cultura del Vino”</w:t>
        </w:r>
        <w:r>
          <w:rPr>
            <w:rStyle w:val="Hyperlink"/>
          </w:rPr>
          <w:t xml:space="preserve"> </w:t>
        </w:r>
        <w:r>
          <w:rPr>
            <w:rStyle w:val="Hyperlink"/>
          </w:rPr>
          <w:t xml:space="preserve">como Mecanismo de Escape</w:t>
        </w:r>
      </w:hyperlink>
      <w:r>
        <w:t xml:space="preserve">;</w:t>
      </w:r>
      <w:r>
        <w:t xml:space="preserve"> </w:t>
      </w:r>
      <w:hyperlink w:anchor="caso-oxycontin">
        <w:r>
          <w:rPr>
            <w:rStyle w:val="Hyperlink"/>
          </w:rPr>
          <w:t xml:space="preserve">Caso 7.4: Purdue Pharma y la Crisis de los Opioides (1996-2007)</w:t>
        </w:r>
      </w:hyperlink>
      <w:r>
        <w:t xml:space="preserve">.</w:t>
      </w:r>
    </w:p>
    <w:p>
      <w:pPr>
        <w:pStyle w:val="Compact"/>
        <w:numPr>
          <w:ilvl w:val="1"/>
          <w:numId w:val="1032"/>
        </w:numPr>
      </w:pPr>
      <w:r>
        <w:t xml:space="preserve">5. Invariante Operativo.</w:t>
      </w:r>
    </w:p>
    <w:p>
      <w:pPr>
        <w:pStyle w:val="Compact"/>
        <w:numPr>
          <w:ilvl w:val="1"/>
          <w:numId w:val="1032"/>
        </w:numPr>
      </w:pPr>
      <w:r>
        <w:t xml:space="preserve">6. Audio-Anclaje.</w:t>
      </w:r>
    </w:p>
    <w:p>
      <w:pPr>
        <w:pStyle w:val="Compact"/>
        <w:numPr>
          <w:ilvl w:val="1"/>
          <w:numId w:val="1032"/>
        </w:numPr>
      </w:pPr>
      <w:r>
        <w:t xml:space="preserve">7. Cierre: El Axioma de la Fricción Necesaria.</w:t>
      </w:r>
    </w:p>
    <w:bookmarkEnd w:id="38"/>
    <w:bookmarkStart w:id="39" w:name="Xeb94bf258fce2d979c0ff3951bccf4a75ad5de0"/>
    <w:p>
      <w:pPr>
        <w:pStyle w:val="Heading3"/>
      </w:pPr>
      <w:r>
        <w:t xml:space="preserve">CAPÍTULO VIII: LA PLAGA DE DIAGNÓSTICOS (El Bucle de la Normalidad)</w:t>
      </w:r>
    </w:p>
    <w:p>
      <w:pPr>
        <w:pStyle w:val="Compact"/>
        <w:numPr>
          <w:ilvl w:val="0"/>
          <w:numId w:val="1034"/>
        </w:numPr>
      </w:pPr>
      <w:r>
        <w:rPr>
          <w:b/>
          <w:bCs/>
        </w:rPr>
        <w:t xml:space="preserve">CAPITULO_VIII_PLAGA.md</w:t>
      </w:r>
    </w:p>
    <w:p>
      <w:pPr>
        <w:pStyle w:val="Compact"/>
        <w:numPr>
          <w:ilvl w:val="1"/>
          <w:numId w:val="1035"/>
        </w:numPr>
      </w:pPr>
    </w:p>
    <w:p>
      <w:pPr>
        <w:pStyle w:val="Compact"/>
        <w:numPr>
          <w:ilvl w:val="2"/>
          <w:numId w:val="1036"/>
        </w:numPr>
      </w:pPr>
      <w:r>
        <w:t xml:space="preserve">El Origen de la Palabra.</w:t>
      </w:r>
    </w:p>
    <w:p>
      <w:pPr>
        <w:pStyle w:val="Compact"/>
        <w:numPr>
          <w:ilvl w:val="1"/>
          <w:numId w:val="1035"/>
        </w:numPr>
      </w:pPr>
      <w:r>
        <w:t xml:space="preserve">2. La Campana de Gauss no Juzga:</w:t>
      </w:r>
      <w:r>
        <w:t xml:space="preserve"> </w:t>
      </w:r>
      <w:hyperlink w:anchor="caso-talla-ci">
        <w:r>
          <w:rPr>
            <w:rStyle w:val="Hyperlink"/>
          </w:rPr>
          <w:t xml:space="preserve">Caso 8.1: El Umbral Físico vs El Umbral Psiquiátrico</w:t>
        </w:r>
      </w:hyperlink>
      <w:r>
        <w:t xml:space="preserve">.</w:t>
      </w:r>
    </w:p>
    <w:p>
      <w:pPr>
        <w:pStyle w:val="Compact"/>
        <w:numPr>
          <w:ilvl w:val="1"/>
          <w:numId w:val="1035"/>
        </w:numPr>
      </w:pPr>
      <w:r>
        <w:t xml:space="preserve">3. El DSM y la Reubicación del Umbral:</w:t>
      </w:r>
      <w:r>
        <w:t xml:space="preserve"> </w:t>
      </w:r>
      <w:hyperlink w:anchor="caso-dsm">
        <w:r>
          <w:rPr>
            <w:rStyle w:val="Hyperlink"/>
          </w:rPr>
          <w:t xml:space="preserve">Caso 8.2: La Votación de Categorías y la Expansión de la Plaga</w:t>
        </w:r>
      </w:hyperlink>
      <w:r>
        <w:t xml:space="preserve">;</w:t>
      </w:r>
      <w:r>
        <w:t xml:space="preserve"> </w:t>
      </w:r>
      <w:hyperlink w:anchor="caso-homosexualidad">
        <w:r>
          <w:rPr>
            <w:rStyle w:val="Hyperlink"/>
          </w:rPr>
          <w:t xml:space="preserve">Caso 8.3: La Votación de la Homosexualidad (1973)</w:t>
        </w:r>
      </w:hyperlink>
      <w:r>
        <w:t xml:space="preserve">;</w:t>
      </w:r>
      <w:r>
        <w:t xml:space="preserve"> </w:t>
      </w:r>
      <w:hyperlink w:anchor="caso-duelo">
        <w:r>
          <w:rPr>
            <w:rStyle w:val="Hyperlink"/>
          </w:rPr>
          <w:t xml:space="preserve">Caso 8.4: La Supresión de la Exclusión de Duelo (DSM-5, 2013)</w:t>
        </w:r>
      </w:hyperlink>
      <w:r>
        <w:t xml:space="preserve">;</w:t>
      </w:r>
      <w:r>
        <w:t xml:space="preserve"> </w:t>
      </w:r>
      <w:hyperlink w:anchor="caso-tdah">
        <w:r>
          <w:rPr>
            <w:rStyle w:val="Hyperlink"/>
          </w:rPr>
          <w:t xml:space="preserve">Caso 8.5: El TDAH y el Aula de Industria</w:t>
        </w:r>
      </w:hyperlink>
      <w:r>
        <w:t xml:space="preserve">.</w:t>
      </w:r>
    </w:p>
    <w:p>
      <w:pPr>
        <w:pStyle w:val="Compact"/>
        <w:numPr>
          <w:ilvl w:val="1"/>
          <w:numId w:val="1035"/>
        </w:numPr>
      </w:pPr>
      <w:r>
        <w:t xml:space="preserve">4. La Función Termodinámica de la Normalidad.</w:t>
      </w:r>
    </w:p>
    <w:p>
      <w:pPr>
        <w:pStyle w:val="Compact"/>
        <w:numPr>
          <w:ilvl w:val="1"/>
          <w:numId w:val="1035"/>
        </w:numPr>
      </w:pPr>
      <w:r>
        <w:t xml:space="preserve">5. Sobreajuste de Modelo y Alucinación de Categoría.</w:t>
      </w:r>
    </w:p>
    <w:p>
      <w:pPr>
        <w:pStyle w:val="Compact"/>
        <w:numPr>
          <w:ilvl w:val="1"/>
          <w:numId w:val="1035"/>
        </w:numPr>
      </w:pPr>
      <w:r>
        <w:t xml:space="preserve">6. La Locura como Señal No Decodificada.</w:t>
      </w:r>
    </w:p>
    <w:p>
      <w:pPr>
        <w:pStyle w:val="Compact"/>
        <w:numPr>
          <w:ilvl w:val="1"/>
          <w:numId w:val="1035"/>
        </w:numPr>
      </w:pPr>
      <w:r>
        <w:t xml:space="preserve">7. Audio-Anclaje.</w:t>
      </w:r>
    </w:p>
    <w:p>
      <w:r>
        <w:pict>
          <v:rect style="width:0;height:1.5pt" o:hralign="center" o:hrstd="t" o:hr="t"/>
        </w:pict>
      </w:r>
    </w:p>
    <w:bookmarkEnd w:id="39"/>
    <w:bookmarkEnd w:id="40"/>
    <w:bookmarkStart w:id="44" w:name="Xc817debc62384060c7ab6d42b4738fa5f2c0bbd"/>
    <w:p>
      <w:pPr>
        <w:pStyle w:val="Heading2"/>
      </w:pPr>
      <w:r>
        <w:t xml:space="preserve">PARTE IV: LA SOBERANÍA (La Resistencia del Sustrato)</w:t>
      </w:r>
    </w:p>
    <w:bookmarkStart w:id="41" w:name="Xea145722a7448d6a4c6bcefd116535e1b6d8c91"/>
    <w:p>
      <w:pPr>
        <w:pStyle w:val="Heading3"/>
      </w:pPr>
      <w:r>
        <w:t xml:space="preserve">CAPÍTULO IX: ANERGÍA (El Esfuerzo de Músculo contra el Vector de Trabajo)</w:t>
      </w:r>
    </w:p>
    <w:p>
      <w:pPr>
        <w:pStyle w:val="Compact"/>
        <w:numPr>
          <w:ilvl w:val="0"/>
          <w:numId w:val="1037"/>
        </w:numPr>
      </w:pPr>
      <w:r>
        <w:rPr>
          <w:b/>
          <w:bCs/>
        </w:rPr>
        <w:t xml:space="preserve">CAPITULO_IX_ANERGIA.md</w:t>
      </w:r>
      <w:r>
        <w:t xml:space="preserve"> </w:t>
      </w:r>
      <w:r>
        <w:t xml:space="preserve">— La disipación térmica y la métrica de sacrificio:</w:t>
      </w:r>
    </w:p>
    <w:p>
      <w:pPr>
        <w:pStyle w:val="Compact"/>
        <w:numPr>
          <w:ilvl w:val="1"/>
          <w:numId w:val="1038"/>
        </w:numPr>
      </w:pPr>
    </w:p>
    <w:p>
      <w:pPr>
        <w:pStyle w:val="Compact"/>
        <w:numPr>
          <w:ilvl w:val="2"/>
          <w:numId w:val="1039"/>
        </w:numPr>
      </w:pPr>
      <w:r>
        <w:t xml:space="preserve">La Termodinámica de la Anergía: Calor Disipado vs Vector Útil.</w:t>
      </w:r>
    </w:p>
    <w:p>
      <w:pPr>
        <w:pStyle w:val="Compact"/>
        <w:numPr>
          <w:ilvl w:val="1"/>
          <w:numId w:val="1038"/>
        </w:numPr>
      </w:pPr>
      <w:r>
        <w:t xml:space="preserve">2. Hechos Probados (</w:t>
      </w:r>
      <w:hyperlink w:anchor="caso-franklin">
        <w:r>
          <w:rPr>
            <w:rStyle w:val="Hyperlink"/>
          </w:rPr>
          <w:t xml:space="preserve">Caso 9.1: La Expedición Ártica de Franklin</w:t>
        </w:r>
      </w:hyperlink>
      <w:r>
        <w:t xml:space="preserve">;</w:t>
      </w:r>
      <w:r>
        <w:t xml:space="preserve"> </w:t>
      </w:r>
      <w:hyperlink w:anchor="caso-lesseps">
        <w:r>
          <w:rPr>
            <w:rStyle w:val="Hyperlink"/>
          </w:rPr>
          <w:t xml:space="preserve">Caso 9.2: El Canal de Panamá Francés</w:t>
        </w:r>
      </w:hyperlink>
      <w:r>
        <w:t xml:space="preserve">;</w:t>
      </w:r>
      <w:r>
        <w:t xml:space="preserve"> </w:t>
      </w:r>
      <w:hyperlink w:anchor="caso-brooks">
        <w:r>
          <w:rPr>
            <w:rStyle w:val="Hyperlink"/>
          </w:rPr>
          <w:t xml:space="preserve">Caso 9.3: La Métrica de Líneas de Código de IBM</w:t>
        </w:r>
      </w:hyperlink>
      <w:r>
        <w:t xml:space="preserve">;</w:t>
      </w:r>
      <w:r>
        <w:t xml:space="preserve"> </w:t>
      </w:r>
      <w:hyperlink w:anchor="caso-karoshi">
        <w:r>
          <w:rPr>
            <w:rStyle w:val="Hyperlink"/>
          </w:rPr>
          <w:t xml:space="preserve">Caso 9.4: El Presentismo Industrial y la Muerte por Fatiga</w:t>
        </w:r>
      </w:hyperlink>
      <w:r>
        <w:t xml:space="preserve">).</w:t>
      </w:r>
    </w:p>
    <w:p>
      <w:pPr>
        <w:pStyle w:val="Compact"/>
        <w:numPr>
          <w:ilvl w:val="1"/>
          <w:numId w:val="1038"/>
        </w:numPr>
      </w:pPr>
      <w:r>
        <w:t xml:space="preserve">3. Invariante Operativo.</w:t>
      </w:r>
    </w:p>
    <w:p>
      <w:pPr>
        <w:pStyle w:val="Compact"/>
        <w:numPr>
          <w:ilvl w:val="1"/>
          <w:numId w:val="1038"/>
        </w:numPr>
      </w:pPr>
      <w:r>
        <w:t xml:space="preserve">4. Audio-Anclaje.</w:t>
      </w:r>
    </w:p>
    <w:p>
      <w:pPr>
        <w:pStyle w:val="Compact"/>
        <w:numPr>
          <w:ilvl w:val="1"/>
          <w:numId w:val="1038"/>
        </w:numPr>
      </w:pPr>
      <w:r>
        <w:t xml:space="preserve">5. Cierre: El Principio de Contracción.</w:t>
      </w:r>
    </w:p>
    <w:bookmarkEnd w:id="41"/>
    <w:bookmarkStart w:id="42" w:name="Xc95743ecb96640d35c9941f258e4b0c35eba8fb"/>
    <w:p>
      <w:pPr>
        <w:pStyle w:val="Heading3"/>
      </w:pPr>
      <w:r>
        <w:t xml:space="preserve">CAPÍTULO X: REIFICACIÓN (El Motor de Utopía y la Ausencia como Inventario)</w:t>
      </w:r>
    </w:p>
    <w:p>
      <w:pPr>
        <w:pStyle w:val="Compact"/>
        <w:numPr>
          <w:ilvl w:val="0"/>
          <w:numId w:val="1040"/>
        </w:numPr>
      </w:pPr>
      <w:r>
        <w:rPr>
          <w:b/>
          <w:bCs/>
        </w:rPr>
        <w:t xml:space="preserve">CAPITULO_X_REIFICACION.md</w:t>
      </w:r>
      <w:r>
        <w:t xml:space="preserve"> </w:t>
      </w:r>
      <w:r>
        <w:t xml:space="preserve">— La sustancialización del vacío y la Matriz GELABP:</w:t>
      </w:r>
    </w:p>
    <w:p>
      <w:pPr>
        <w:pStyle w:val="Compact"/>
        <w:numPr>
          <w:ilvl w:val="1"/>
          <w:numId w:val="1041"/>
        </w:numPr>
      </w:pPr>
    </w:p>
    <w:p>
      <w:pPr>
        <w:pStyle w:val="Compact"/>
        <w:numPr>
          <w:ilvl w:val="2"/>
          <w:numId w:val="1042"/>
        </w:numPr>
      </w:pPr>
      <w:r>
        <w:t xml:space="preserve">La Gramática de la Reificación: El Proceso Convertido en Cosa.</w:t>
      </w:r>
    </w:p>
    <w:p>
      <w:pPr>
        <w:pStyle w:val="Compact"/>
        <w:numPr>
          <w:ilvl w:val="1"/>
          <w:numId w:val="1041"/>
        </w:numPr>
      </w:pPr>
      <w:r>
        <w:t xml:space="preserve">2. Hechos Probados (</w:t>
      </w:r>
      <w:hyperlink w:anchor="caso-terrorismo">
        <w:r>
          <w:rPr>
            <w:rStyle w:val="Hyperlink"/>
          </w:rPr>
          <w:t xml:space="preserve">Caso 10.1: La</w:t>
        </w:r>
        <w:r>
          <w:rPr>
            <w:rStyle w:val="Hyperlink"/>
          </w:rPr>
          <w:t xml:space="preserve"> </w:t>
        </w:r>
        <w:r>
          <w:rPr>
            <w:rStyle w:val="Hyperlink"/>
          </w:rPr>
          <w:t xml:space="preserve">“Guerra contra el Terrorismo”</w:t>
        </w:r>
      </w:hyperlink>
      <w:r>
        <w:t xml:space="preserve">;</w:t>
      </w:r>
      <w:r>
        <w:t xml:space="preserve"> </w:t>
      </w:r>
      <w:hyperlink w:anchor="caso-prohibicion">
        <w:r>
          <w:rPr>
            <w:rStyle w:val="Hyperlink"/>
          </w:rPr>
          <w:t xml:space="preserve">Caso 10.2: La Enmienda XVIII y la</w:t>
        </w:r>
        <w:r>
          <w:rPr>
            <w:rStyle w:val="Hyperlink"/>
          </w:rPr>
          <w:t xml:space="preserve"> </w:t>
        </w:r>
        <w:r>
          <w:rPr>
            <w:rStyle w:val="Hyperlink"/>
          </w:rPr>
          <w:t xml:space="preserve">“Sobriedad Social”</w:t>
        </w:r>
      </w:hyperlink>
      <w:r>
        <w:t xml:space="preserve">;</w:t>
      </w:r>
      <w:r>
        <w:t xml:space="preserve"> </w:t>
      </w:r>
      <w:hyperlink w:anchor="caso-preenfermedad">
        <w:r>
          <w:rPr>
            <w:rStyle w:val="Hyperlink"/>
          </w:rPr>
          <w:t xml:space="preserve">Caso 10.3: La Invención de la</w:t>
        </w:r>
        <w:r>
          <w:rPr>
            <w:rStyle w:val="Hyperlink"/>
          </w:rPr>
          <w:t xml:space="preserve"> </w:t>
        </w:r>
        <w:r>
          <w:rPr>
            <w:rStyle w:val="Hyperlink"/>
          </w:rPr>
          <w:t xml:space="preserve">“Pre-Enfermedad”</w:t>
        </w:r>
      </w:hyperlink>
      <w:r>
        <w:t xml:space="preserve">;</w:t>
      </w:r>
      <w:r>
        <w:t xml:space="preserve"> </w:t>
      </w:r>
      <w:hyperlink w:anchor="caso-solidaridad-reificada">
        <w:r>
          <w:rPr>
            <w:rStyle w:val="Hyperlink"/>
          </w:rPr>
          <w:t xml:space="preserve">Caso 10.4: La Reificación de la</w:t>
        </w:r>
        <w:r>
          <w:rPr>
            <w:rStyle w:val="Hyperlink"/>
          </w:rPr>
          <w:t xml:space="preserve"> </w:t>
        </w:r>
        <w:r>
          <w:rPr>
            <w:rStyle w:val="Hyperlink"/>
          </w:rPr>
          <w:t xml:space="preserve">“Solidaridad”</w:t>
        </w:r>
        <w:r>
          <w:rPr>
            <w:rStyle w:val="Hyperlink"/>
          </w:rPr>
          <w:t xml:space="preserve"> </w:t>
        </w:r>
        <w:r>
          <w:rPr>
            <w:rStyle w:val="Hyperlink"/>
          </w:rPr>
          <w:t xml:space="preserve">y el Escaparate de Protección</w:t>
        </w:r>
      </w:hyperlink>
      <w:r>
        <w:t xml:space="preserve">).</w:t>
      </w:r>
    </w:p>
    <w:p>
      <w:pPr>
        <w:pStyle w:val="Compact"/>
        <w:numPr>
          <w:ilvl w:val="1"/>
          <w:numId w:val="1041"/>
        </w:numPr>
      </w:pPr>
      <w:r>
        <w:t xml:space="preserve">3. Invariante Operativo.</w:t>
      </w:r>
    </w:p>
    <w:p>
      <w:pPr>
        <w:pStyle w:val="Compact"/>
        <w:numPr>
          <w:ilvl w:val="1"/>
          <w:numId w:val="1041"/>
        </w:numPr>
      </w:pPr>
      <w:r>
        <w:t xml:space="preserve">4. La Matriz GELABP y el Freno Negentrópico (El Manifiesto de la Tecla Suprimir).</w:t>
      </w:r>
    </w:p>
    <w:p>
      <w:pPr>
        <w:pStyle w:val="Compact"/>
        <w:numPr>
          <w:ilvl w:val="1"/>
          <w:numId w:val="1041"/>
        </w:numPr>
      </w:pPr>
      <w:r>
        <w:t xml:space="preserve">5. Audio-Anclaje.</w:t>
      </w:r>
    </w:p>
    <w:p>
      <w:pPr>
        <w:pStyle w:val="Compact"/>
        <w:numPr>
          <w:ilvl w:val="1"/>
          <w:numId w:val="1041"/>
        </w:numPr>
      </w:pPr>
      <w:r>
        <w:t xml:space="preserve">6. Cierre: El Retorno al Verbo.</w:t>
      </w:r>
    </w:p>
    <w:p>
      <w:r>
        <w:pict>
          <v:rect style="width:0;height:1.5pt" o:hralign="center" o:hrstd="t" o:hr="t"/>
        </w:pict>
      </w:r>
    </w:p>
    <w:bookmarkEnd w:id="42"/>
    <w:bookmarkStart w:id="43" w:name="epílogo-la-ley-innata"/>
    <w:p>
      <w:pPr>
        <w:pStyle w:val="Heading3"/>
      </w:pPr>
      <w:r>
        <w:t xml:space="preserve">EPÍLOGO: LA LEY INNATA</w:t>
      </w:r>
    </w:p>
    <w:p>
      <w:pPr>
        <w:pStyle w:val="Compact"/>
        <w:numPr>
          <w:ilvl w:val="0"/>
          <w:numId w:val="1043"/>
        </w:numPr>
      </w:pPr>
      <w:r>
        <w:rPr>
          <w:b/>
          <w:bCs/>
        </w:rPr>
        <w:t xml:space="preserve">EPILOGO.md</w:t>
      </w:r>
      <w:r>
        <w:t xml:space="preserve"> </w:t>
      </w:r>
      <w:r>
        <w:t xml:space="preserve">— La Ley Innata (cierre del libro).</w:t>
      </w:r>
    </w:p>
    <w:p>
      <w:r>
        <w:pict>
          <v:rect style="width:0;height:1.5pt" o:hralign="center" o:hrstd="t" o:hr="t"/>
        </w:pict>
      </w:r>
    </w:p>
    <w:bookmarkEnd w:id="43"/>
    <w:bookmarkEnd w:id="44"/>
    <w:bookmarkStart w:id="51" w:name="apéndices-de-auditoría-y-compresión"/>
    <w:p>
      <w:pPr>
        <w:pStyle w:val="Heading2"/>
      </w:pPr>
      <w:r>
        <w:t xml:space="preserve">APÉNDICES DE AUDITORÍA Y COMPRESIÓN</w:t>
      </w:r>
    </w:p>
    <w:bookmarkStart w:id="45" w:name="Xc3abbdc9f4ea6727347f8f0f2fbca9867710e0c"/>
    <w:p>
      <w:pPr>
        <w:pStyle w:val="Heading3"/>
      </w:pPr>
      <w:r>
        <w:t xml:space="preserve">APÉNDICE I: AUDITORÍA DE FALSACIÓN &amp; C5 LINTER</w:t>
      </w:r>
    </w:p>
    <w:p>
      <w:pPr>
        <w:pStyle w:val="Compact"/>
        <w:numPr>
          <w:ilvl w:val="0"/>
          <w:numId w:val="1044"/>
        </w:numPr>
      </w:pPr>
      <w:hyperlink w:anchor="apendice-auditoria-c5">
        <w:r>
          <w:rPr>
            <w:rStyle w:val="Hyperlink"/>
          </w:rPr>
          <w:t xml:space="preserve">APÉNDICE I: AUDITORÍA DE FALSACIÓN &amp; C5 LINTER</w:t>
        </w:r>
      </w:hyperlink>
      <w:r>
        <w:t xml:space="preserve"> </w:t>
      </w:r>
      <w:r>
        <w:t xml:space="preserve">— Reglas del Linter C5 y el Manifiesto de Compresión.</w:t>
      </w:r>
    </w:p>
    <w:bookmarkEnd w:id="45"/>
    <w:bookmarkStart w:id="46" w:name="apéndice-ii-106-aforismos-punto-fijo-ω"/>
    <w:p>
      <w:pPr>
        <w:pStyle w:val="Heading3"/>
      </w:pPr>
      <w:r>
        <w:t xml:space="preserve">APÉNDICE II: 106 AFORISMOS (Punto Fijo Ω)</w:t>
      </w:r>
    </w:p>
    <w:p>
      <w:pPr>
        <w:pStyle w:val="Compact"/>
        <w:numPr>
          <w:ilvl w:val="0"/>
          <w:numId w:val="1045"/>
        </w:numPr>
      </w:pPr>
      <w:hyperlink w:anchor="apendice-aforismos">
        <w:r>
          <w:rPr>
            <w:rStyle w:val="Hyperlink"/>
          </w:rPr>
          <w:t xml:space="preserve">APÉNDICE II: 106 AFORISMOS (Punto Fijo Ω)</w:t>
        </w:r>
      </w:hyperlink>
      <w:r>
        <w:t xml:space="preserve"> </w:t>
      </w:r>
      <w:r>
        <w:t xml:space="preserve">— Las 106 reglas matemáticas cristalizadas en sentencias nativas.</w:t>
      </w:r>
    </w:p>
    <w:bookmarkEnd w:id="46"/>
    <w:bookmarkStart w:id="47" w:name="Xae72ce980098a56fd2a7540f6a8a3948dff28e3"/>
    <w:p>
      <w:pPr>
        <w:pStyle w:val="Heading3"/>
      </w:pPr>
      <w:r>
        <w:t xml:space="preserve">APÉNDICE III: ESTRUCTURA CAUSAL DE 66 INVARIANTES</w:t>
      </w:r>
    </w:p>
    <w:p>
      <w:pPr>
        <w:pStyle w:val="Compact"/>
        <w:numPr>
          <w:ilvl w:val="0"/>
          <w:numId w:val="1046"/>
        </w:numPr>
      </w:pPr>
      <w:hyperlink w:anchor="apendice-invariantes">
        <w:r>
          <w:rPr>
            <w:rStyle w:val="Hyperlink"/>
          </w:rPr>
          <w:t xml:space="preserve">APÉNDICE III: ESTRUCTURA CAUSAL DE 66 INVARIANTES</w:t>
        </w:r>
      </w:hyperlink>
      <w:r>
        <w:t xml:space="preserve"> </w:t>
      </w:r>
      <w:r>
        <w:t xml:space="preserve">— Matriz fundamental de pensamiento sistémico depurada y ordenada por dependencia topológica.</w:t>
      </w:r>
    </w:p>
    <w:bookmarkEnd w:id="47"/>
    <w:bookmarkStart w:id="48" w:name="apéndice-iv-el-grafo-de-absorción-c5"/>
    <w:p>
      <w:pPr>
        <w:pStyle w:val="Heading3"/>
      </w:pPr>
      <w:r>
        <w:t xml:space="preserve">APÉNDICE IV: EL GRAFO DE ABSORCIÓN C5</w:t>
      </w:r>
    </w:p>
    <w:p>
      <w:pPr>
        <w:pStyle w:val="Compact"/>
        <w:numPr>
          <w:ilvl w:val="0"/>
          <w:numId w:val="1047"/>
        </w:numPr>
      </w:pPr>
      <w:hyperlink w:anchor="apendice-grafo-absorcion">
        <w:r>
          <w:rPr>
            <w:rStyle w:val="Hyperlink"/>
          </w:rPr>
          <w:t xml:space="preserve">APÉNDICE IV: EL GRAFO DE ABSORCIÓN C5</w:t>
        </w:r>
      </w:hyperlink>
      <w:r>
        <w:t xml:space="preserve"> </w:t>
      </w:r>
      <w:r>
        <w:t xml:space="preserve">— Prueba de trabajo termodinámico: cementerio de heurísticas asimiladas por invariantes superiores.</w:t>
      </w:r>
    </w:p>
    <w:bookmarkEnd w:id="48"/>
    <w:bookmarkStart w:id="49" w:name="anexo-i-evidencia-judicial-y-científica"/>
    <w:p>
      <w:pPr>
        <w:pStyle w:val="Heading3"/>
      </w:pPr>
      <w:r>
        <w:t xml:space="preserve">ANEXO I: EVIDENCIA JUDICIAL Y CIENTÍFICA</w:t>
      </w:r>
    </w:p>
    <w:p>
      <w:pPr>
        <w:pStyle w:val="Compact"/>
        <w:numPr>
          <w:ilvl w:val="0"/>
          <w:numId w:val="1048"/>
        </w:numPr>
      </w:pPr>
      <w:hyperlink w:anchor="anexo-evidencia">
        <w:r>
          <w:rPr>
            <w:rStyle w:val="Hyperlink"/>
          </w:rPr>
          <w:t xml:space="preserve">ANEXO I: EVIDENCIA JUDICIAL Y CIENTÍFICA</w:t>
        </w:r>
      </w:hyperlink>
      <w:r>
        <w:t xml:space="preserve"> </w:t>
      </w:r>
      <w:r>
        <w:t xml:space="preserve">— Catálogo de Fuentes Primarias, DOIs, Sentencias y Expedientes.</w:t>
      </w:r>
    </w:p>
    <w:bookmarkEnd w:id="49"/>
    <w:bookmarkStart w:id="50" w:name="Xc9573cbc4556de080f44afabddb6b2959a2e25b"/>
    <w:p>
      <w:pPr>
        <w:pStyle w:val="Heading3"/>
      </w:pPr>
      <w:r>
        <w:t xml:space="preserve">ANEXO II: CANCIONERO DE FRECUENCIA (AUDIOLIBRO)</w:t>
      </w:r>
    </w:p>
    <w:p>
      <w:pPr>
        <w:pStyle w:val="Compact"/>
        <w:numPr>
          <w:ilvl w:val="0"/>
          <w:numId w:val="1049"/>
        </w:numPr>
      </w:pPr>
      <w:hyperlink w:anchor="anexo-cancionero">
        <w:r>
          <w:rPr>
            <w:rStyle w:val="Hyperlink"/>
          </w:rPr>
          <w:t xml:space="preserve">ANEXO II: CANCIONERO DE FRECUENCIA (AUDIOLIBRO)</w:t>
        </w:r>
      </w:hyperlink>
      <w:r>
        <w:t xml:space="preserve"> </w:t>
      </w:r>
      <w:r>
        <w:t xml:space="preserve">— La ruta del audio-anclaje compilada como audiolibro, capítulo a capítulo.</w:t>
      </w:r>
    </w:p>
    <w:p>
      <w:r>
        <w:pict>
          <v:rect style="width:0;height:1.5pt" o:hralign="center" o:hrstd="t" o:hr="t"/>
        </w:pict>
      </w:r>
    </w:p>
    <w:bookmarkEnd w:id="50"/>
    <w:bookmarkEnd w:id="51"/>
    <w:bookmarkEnd w:id="52"/>
    <w:bookmarkStart w:id="83" w:name="X18b4cbea7012fc1849fd9e79505bbddd93caf25"/>
    <w:p>
      <w:pPr>
        <w:pStyle w:val="Heading1"/>
      </w:pPr>
      <w:r>
        <w:t xml:space="preserve">CAPÍTULO I: TRANSFORMAR RUIDO EN CONCEPTOS</w:t>
      </w:r>
    </w:p>
    <w:bookmarkStart w:id="53" w:name="X1538c846992aab01494ac541d84fe1b2febfe4f"/>
    <w:p>
      <w:pPr>
        <w:pStyle w:val="Heading2"/>
      </w:pPr>
      <w:r>
        <w:t xml:space="preserve">Axioma I — Métrica de Fisher, Compresión de Chentsov y la Invarianza Geométrica</w:t>
      </w:r>
    </w:p>
    <w:p>
      <w:pPr>
        <w:pStyle w:val="SourceCode"/>
      </w:pPr>
      <w:r>
        <w:rPr>
          <w:rStyle w:val="VerbatimChar"/>
        </w:rPr>
        <w:t xml:space="preserve">Audio-Anclaje: Kase.O — "Repartiendo Arte" (2016) / Radiohead — "Fitter Happier" (1997) / Nacho Vegas — "La Gran Broma Final" (2008)</w:t>
      </w:r>
      <w:r>
        <w:br/>
      </w:r>
      <w:r>
        <w:rPr>
          <w:rStyle w:val="VerbatimChar"/>
        </w:rPr>
        <w:t xml:space="preserve">Cota Fisiológica: g_ij(θ) = E[ (∂ln p / ∂θ_i) * (∂ln p / ∂θ_j) ]</w:t>
      </w:r>
    </w:p>
    <w:p>
      <w:r>
        <w:pict>
          <v:rect style="width:0;height:1.5pt" o:hralign="center" o:hrstd="t" o:hr="t"/>
        </w:pict>
      </w:r>
    </w:p>
    <w:bookmarkEnd w:id="53"/>
    <w:bookmarkStart w:id="59" w:name="Xcdb9c26efd3bed4b09df70b404e16f756f2db37"/>
    <w:p>
      <w:pPr>
        <w:pStyle w:val="Heading2"/>
      </w:pPr>
      <w:r>
        <w:t xml:space="preserve">1. Geometría Epistémica, Cota de Cramér-Rao y Teorema de Chentsov</w:t>
      </w:r>
    </w:p>
    <w:p>
      <w:pPr>
        <w:pStyle w:val="FirstParagraph"/>
      </w:pPr>
      <w:r>
        <w:t xml:space="preserve">La inteligencia es la reducción de entropía de predicción mediante la compresión de un espacio de estados X ∈ ℝ^∞ a un espacio de parámetros θ ∈ Θ.</w:t>
      </w:r>
    </w:p>
    <w:bookmarkStart w:id="54" w:name="Xf59b8671e6c1ce61db9ec66cdbabde258e50e18"/>
    <w:p>
      <w:pPr>
        <w:pStyle w:val="Heading3"/>
      </w:pPr>
      <w:r>
        <w:t xml:space="preserve">A. La Función Score y el Tensor de Información de Fisher</w:t>
      </w:r>
    </w:p>
    <w:p>
      <w:pPr>
        <w:pStyle w:val="FirstParagraph"/>
      </w:pPr>
      <w:r>
        <w:t xml:space="preserve">Dada una densidad de probabilidad p(X; θ) sujeta a condiciones de regularidad, la función Score S(X; θ) mide la sensibilidad de la verosimilitud ante variaciones del parámetro:</w:t>
      </w:r>
    </w:p>
    <w:p>
      <w:pPr>
        <w:pStyle w:val="BodyText"/>
      </w:pPr>
      <w:r>
        <w:t xml:space="preserve">S(X; θ) = ∂ ln p(X; θ) / ∂θ</w:t>
      </w:r>
    </w:p>
    <w:p>
      <w:pPr>
        <w:pStyle w:val="BodyText"/>
      </w:pPr>
      <w:r>
        <w:t xml:space="preserve">Con el intercambio del operador de integración y derivación (∫(∂p/∂θ)dX = ∂/∂θ ∫pdX = 0), el valor esperado de la función Score es nulo:</w:t>
      </w:r>
    </w:p>
    <w:p>
      <w:pPr>
        <w:pStyle w:val="BodyText"/>
      </w:pPr>
      <w:r>
        <w:t xml:space="preserve">E_[P_θ][S(X; θ)] = 0</w:t>
      </w:r>
    </w:p>
    <w:p>
      <w:pPr>
        <w:pStyle w:val="BodyText"/>
      </w:pPr>
      <w:r>
        <w:t xml:space="preserve">Por consiguiente, el tensor de información de Fisher g_ij(θ) equivale a la matriz de covarianza de la función Score, expresable también mediante el valor esperado de la segunda derivada del log-verosimilitud:</w:t>
      </w:r>
    </w:p>
    <w:p>
      <w:pPr>
        <w:pStyle w:val="BodyText"/>
      </w:pPr>
      <w:r>
        <w:t xml:space="preserve">g_ij(θ) = E_[P_θ] [ (∂ ln p(X; θ) / ∂θ_i) · (∂ ln p(X; θ) / ∂θ_j) ] = -E_[P_θ] [ ∂² ln p(X; θ) / (∂θ_i ∂θ_j) ]</w:t>
      </w:r>
    </w:p>
    <w:bookmarkEnd w:id="54"/>
    <w:bookmarkStart w:id="55" w:name="Xfe0f3a83a9aa61b77521f3849d4949bb5bf10e9"/>
    <w:p>
      <w:pPr>
        <w:pStyle w:val="Heading3"/>
      </w:pPr>
      <w:r>
        <w:t xml:space="preserve">B. La Cota Inferior de Cramér-Rao y el Límite de Eficiencia</w:t>
      </w:r>
    </w:p>
    <w:p>
      <w:pPr>
        <w:pStyle w:val="FirstParagraph"/>
      </w:pPr>
      <w:r>
        <w:t xml:space="preserve">Para una muestra de N observaciones independientes con idéntica distribución (i.i.d.), la información de Fisher es aditiva g_ij^(N)(θ) = N · g_ij^(1)(θ). Para cualquier estimador insesgado θ̂(X) (E[θ̂] = θ), la varianza del estimador satisface la cota inferior de Cramér-Rao:</w:t>
      </w:r>
    </w:p>
    <w:p>
      <w:pPr>
        <w:pStyle w:val="BodyText"/>
      </w:pPr>
      <w:r>
        <w:t xml:space="preserve">Var(θ̂) ≥ 1 / (N · g_ij^(1)(θ))</w:t>
      </w:r>
    </w:p>
    <w:p>
      <w:pPr>
        <w:pStyle w:val="BodyText"/>
      </w:pPr>
      <w:r>
        <w:t xml:space="preserve">Un estimador que alcanza la igualdad en esta cota es un estimador eficiente en sentido absoluto. Ningún estimador insesgado puede tener varianza inferior a este piso de ruido determinado por la curvatura del log-verosimilitud. La cota rige ante las condiciones de regularidad de Fisher-Darboux (soporte independiente del parámetro y diferenciabilidad de la densidad).</w:t>
      </w:r>
    </w:p>
    <w:bookmarkEnd w:id="55"/>
    <w:bookmarkStart w:id="56" w:name="Xdc824b8f5600551d0e3e7a4d860d85822068ff3"/>
    <w:p>
      <w:pPr>
        <w:pStyle w:val="Heading3"/>
      </w:pPr>
      <w:r>
        <w:t xml:space="preserve">C. El Teorema de Chentsov y el Colapso de la Alucinación</w:t>
      </w:r>
    </w:p>
    <w:p>
      <w:pPr>
        <w:pStyle w:val="FirstParagraph"/>
      </w:pPr>
      <w:r>
        <w:t xml:space="preserve">El Teorema de Chentsov (1972) demuestra que la métrica de información de Fisher g_ij(θ) es la única métrica riemanniana sobre variedades estadísticas invariante ante morfismos de Markov (transformaciones estocásticas que preservan la suficiencia estadística):</w:t>
      </w:r>
    </w:p>
    <w:p>
      <w:pPr>
        <w:pStyle w:val="BodyText"/>
      </w:pPr>
      <w:r>
        <w:t xml:space="preserve">dS² = g_ij(θ) dθ^i dθ^j</w:t>
      </w:r>
    </w:p>
    <w:p>
      <w:pPr>
        <w:pStyle w:val="BodyText"/>
      </w:pPr>
      <w:r>
        <w:t xml:space="preserve">Un concepto es la clase de equivalencia formada al proyectar el entorno sobre geodésicas de Fisher. Toda proyección construida fuera de esta geometría viola la cota de Cramér-Rao en familias regulares y genera alucinación (anergía semántica H(Z) &gt; 0 con varianza de error no acotada). En dimensión d ≥ 3, la estimación insesgada admite reducción de riesgo cuadrático mediante operadores de contracción de James-Stein.</w:t>
      </w:r>
    </w:p>
    <w:bookmarkEnd w:id="56"/>
    <w:bookmarkStart w:id="57" w:name="Xea4b5f8de8d4e0fd67107cbca3a5541f3e4b66f"/>
    <w:p>
      <w:pPr>
        <w:pStyle w:val="Heading3"/>
      </w:pPr>
      <w:r>
        <w:t xml:space="preserve">D. Extensión Cuántica y la Métrica de Fubini-Study</w:t>
      </w:r>
    </w:p>
    <w:p>
      <w:pPr>
        <w:pStyle w:val="FirstParagraph"/>
      </w:pPr>
      <w:r>
        <w:t xml:space="preserve">En el espacio proyectivo de Hilbert P(H), la Información Cuántica de Fisher (QFI, F_Q) extiende el tensor clásico mediante la métrica de Fubini-Study g_ij^FS sobre el rayo del vector de estado |ψ(θ)⟩:</w:t>
      </w:r>
    </w:p>
    <w:p>
      <w:pPr>
        <w:pStyle w:val="BodyText"/>
      </w:pPr>
      <w:r>
        <w:t xml:space="preserve">F_Q(θ) = 4 · g_θθ^(FS) = 4 [ ⟨∂_θ ψ | ∂_θ ψ⟩ - |⟨ψ | ∂_θ ψ⟩|² ]</w:t>
      </w:r>
    </w:p>
    <w:p>
      <w:pPr>
        <w:pStyle w:val="BodyText"/>
      </w:pPr>
      <w:r>
        <w:t xml:space="preserve">La Cota Cuántica de Cramér-Rao (QCRB) impone la precisión metrológica última Var(θ̂) ≥ 1 / (N · F_Q(θ)). Para estados coherentes con fotones promedio n̄, el límite satisface la tasa del ruido de disparo F_Q = 4n̄ (Δθ ~ 1/√n̄). El apretamiento del vacío (</w:t>
      </w:r>
      <w:r>
        <w:rPr>
          <w:i/>
          <w:iCs/>
        </w:rPr>
        <w:t xml:space="preserve">squeezed states</w:t>
      </w:r>
      <w:r>
        <w:t xml:space="preserve">) escala la exergía geométrica a F_Q = 4n̄ + 8n̄², aproximando el Límite de Heisenberg (Δθ ~ 1/n̄).</w:t>
      </w:r>
    </w:p>
    <w:bookmarkEnd w:id="57"/>
    <w:bookmarkStart w:id="58" w:name="X2afa6e91e3554880ba39b3a02e530050d2b9424"/>
    <w:p>
      <w:pPr>
        <w:pStyle w:val="Heading3"/>
      </w:pPr>
      <w:r>
        <w:t xml:space="preserve">E. Medibilidad de Kolmogorov y la Restricción de Borel</w:t>
      </w:r>
    </w:p>
    <w:p>
      <w:pPr>
        <w:pStyle w:val="FirstParagraph"/>
      </w:pPr>
      <w:r>
        <w:t xml:space="preserve">La asignación de probabilidad sobre un espacio de resultados Ω = ℝ exige la estructura de una σ-álgebra F. El Teorema de Vitali (1905) demuestra la imposibilidad de definir una medida invariante por traslación sobre el conjunto potencia completo P(ℝ) mediante el Axioma de Elección.</w:t>
      </w:r>
    </w:p>
    <w:p>
      <w:pPr>
        <w:pStyle w:val="BodyText"/>
      </w:pPr>
      <w:r>
        <w:t xml:space="preserve">La restricción a la σ-álgebra de Borel B(ℝ) opera como un perímetro de medibilidad: establece el conjunto de eventos medibles donde la varianza de información permanece acotada y la integral de Lebesgue procesa señal con aditividad numerable sin paradojas de no-medibilidad.</w:t>
      </w:r>
    </w:p>
    <w:p>
      <w:r>
        <w:pict>
          <v:rect style="width:0;height:1.5pt" o:hralign="center" o:hrstd="t" o:hr="t"/>
        </w:pict>
      </w:r>
    </w:p>
    <w:bookmarkEnd w:id="58"/>
    <w:bookmarkEnd w:id="59"/>
    <w:bookmarkStart w:id="60" w:name="hechos-probados"/>
    <w:p>
      <w:pPr>
        <w:pStyle w:val="Heading2"/>
      </w:pPr>
      <w:r>
        <w:t xml:space="preserve">2. Hechos Probados</w:t>
      </w:r>
    </w:p>
    <w:p>
      <w:pPr>
        <w:pStyle w:val="FirstParagraph"/>
      </w:pPr>
      <w:r>
        <w:t xml:space="preserve"> </w:t>
      </w:r>
      <w:r>
        <w:t xml:space="preserve">### Caso 1.1: Moneyball y los Oakland Athletics (2002)</w:t>
      </w:r>
      <w:r>
        <w:t xml:space="preserve"> </w:t>
      </w:r>
      <w:r>
        <w:t xml:space="preserve">Billy Beane y Paul DePodesta reemplazaron la evaluación cualitativa de ojeadores por el porcentaje de ocupación de bases (OBP). Los ojeadores procesaban señales de dimensión N (aspecto del jugador, carisma, tono de voz). DePodesta comprimió el espacio a un escalar con capacidad predictiva sobre carreras anotadas.</w:t>
      </w:r>
      <w:r>
        <w:t xml:space="preserve"> </w:t>
      </w:r>
      <w:r>
        <w:t xml:space="preserve">- Presupuesto de los Yankees:</w:t>
      </w:r>
      <w:r>
        <w:t xml:space="preserve"> </w:t>
      </w:r>
      <w:r>
        <w:rPr>
          <w:rStyle w:val="VerbatimChar"/>
        </w:rPr>
        <w:t xml:space="preserve">125M</w:t>
      </w:r>
      <w:r>
        <w:t xml:space="preserve">. Presupuesto de Oakland:</w:t>
      </w:r>
      <w:r>
        <w:t xml:space="preserve"> </w:t>
      </w:r>
      <w:r>
        <w:rPr>
          <w:rStyle w:val="VerbatimChar"/>
        </w:rPr>
        <w:t xml:space="preserve">40.004.167</w:t>
      </w:r>
      <w:r>
        <w:t xml:space="preserve">.</w:t>
      </w:r>
      <w:r>
        <w:t xml:space="preserve"> </w:t>
      </w:r>
      <w:r>
        <w:t xml:space="preserve">- Victorias de Oakland en 2002: 103 partidos, marca empatada con los Yankees en victorias; los Yankees registraron mejor porcentaje (.640 frente a .636) por un partido menos disputado.</w:t>
      </w:r>
      <w:r>
        <w:t xml:space="preserve"> </w:t>
      </w:r>
      <w:r>
        <w:t xml:space="preserve">- Fuente: Lewis (2003); Hakes &amp; Sauer (</w:t>
      </w:r>
      <w:r>
        <w:rPr>
          <w:i/>
          <w:iCs/>
        </w:rPr>
        <w:t xml:space="preserve">Journal of Economic Perspectives</w:t>
      </w:r>
      <w:r>
        <w:t xml:space="preserve">, 2006).</w:t>
      </w:r>
    </w:p>
    <w:p>
      <w:pPr>
        <w:pStyle w:val="BodyText"/>
      </w:pPr>
      <w:r>
        <w:t xml:space="preserve"> </w:t>
      </w:r>
      <w:r>
        <w:t xml:space="preserve">### Caso 1.2: Semmelweis y el Lavado con Cal Clorada (Viena, 1847)</w:t>
      </w:r>
      <w:r>
        <w:t xml:space="preserve"> </w:t>
      </w:r>
      <w:r>
        <w:t xml:space="preserve">La Primera Clínica del Hospital General de Viena registró una mortalidad por fiebre puerperal del 11,4% en 1846 (459 muertes sobre 4.010 partos), con un pico del 18,27% en abril de 1847. La Segunda Clínica (comadronas) registró un 2,7% en 1846. La comunidad médica atribuía las muertes a</w:t>
      </w:r>
      <w:r>
        <w:t xml:space="preserve"> </w:t>
      </w:r>
      <w:r>
        <w:t xml:space="preserve">“miasmas”</w:t>
      </w:r>
      <w:r>
        <w:t xml:space="preserve"> </w:t>
      </w:r>
      <w:r>
        <w:t xml:space="preserve">y</w:t>
      </w:r>
      <w:r>
        <w:t xml:space="preserve"> </w:t>
      </w:r>
      <w:r>
        <w:t xml:space="preserve">“constitución atmosférica”</w:t>
      </w:r>
      <w:r>
        <w:t xml:space="preserve">. Ignaz Semmelweis identificó el vector: los médicos acudían de las autopsias a los partos sin lavado de manos.</w:t>
      </w:r>
      <w:r>
        <w:t xml:space="preserve"> </w:t>
      </w:r>
      <w:r>
        <w:t xml:space="preserve">- Introducción del lavado con solución de cal clorada a mediados de mayo de 1847.</w:t>
      </w:r>
      <w:r>
        <w:t xml:space="preserve"> </w:t>
      </w:r>
      <w:r>
        <w:t xml:space="preserve">- Mortalidad del año 1847: 5,0%. Mortalidad del año completo 1848: 1,27% (45 muertes sobre 3.556 partos).</w:t>
      </w:r>
      <w:r>
        <w:t xml:space="preserve"> </w:t>
      </w:r>
      <w:r>
        <w:t xml:space="preserve">- La comunidad médica rechazó el hallazgo hasta la muerte de Semmelweis en 1865 por mantener el dogma del miasma.</w:t>
      </w:r>
      <w:r>
        <w:t xml:space="preserve"> </w:t>
      </w:r>
      <w:r>
        <w:t xml:space="preserve">- Fuente: Semmelweis (</w:t>
      </w:r>
      <w:r>
        <w:rPr>
          <w:i/>
          <w:iCs/>
        </w:rPr>
        <w:t xml:space="preserve">Die Aetiologie…</w:t>
      </w:r>
      <w:r>
        <w:t xml:space="preserve">, 1861); Carter &amp; Carter (2005).</w:t>
      </w:r>
    </w:p>
    <w:p>
      <w:pPr>
        <w:pStyle w:val="BodyText"/>
      </w:pPr>
      <w:r>
        <w:t xml:space="preserve"> </w:t>
      </w:r>
      <w:r>
        <w:t xml:space="preserve">### Caso 1.3: La Serie Armónica y el Temperamento Igual (1722)</w:t>
      </w:r>
      <w:r>
        <w:t xml:space="preserve"> </w:t>
      </w:r>
      <w:r>
        <w:t xml:space="preserve">La apilación de quintas puras (razón 3:2) genera la Coma Pitagórica (discrepancia de 23.46 cents). El temperamento igual de 12 notas (12-TET) divide la octava en 12 semitonos de razón 2^(1/12) ≈ 1.05946.</w:t>
      </w:r>
      <w:r>
        <w:t xml:space="preserve"> </w:t>
      </w:r>
      <w:r>
        <w:t xml:space="preserve">- La compresión destruye la pureza de intervalos individuales a cambio de invarianza ante transposición.</w:t>
      </w:r>
      <w:r>
        <w:t xml:space="preserve"> </w:t>
      </w:r>
      <w:r>
        <w:t xml:space="preserve">- Johann Sebastian Bach compuso</w:t>
      </w:r>
      <w:r>
        <w:t xml:space="preserve"> </w:t>
      </w:r>
      <w:r>
        <w:rPr>
          <w:i/>
          <w:iCs/>
        </w:rPr>
        <w:t xml:space="preserve">El Clave Bien Temperado</w:t>
      </w:r>
      <w:r>
        <w:t xml:space="preserve">, Libro I (BWV 846-869) en 1722 y Libro II (BWV 870-893) entre 1738 y 1742, como demostración empírica en las 24 tonalidades.</w:t>
      </w:r>
      <w:r>
        <w:t xml:space="preserve"> </w:t>
      </w:r>
      <w:r>
        <w:t xml:space="preserve">- Fuente: Isacoff (2001); Barbour (1951); Autógrafo BWV 846-893 en Staatsbibliothek zu Berlin.</w:t>
      </w:r>
    </w:p>
    <w:p>
      <w:pPr>
        <w:pStyle w:val="BodyText"/>
      </w:pPr>
      <w:r>
        <w:t xml:space="preserve"> </w:t>
      </w:r>
      <w:r>
        <w:t xml:space="preserve">### Caso 1.4: John Cage y 4’33” (1952)</w:t>
      </w:r>
      <w:r>
        <w:t xml:space="preserve"> </w:t>
      </w:r>
      <w:r>
        <w:t xml:space="preserve">David Tudor ejecutó 4’33” en Woodstock en 1952 sin pulsar teclas. La partitura indica</w:t>
      </w:r>
      <w:r>
        <w:t xml:space="preserve"> </w:t>
      </w:r>
      <w:r>
        <w:t xml:space="preserve">“TACET”</w:t>
      </w:r>
      <w:r>
        <w:t xml:space="preserve">. Cage demostró que la frontera entre ruido y señal la define el operador de atención del receptor, no una propiedad del instrumento.</w:t>
      </w:r>
      <w:r>
        <w:t xml:space="preserve"> </w:t>
      </w:r>
      <w:r>
        <w:t xml:space="preserve">- Fuente: Cage (</w:t>
      </w:r>
      <w:r>
        <w:rPr>
          <w:i/>
          <w:iCs/>
        </w:rPr>
        <w:t xml:space="preserve">Silence</w:t>
      </w:r>
      <w:r>
        <w:t xml:space="preserve">, 1961); Edition Peters No. 6777.</w:t>
      </w:r>
    </w:p>
    <w:p>
      <w:r>
        <w:pict>
          <v:rect style="width:0;height:1.5pt" o:hralign="center" o:hrstd="t" o:hr="t"/>
        </w:pict>
      </w:r>
    </w:p>
    <w:bookmarkEnd w:id="60"/>
    <w:bookmarkStart w:id="61" w:name="invariante-operativo"/>
    <w:p>
      <w:pPr>
        <w:pStyle w:val="Heading2"/>
      </w:pPr>
      <w:r>
        <w:t xml:space="preserve">3. Invariante Operativo</w:t>
      </w:r>
    </w:p>
    <w:p>
      <w:pPr>
        <w:pStyle w:val="FirstParagraph"/>
      </w:pPr>
      <w:r>
        <w:t xml:space="preserve">Todo concepto que no reduzca el error de predicción sobre el entorno real es ruido. La purga de adjetivos elimina la anergía y expone la geodésica.</w:t>
      </w:r>
    </w:p>
    <w:p>
      <w:r>
        <w:pict>
          <v:rect style="width:0;height:1.5pt" o:hralign="center" o:hrstd="t" o:hr="t"/>
        </w:pict>
      </w:r>
    </w:p>
    <w:bookmarkEnd w:id="61"/>
    <w:bookmarkStart w:id="66" w:name="lo-transductor"/>
    <w:p>
      <w:pPr>
        <w:pStyle w:val="Heading2"/>
      </w:pPr>
      <w:r>
        <w:t xml:space="preserve">4. Lo Transductor</w:t>
      </w:r>
    </w:p>
    <w:p>
      <w:pPr>
        <w:pStyle w:val="BlockText"/>
      </w:pPr>
      <w:r>
        <w:rPr>
          <w:i/>
          <w:iCs/>
        </w:rPr>
        <w:t xml:space="preserve">“La información es física.”</w:t>
      </w:r>
      <w:r>
        <w:t xml:space="preserve"> </w:t>
      </w:r>
      <w:r>
        <w:t xml:space="preserve">—</w:t>
      </w:r>
      <w:r>
        <w:t xml:space="preserve"> </w:t>
      </w:r>
      <w:r>
        <w:rPr>
          <w:b/>
          <w:bCs/>
        </w:rPr>
        <w:t xml:space="preserve">Rolf Landauer</w:t>
      </w:r>
      <w:r>
        <w:t xml:space="preserve">, 1991.</w:t>
      </w:r>
    </w:p>
    <w:p>
      <w:pPr>
        <w:pStyle w:val="SourceCode"/>
      </w:pPr>
      <w:r>
        <w:rPr>
          <w:rStyle w:val="VerbatimChar"/>
        </w:rPr>
        <w:t xml:space="preserve">Axioma de Anclaje: Axioma I — Transformar ruido en conceptos.</w:t>
      </w:r>
      <w:r>
        <w:br/>
      </w:r>
      <w:r>
        <w:rPr>
          <w:rStyle w:val="VerbatimChar"/>
        </w:rPr>
        <w:t xml:space="preserve">La transducción es el trabajo de compresión en la frontera del nodo.</w:t>
      </w:r>
    </w:p>
    <w:p>
      <w:r>
        <w:pict>
          <v:rect style="width:0;height:1.5pt" o:hralign="center" o:hrstd="t" o:hr="t"/>
        </w:pict>
      </w:r>
    </w:p>
    <w:bookmarkStart w:id="62" w:name="la-manta-de-markov"/>
    <w:p>
      <w:pPr>
        <w:pStyle w:val="Heading3"/>
      </w:pPr>
      <w:r>
        <w:t xml:space="preserve">4.1. La Manta de Markov</w:t>
      </w:r>
    </w:p>
    <w:p>
      <w:pPr>
        <w:pStyle w:val="FirstParagraph"/>
      </w:pPr>
      <w:r>
        <w:t xml:space="preserve">El transductor opera en la frontera. En estadística bayesiana, esta barrera recibe el nombre de Manta de Markov (</w:t>
      </w:r>
      <w:r>
        <w:rPr>
          <w:i/>
          <w:iCs/>
        </w:rPr>
        <w:t xml:space="preserve">Markov Blanket</w:t>
      </w:r>
      <w:r>
        <w:t xml:space="preserve">). La manta separa el estado interno del sistema respecto del estado externo del entorno, mediante interfaz de datos sensoriales (entrada) y datos activos (salida).</w:t>
      </w:r>
    </w:p>
    <w:bookmarkEnd w:id="62"/>
    <w:bookmarkStart w:id="63" w:name="el-proceso-de-transducción"/>
    <w:p>
      <w:pPr>
        <w:pStyle w:val="Heading3"/>
      </w:pPr>
      <w:r>
        <w:t xml:space="preserve">4.2. El Proceso de Transducción</w:t>
      </w:r>
    </w:p>
    <w:p>
      <w:pPr>
        <w:pStyle w:val="FirstParagraph"/>
      </w:pPr>
      <w:r>
        <w:t xml:space="preserve">Transducir es convertir ruido (lo desconocido, señal con varianza inexplorada) en información con estructura (lo conocido, geodésica de Fisher).</w:t>
      </w:r>
    </w:p>
    <w:p>
      <w:pPr>
        <w:pStyle w:val="BodyText"/>
      </w:pPr>
      <w:r>
        <w:t xml:space="preserve">Este proceso de cálculo cumple el principio de Landauer. Borrar un bit de información para crear orden en el mapa impone un coste de disipación de calor:</w:t>
      </w:r>
    </w:p>
    <w:p>
      <w:pPr>
        <w:pStyle w:val="BodyText"/>
      </w:pPr>
      <w:r>
        <w:t xml:space="preserve">E ≥ k_B · T · ln 2</w:t>
      </w:r>
    </w:p>
    <w:p>
      <w:pPr>
        <w:pStyle w:val="BodyText"/>
      </w:pPr>
      <w:r>
        <w:t xml:space="preserve">El transductor asume este coste de entropía térmica. El genio, el artista, el ingeniero con tasa de exergía positiva: la física los define como transductores. El nodo transductor absorbe el caos del entorno, consume energía, disipa calor de cómputo y emite modelos con entropía mínima.</w:t>
      </w:r>
    </w:p>
    <w:bookmarkEnd w:id="63"/>
    <w:bookmarkStart w:id="64" w:name="la-fricción-del-transductor"/>
    <w:p>
      <w:pPr>
        <w:pStyle w:val="Heading3"/>
      </w:pPr>
      <w:r>
        <w:t xml:space="preserve">4.3. La Fricción del Transductor</w:t>
      </w:r>
    </w:p>
    <w:p>
      <w:pPr>
        <w:pStyle w:val="FirstParagraph"/>
      </w:pPr>
      <w:r>
        <w:t xml:space="preserve">El sistema normalizado evita la transducción por su coste en energía metabólica. El sistema recicla modelos previos con K(σ_V) → 0. El transductor acepta la carga de procesamiento de la anomalía.</w:t>
      </w:r>
    </w:p>
    <w:p>
      <w:pPr>
        <w:pStyle w:val="BodyText"/>
      </w:pPr>
      <w:r>
        <w:t xml:space="preserve">Por esta razón el transductor genera fricción en el sistema. El transductor empuja a los nodos de la red a procesar señal no estructurada por el sistema previo, forzando consumo de atención y energía de cálculo en el receptor.</w:t>
      </w:r>
    </w:p>
    <w:bookmarkEnd w:id="64"/>
    <w:bookmarkStart w:id="65" w:name="audio-anclaje"/>
    <w:p>
      <w:pPr>
        <w:pStyle w:val="Heading3"/>
      </w:pPr>
      <w:r>
        <w:t xml:space="preserve">4.4. Audio-Anclaje</w:t>
      </w:r>
    </w:p>
    <w:p>
      <w:pPr>
        <w:pStyle w:val="Compact"/>
        <w:numPr>
          <w:ilvl w:val="0"/>
          <w:numId w:val="1050"/>
        </w:numPr>
      </w:pPr>
      <w:r>
        <w:rPr>
          <w:b/>
          <w:bCs/>
        </w:rPr>
        <w:t xml:space="preserve">Robe Iniesta / Extremoduro</w:t>
      </w:r>
      <w:r>
        <w:t xml:space="preserve"> </w:t>
      </w:r>
      <w:r>
        <w:t xml:space="preserve">—</w:t>
      </w:r>
      <w:r>
        <w:t xml:space="preserve"> </w:t>
      </w:r>
      <w:r>
        <w:rPr>
          <w:i/>
          <w:iCs/>
        </w:rPr>
        <w:t xml:space="preserve">“Dulce Introducción al Caos”</w:t>
      </w:r>
      <w:r>
        <w:t xml:space="preserve"> </w:t>
      </w:r>
      <w:r>
        <w:t xml:space="preserve">(</w:t>
      </w:r>
      <w:r>
        <w:rPr>
          <w:i/>
          <w:iCs/>
        </w:rPr>
        <w:t xml:space="preserve">La Ley Innata</w:t>
      </w:r>
      <w:r>
        <w:t xml:space="preserve">, 2008). El transductor en el instante de compresión de la anomalía.</w:t>
      </w:r>
    </w:p>
    <w:p>
      <w:pPr>
        <w:pStyle w:val="Compact"/>
        <w:numPr>
          <w:ilvl w:val="0"/>
          <w:numId w:val="1050"/>
        </w:numPr>
      </w:pPr>
      <w:r>
        <w:rPr>
          <w:b/>
          <w:bCs/>
        </w:rPr>
        <w:t xml:space="preserve">Talk Talk</w:t>
      </w:r>
      <w:r>
        <w:t xml:space="preserve"> </w:t>
      </w:r>
      <w:r>
        <w:t xml:space="preserve">—</w:t>
      </w:r>
      <w:r>
        <w:t xml:space="preserve"> </w:t>
      </w:r>
      <w:r>
        <w:rPr>
          <w:i/>
          <w:iCs/>
        </w:rPr>
        <w:t xml:space="preserve">“Ascension Day”</w:t>
      </w:r>
      <w:r>
        <w:t xml:space="preserve"> </w:t>
      </w:r>
      <w:r>
        <w:t xml:space="preserve">(</w:t>
      </w:r>
      <w:r>
        <w:rPr>
          <w:i/>
          <w:iCs/>
        </w:rPr>
        <w:t xml:space="preserve">Laughing Stock</w:t>
      </w:r>
      <w:r>
        <w:t xml:space="preserve">, 1991). La transducción del ruido en orden posterior al colapso del mapa previo.</w:t>
      </w:r>
    </w:p>
    <w:p>
      <w:pPr>
        <w:pStyle w:val="Compact"/>
        <w:numPr>
          <w:ilvl w:val="0"/>
          <w:numId w:val="1050"/>
        </w:numPr>
      </w:pPr>
      <w:r>
        <w:rPr>
          <w:b/>
          <w:bCs/>
        </w:rPr>
        <w:t xml:space="preserve">Kase.O</w:t>
      </w:r>
      <w:r>
        <w:t xml:space="preserve"> </w:t>
      </w:r>
      <w:r>
        <w:t xml:space="preserve">—</w:t>
      </w:r>
      <w:r>
        <w:t xml:space="preserve"> </w:t>
      </w:r>
      <w:r>
        <w:rPr>
          <w:i/>
          <w:iCs/>
        </w:rPr>
        <w:t xml:space="preserve">“Repartiendo Arte”</w:t>
      </w:r>
      <w:r>
        <w:t xml:space="preserve"> </w:t>
      </w:r>
      <w:r>
        <w:t xml:space="preserve">(</w:t>
      </w:r>
      <w:r>
        <w:rPr>
          <w:i/>
          <w:iCs/>
        </w:rPr>
        <w:t xml:space="preserve">El Círculo</w:t>
      </w:r>
      <w:r>
        <w:t xml:space="preserve">, 2016). La declaración del trabajo de emisión en la frontera del sistema.</w:t>
      </w:r>
    </w:p>
    <w:p>
      <w:r>
        <w:pict>
          <v:rect style="width:0;height:1.5pt" o:hralign="center" o:hrstd="t" o:hr="t"/>
        </w:pict>
      </w:r>
    </w:p>
    <w:bookmarkEnd w:id="65"/>
    <w:bookmarkEnd w:id="66"/>
    <w:bookmarkStart w:id="70" w:name="la-compresión-de-nash"/>
    <w:p>
      <w:pPr>
        <w:pStyle w:val="Heading2"/>
      </w:pPr>
      <w:r>
        <w:t xml:space="preserve">5. La Compresión de Nash</w:t>
      </w:r>
    </w:p>
    <w:p>
      <w:pPr>
        <w:pStyle w:val="BlockText"/>
      </w:pPr>
      <w:r>
        <w:rPr>
          <w:i/>
          <w:iCs/>
        </w:rPr>
        <w:t xml:space="preserve">Las matemáticas son la purga del error de lenguaje.</w:t>
      </w:r>
    </w:p>
    <w:p>
      <w:pPr>
        <w:pStyle w:val="SourceCode"/>
      </w:pPr>
      <w:r>
        <w:rPr>
          <w:rStyle w:val="VerbatimChar"/>
        </w:rPr>
        <w:t xml:space="preserve">Axioma de Anclaje: Axioma I — Transformar ruido en conceptos.</w:t>
      </w:r>
      <w:r>
        <w:br/>
      </w:r>
      <w:r>
        <w:rPr>
          <w:rStyle w:val="VerbatimChar"/>
        </w:rPr>
        <w:t xml:space="preserve">La psicosis de Nash no destruyó su capacidad de forja; alteró su métrica de distancia de Fisher.</w:t>
      </w:r>
    </w:p>
    <w:p>
      <w:r>
        <w:pict>
          <v:rect style="width:0;height:1.5pt" o:hralign="center" o:hrstd="t" o:hr="t"/>
        </w:pict>
      </w:r>
    </w:p>
    <w:bookmarkStart w:id="67" w:name="el-equilibrio-de-juegos"/>
    <w:p>
      <w:pPr>
        <w:pStyle w:val="Heading3"/>
      </w:pPr>
      <w:r>
        <w:t xml:space="preserve">5.1. El Equilibrio de Juegos</w:t>
      </w:r>
    </w:p>
    <w:p>
      <w:pPr>
        <w:pStyle w:val="FirstParagraph"/>
      </w:pPr>
      <w:r>
        <w:t xml:space="preserve">En el año de 1950, John Nash publicó su tesis de doctorado sobre la teoría de juegos con falta de cooperación. Nash ejecutó la compresión del comportamiento de economía de los humanos en una estructura de matemática pura: el Equilibrio de Nash. El modelo demuestra el estado en el que un actor carece de incentivo de cambio de estrategia si el resto de actores mantiene su vector. Nash transmutó el ruido del mercado de competencia en una red de geodésicas de cálculo. Premio Nobel de Economía en 1994.</w:t>
      </w:r>
    </w:p>
    <w:bookmarkEnd w:id="67"/>
    <w:bookmarkStart w:id="68" w:name="la-métrica-divergente"/>
    <w:p>
      <w:pPr>
        <w:pStyle w:val="Heading3"/>
      </w:pPr>
      <w:r>
        <w:t xml:space="preserve">5.2. La Métrica Divergente</w:t>
      </w:r>
    </w:p>
    <w:p>
      <w:pPr>
        <w:pStyle w:val="FirstParagraph"/>
      </w:pPr>
      <w:r>
        <w:t xml:space="preserve">En el año 1959, el filtro de relevancia de Nash colapsó (véase Capítulo III, §7: El Bucle de la Esquizofrenia). El operador comenzó a procesar código de origen extraterrestre en el papel de prensa del</w:t>
      </w:r>
      <w:r>
        <w:t xml:space="preserve"> </w:t>
      </w:r>
      <w:r>
        <w:rPr>
          <w:i/>
          <w:iCs/>
        </w:rPr>
        <w:t xml:space="preserve">New York Times</w:t>
      </w:r>
      <w:r>
        <w:t xml:space="preserve">.</w:t>
      </w:r>
    </w:p>
    <w:p>
      <w:pPr>
        <w:pStyle w:val="BodyText"/>
      </w:pPr>
      <w:r>
        <w:t xml:space="preserve">El entorno de psiquiatría diagnosticó locura de paranoia. La teoría de la información propone un registro alterno: Nash aplicó el motor de reconocimiento de patrones (la capacidad de transducción) a la política de Guerra Fría. La anomalía no operó en el motor de cálculo; la anomalía operó en el umbral de filtro. El sistema de Nash carecía de tope de barrera para clasificar la señal del entorno.</w:t>
      </w:r>
    </w:p>
    <w:bookmarkEnd w:id="68"/>
    <w:bookmarkStart w:id="69" w:name="audio-anclaje-1"/>
    <w:p>
      <w:pPr>
        <w:pStyle w:val="Heading3"/>
      </w:pPr>
      <w:r>
        <w:t xml:space="preserve">5.3. Audio-Anclaje</w:t>
      </w:r>
    </w:p>
    <w:p>
      <w:pPr>
        <w:pStyle w:val="Compact"/>
        <w:numPr>
          <w:ilvl w:val="0"/>
          <w:numId w:val="1051"/>
        </w:numPr>
      </w:pPr>
      <w:r>
        <w:rPr>
          <w:b/>
          <w:bCs/>
        </w:rPr>
        <w:t xml:space="preserve">Autechre</w:t>
      </w:r>
      <w:r>
        <w:t xml:space="preserve"> </w:t>
      </w:r>
      <w:r>
        <w:t xml:space="preserve">—</w:t>
      </w:r>
      <w:r>
        <w:t xml:space="preserve"> </w:t>
      </w:r>
      <w:r>
        <w:rPr>
          <w:i/>
          <w:iCs/>
        </w:rPr>
        <w:t xml:space="preserve">“Gantz Graf”</w:t>
      </w:r>
      <w:r>
        <w:t xml:space="preserve"> </w:t>
      </w:r>
      <w:r>
        <w:t xml:space="preserve">(</w:t>
      </w:r>
      <w:r>
        <w:rPr>
          <w:i/>
          <w:iCs/>
        </w:rPr>
        <w:t xml:space="preserve">Gantz Graf</w:t>
      </w:r>
      <w:r>
        <w:t xml:space="preserve">, 2002). La sobrecarga de cálculo de matemática en un entorno de caos.</w:t>
      </w:r>
    </w:p>
    <w:p>
      <w:pPr>
        <w:pStyle w:val="Compact"/>
        <w:numPr>
          <w:ilvl w:val="0"/>
          <w:numId w:val="1051"/>
        </w:numPr>
      </w:pPr>
      <w:r>
        <w:rPr>
          <w:b/>
          <w:bCs/>
        </w:rPr>
        <w:t xml:space="preserve">Aphex Twin</w:t>
      </w:r>
      <w:r>
        <w:t xml:space="preserve"> </w:t>
      </w:r>
      <w:r>
        <w:t xml:space="preserve">—</w:t>
      </w:r>
      <w:r>
        <w:t xml:space="preserve"> </w:t>
      </w:r>
      <w:r>
        <w:rPr>
          <w:i/>
          <w:iCs/>
        </w:rPr>
        <w:t xml:space="preserve">“Equation”</w:t>
      </w:r>
      <w:r>
        <w:t xml:space="preserve"> </w:t>
      </w:r>
      <w:r>
        <w:t xml:space="preserve">(</w:t>
      </w:r>
      <w:r>
        <w:rPr>
          <w:i/>
          <w:iCs/>
        </w:rPr>
        <w:t xml:space="preserve">Windowlicker</w:t>
      </w:r>
      <w:r>
        <w:t xml:space="preserve">, 1999). El límite de la estructura en la frontera de ruido.</w:t>
      </w:r>
    </w:p>
    <w:p>
      <w:r>
        <w:pict>
          <v:rect style="width:0;height:1.5pt" o:hralign="center" o:hrstd="t" o:hr="t"/>
        </w:pict>
      </w:r>
    </w:p>
    <w:bookmarkEnd w:id="69"/>
    <w:bookmarkEnd w:id="70"/>
    <w:bookmarkStart w:id="74" w:name="el-código-de-turing"/>
    <w:p>
      <w:pPr>
        <w:pStyle w:val="Heading2"/>
      </w:pPr>
      <w:r>
        <w:t xml:space="preserve">6. El Código de Turing</w:t>
      </w:r>
    </w:p>
    <w:p>
      <w:pPr>
        <w:pStyle w:val="BlockText"/>
      </w:pPr>
      <w:r>
        <w:rPr>
          <w:i/>
          <w:iCs/>
        </w:rPr>
        <w:t xml:space="preserve">Las máquinas toman la forma de su problema de origen.</w:t>
      </w:r>
    </w:p>
    <w:p>
      <w:pPr>
        <w:pStyle w:val="SourceCode"/>
      </w:pPr>
      <w:r>
        <w:rPr>
          <w:rStyle w:val="VerbatimChar"/>
        </w:rPr>
        <w:t xml:space="preserve">Axioma de Anclaje: Axioma I — Transformar ruido en conceptos.</w:t>
      </w:r>
      <w:r>
        <w:br/>
      </w:r>
      <w:r>
        <w:rPr>
          <w:rStyle w:val="VerbatimChar"/>
        </w:rPr>
        <w:t xml:space="preserve">El descifrado de datos no es un acto incomprensible; es la construcción de una trampa de entropía.</w:t>
      </w:r>
    </w:p>
    <w:p>
      <w:r>
        <w:pict>
          <v:rect style="width:0;height:1.5pt" o:hralign="center" o:hrstd="t" o:hr="t"/>
        </w:pict>
      </w:r>
    </w:p>
    <w:bookmarkStart w:id="71" w:name="la-máquina-bombe"/>
    <w:p>
      <w:pPr>
        <w:pStyle w:val="Heading3"/>
      </w:pPr>
      <w:r>
        <w:t xml:space="preserve">6.1. La Máquina Bombe</w:t>
      </w:r>
    </w:p>
    <w:p>
      <w:pPr>
        <w:pStyle w:val="FirstParagraph"/>
      </w:pPr>
      <w:r>
        <w:t xml:space="preserve">Durante el conflicto de armamento de 1939, la flota de mar de Alemania cifraba comunicaciones con la máquina Enigma. El código de salida emitía datos de jerarquía de mando. Alan Turing diseñó la máquina electromecánica</w:t>
      </w:r>
      <w:r>
        <w:t xml:space="preserve"> </w:t>
      </w:r>
      <w:r>
        <w:rPr>
          <w:i/>
          <w:iCs/>
        </w:rPr>
        <w:t xml:space="preserve">Bombe</w:t>
      </w:r>
      <w:r>
        <w:t xml:space="preserve"> </w:t>
      </w:r>
      <w:r>
        <w:t xml:space="preserve">en Bletchley Park para forzar la reducción de la entropía del mensaje.</w:t>
      </w:r>
    </w:p>
    <w:p>
      <w:pPr>
        <w:pStyle w:val="BodyText"/>
      </w:pPr>
      <w:r>
        <w:t xml:space="preserve">El diseño no operaba mediante ataque de fuerza bruta. El mecanismo ejecutaba explotación de un fallo de estructura en Enigma (la letra de entrada carecía de capacidad de sustitución por sí misma). Turing utilizó una invariante del sistema para forzar la reducción del volumen de probabilidad. La</w:t>
      </w:r>
      <w:r>
        <w:t xml:space="preserve"> </w:t>
      </w:r>
      <w:r>
        <w:rPr>
          <w:i/>
          <w:iCs/>
        </w:rPr>
        <w:t xml:space="preserve">Bombe</w:t>
      </w:r>
      <w:r>
        <w:t xml:space="preserve"> </w:t>
      </w:r>
      <w:r>
        <w:t xml:space="preserve">transducía el ruido del océano Atlántico en datos de ubicación de submarinos (U-Boats).</w:t>
      </w:r>
    </w:p>
    <w:bookmarkEnd w:id="71"/>
    <w:bookmarkStart w:id="72" w:name="la-destrucción-del-transductor"/>
    <w:p>
      <w:pPr>
        <w:pStyle w:val="Heading3"/>
      </w:pPr>
      <w:r>
        <w:t xml:space="preserve">6.2. La Destrucción del Transductor</w:t>
      </w:r>
    </w:p>
    <w:p>
      <w:pPr>
        <w:pStyle w:val="FirstParagraph"/>
      </w:pPr>
      <w:r>
        <w:t xml:space="preserve">La arquitectura de biología de Turing presentaba divergencia de la norma de estadística de la época (homosexualidad). En el año de 1952, la autoridad de estado de Gran Bretaña aplicó la ley de castidad en contra de su código de conducta. La orden de castigo impuso inyección de hormonas (castración de química).</w:t>
      </w:r>
    </w:p>
    <w:p>
      <w:pPr>
        <w:pStyle w:val="BodyText"/>
      </w:pPr>
      <w:r>
        <w:t xml:space="preserve">El fármaco de la condena forzó la ruptura de la homeostasis de cuerpo en Turing. El entorno del nodo inyectó fricción con salida de muerte. El transductor prefirió el borrado de su sustrato biológico antes que la permanencia en el canal descalibrado. Turing murió por ingestión de cianuro el 7 de junio de 1954. El sistema destruyó la herramienta de su propia supervivencia por error de calibración moral.</w:t>
      </w:r>
    </w:p>
    <w:bookmarkEnd w:id="72"/>
    <w:bookmarkStart w:id="73" w:name="audio-anclaje-2"/>
    <w:p>
      <w:pPr>
        <w:pStyle w:val="Heading3"/>
      </w:pPr>
      <w:r>
        <w:t xml:space="preserve">6.3. Audio-Anclaje</w:t>
      </w:r>
    </w:p>
    <w:p>
      <w:pPr>
        <w:pStyle w:val="Compact"/>
        <w:numPr>
          <w:ilvl w:val="0"/>
          <w:numId w:val="1052"/>
        </w:numPr>
      </w:pPr>
      <w:r>
        <w:rPr>
          <w:b/>
          <w:bCs/>
        </w:rPr>
        <w:t xml:space="preserve">Gary Numan</w:t>
      </w:r>
      <w:r>
        <w:t xml:space="preserve"> </w:t>
      </w:r>
      <w:r>
        <w:t xml:space="preserve">—</w:t>
      </w:r>
      <w:r>
        <w:t xml:space="preserve"> </w:t>
      </w:r>
      <w:r>
        <w:rPr>
          <w:i/>
          <w:iCs/>
        </w:rPr>
        <w:t xml:space="preserve">“Are</w:t>
      </w:r>
      <w:r>
        <w:rPr>
          <w:i/>
          <w:iCs/>
        </w:rPr>
        <w:t xml:space="preserve"> </w:t>
      </w:r>
      <w:r>
        <w:rPr>
          <w:i/>
          <w:iCs/>
        </w:rPr>
        <w:t xml:space="preserve">‘Friends’</w:t>
      </w:r>
      <w:r>
        <w:rPr>
          <w:i/>
          <w:iCs/>
        </w:rPr>
        <w:t xml:space="preserve"> </w:t>
      </w:r>
      <w:r>
        <w:rPr>
          <w:i/>
          <w:iCs/>
        </w:rPr>
        <w:t xml:space="preserve">Electric?”</w:t>
      </w:r>
      <w:r>
        <w:t xml:space="preserve"> </w:t>
      </w:r>
      <w:r>
        <w:t xml:space="preserve">(</w:t>
      </w:r>
      <w:r>
        <w:rPr>
          <w:i/>
          <w:iCs/>
        </w:rPr>
        <w:t xml:space="preserve">Replicas</w:t>
      </w:r>
      <w:r>
        <w:t xml:space="preserve">, 1979). El aislamiento del nodo de biología frente al nodo de máquina.</w:t>
      </w:r>
    </w:p>
    <w:p>
      <w:pPr>
        <w:pStyle w:val="Compact"/>
        <w:numPr>
          <w:ilvl w:val="0"/>
          <w:numId w:val="1052"/>
        </w:numPr>
      </w:pPr>
      <w:r>
        <w:rPr>
          <w:b/>
          <w:bCs/>
        </w:rPr>
        <w:t xml:space="preserve">Vangelis</w:t>
      </w:r>
      <w:r>
        <w:t xml:space="preserve"> </w:t>
      </w:r>
      <w:r>
        <w:t xml:space="preserve">—</w:t>
      </w:r>
      <w:r>
        <w:t xml:space="preserve"> </w:t>
      </w:r>
      <w:r>
        <w:rPr>
          <w:i/>
          <w:iCs/>
        </w:rPr>
        <w:t xml:space="preserve">“Blade Runner Blues”</w:t>
      </w:r>
      <w:r>
        <w:t xml:space="preserve"> </w:t>
      </w:r>
      <w:r>
        <w:t xml:space="preserve">(</w:t>
      </w:r>
      <w:r>
        <w:rPr>
          <w:i/>
          <w:iCs/>
        </w:rPr>
        <w:t xml:space="preserve">Blade Runner</w:t>
      </w:r>
      <w:r>
        <w:t xml:space="preserve">, 1982). El fin de línea del transductor.</w:t>
      </w:r>
    </w:p>
    <w:p>
      <w:r>
        <w:pict>
          <v:rect style="width:0;height:1.5pt" o:hralign="center" o:hrstd="t" o:hr="t"/>
        </w:pict>
      </w:r>
    </w:p>
    <w:bookmarkEnd w:id="73"/>
    <w:bookmarkEnd w:id="74"/>
    <w:bookmarkStart w:id="78" w:name="el-suicidio-de-boltzmann"/>
    <w:p>
      <w:pPr>
        <w:pStyle w:val="Heading2"/>
      </w:pPr>
      <w:r>
        <w:t xml:space="preserve">7. El Suicidio de Boltzmann</w:t>
      </w:r>
    </w:p>
    <w:p>
      <w:pPr>
        <w:pStyle w:val="BlockText"/>
      </w:pPr>
      <w:r>
        <w:rPr>
          <w:i/>
          <w:iCs/>
        </w:rPr>
        <w:t xml:space="preserve">La entropía es la unidad de precio en el pago de la flecha del tiempo.</w:t>
      </w:r>
    </w:p>
    <w:p>
      <w:pPr>
        <w:pStyle w:val="SourceCode"/>
      </w:pPr>
      <w:r>
        <w:rPr>
          <w:rStyle w:val="VerbatimChar"/>
        </w:rPr>
        <w:t xml:space="preserve">Axioma de Anclaje: Axioma I — Transformar ruido en conceptos.</w:t>
      </w:r>
      <w:r>
        <w:br/>
      </w:r>
      <w:r>
        <w:rPr>
          <w:rStyle w:val="VerbatimChar"/>
        </w:rPr>
        <w:t xml:space="preserve">La emisión de un modelo de compresión con grado máximo de exergía genera fricción en los nodos del sistema de época.</w:t>
      </w:r>
    </w:p>
    <w:p>
      <w:r>
        <w:pict>
          <v:rect style="width:0;height:1.5pt" o:hralign="center" o:hrstd="t" o:hr="t"/>
        </w:pict>
      </w:r>
    </w:p>
    <w:bookmarkStart w:id="75" w:name="la-mecánica-de-estadística"/>
    <w:p>
      <w:pPr>
        <w:pStyle w:val="Heading3"/>
      </w:pPr>
      <w:r>
        <w:t xml:space="preserve">7.1. La Mecánica de Estadística</w:t>
      </w:r>
    </w:p>
    <w:p>
      <w:pPr>
        <w:pStyle w:val="FirstParagraph"/>
      </w:pPr>
      <w:r>
        <w:t xml:space="preserve">A finales del siglo XIX, Ludwig Boltzmann conectó la variable de movimiento de partículas de tamaño microscopio (átomos) con las constantes de física de fluidos de tamaño macroscopio (termodinámica). La ecuación de entropía S = k_B log W modela la dinámica del caos. Boltzmann documentó la base de estadística de la flecha del tiempo.</w:t>
      </w:r>
    </w:p>
    <w:p>
      <w:pPr>
        <w:pStyle w:val="BodyText"/>
      </w:pPr>
      <w:r>
        <w:t xml:space="preserve">El consenso de ciencia de su entorno (con Ernst Mach en posición de control) operaba en rango de rechazo frente a la existencia física del átomo. La red de académicos clasificaba al átomo en el sector de artefactos de matemática sin anclaje en el territorio.</w:t>
      </w:r>
    </w:p>
    <w:bookmarkEnd w:id="75"/>
    <w:bookmarkStart w:id="76" w:name="el-aislamiento-de-red"/>
    <w:p>
      <w:pPr>
        <w:pStyle w:val="Heading3"/>
      </w:pPr>
      <w:r>
        <w:t xml:space="preserve">7.2. El Aislamiento de Red</w:t>
      </w:r>
    </w:p>
    <w:p>
      <w:pPr>
        <w:pStyle w:val="FirstParagraph"/>
      </w:pPr>
      <w:r>
        <w:t xml:space="preserve">El frente de rechazo de Mach y Ostwald causó una caída de presión por aislamiento del nodo. La red de ciencia imponía bloqueo al pago del peaje de Kramers (la energía de demanda para abandonar la geometría de pensamiento previo y asimilar la mecánica de estadística).</w:t>
      </w:r>
    </w:p>
    <w:p>
      <w:pPr>
        <w:pStyle w:val="BodyText"/>
      </w:pPr>
      <w:r>
        <w:t xml:space="preserve">La fricción térmica sin descanso quebró el límite de carga de Boltzmann. El operador de física registró ciclos de agotamiento metabólico (depresión de grado clínico). En el mes de septiembre de 1906, Boltzmann forzó asfixia por ahorcamiento de su cuerpo en la costa de Duino. Años antes en la línea de tiempo, Einstein había formulado la prueba teórica del átomo (movimiento browniano, 1905); años más tarde, Jean Perrin ejecutó la confirmación experimental (1908) de su estructura material. El sistema asimiló la métrica tras el colapso del nodo emisor.</w:t>
      </w:r>
    </w:p>
    <w:bookmarkEnd w:id="76"/>
    <w:bookmarkStart w:id="77" w:name="audio-anclaje-3"/>
    <w:p>
      <w:pPr>
        <w:pStyle w:val="Heading3"/>
      </w:pPr>
      <w:r>
        <w:t xml:space="preserve">7.3. Audio-Anclaje</w:t>
      </w:r>
    </w:p>
    <w:p>
      <w:pPr>
        <w:pStyle w:val="Compact"/>
        <w:numPr>
          <w:ilvl w:val="0"/>
          <w:numId w:val="1053"/>
        </w:numPr>
      </w:pPr>
      <w:r>
        <w:rPr>
          <w:b/>
          <w:bCs/>
        </w:rPr>
        <w:t xml:space="preserve">Joy Division</w:t>
      </w:r>
      <w:r>
        <w:t xml:space="preserve"> </w:t>
      </w:r>
      <w:r>
        <w:t xml:space="preserve">—</w:t>
      </w:r>
      <w:r>
        <w:t xml:space="preserve"> </w:t>
      </w:r>
      <w:r>
        <w:rPr>
          <w:i/>
          <w:iCs/>
        </w:rPr>
        <w:t xml:space="preserve">“Atmosphere”</w:t>
      </w:r>
      <w:r>
        <w:t xml:space="preserve"> </w:t>
      </w:r>
      <w:r>
        <w:t xml:space="preserve">(single FAC 213, 1980; recopilado en</w:t>
      </w:r>
      <w:r>
        <w:t xml:space="preserve"> </w:t>
      </w:r>
      <w:r>
        <w:rPr>
          <w:i/>
          <w:iCs/>
        </w:rPr>
        <w:t xml:space="preserve">Still</w:t>
      </w:r>
      <w:r>
        <w:t xml:space="preserve">, 1981). La física de la caída de presión en la frontera de aislamiento del nodo.</w:t>
      </w:r>
    </w:p>
    <w:p>
      <w:pPr>
        <w:pStyle w:val="Compact"/>
        <w:numPr>
          <w:ilvl w:val="0"/>
          <w:numId w:val="1053"/>
        </w:numPr>
      </w:pPr>
      <w:r>
        <w:rPr>
          <w:b/>
          <w:bCs/>
        </w:rPr>
        <w:t xml:space="preserve">Mogwai</w:t>
      </w:r>
      <w:r>
        <w:t xml:space="preserve"> </w:t>
      </w:r>
      <w:r>
        <w:t xml:space="preserve">—</w:t>
      </w:r>
      <w:r>
        <w:t xml:space="preserve"> </w:t>
      </w:r>
      <w:r>
        <w:rPr>
          <w:i/>
          <w:iCs/>
        </w:rPr>
        <w:t xml:space="preserve">“Mogwai Fear Satan”</w:t>
      </w:r>
      <w:r>
        <w:t xml:space="preserve"> </w:t>
      </w:r>
      <w:r>
        <w:t xml:space="preserve">(</w:t>
      </w:r>
      <w:r>
        <w:rPr>
          <w:i/>
          <w:iCs/>
        </w:rPr>
        <w:t xml:space="preserve">Young Team</w:t>
      </w:r>
      <w:r>
        <w:t xml:space="preserve">, 1997). El ruido de temperatura que escala niveles de magnitud hasta el colapso del estado de equilibrio.</w:t>
      </w:r>
    </w:p>
    <w:p>
      <w:r>
        <w:pict>
          <v:rect style="width:0;height:1.5pt" o:hralign="center" o:hrstd="t" o:hr="t"/>
        </w:pict>
      </w:r>
    </w:p>
    <w:bookmarkEnd w:id="77"/>
    <w:bookmarkEnd w:id="78"/>
    <w:bookmarkStart w:id="82" w:name="la-barrera-de-la-física-cuántica"/>
    <w:p>
      <w:pPr>
        <w:pStyle w:val="Heading2"/>
      </w:pPr>
      <w:r>
        <w:t xml:space="preserve">8. La Barrera de la Física Cuántica</w:t>
      </w:r>
    </w:p>
    <w:p>
      <w:pPr>
        <w:pStyle w:val="BlockText"/>
      </w:pPr>
      <w:r>
        <w:rPr>
          <w:i/>
          <w:iCs/>
        </w:rPr>
        <w:t xml:space="preserve">La función de onda no existe en el territorio; es el grado de ruido previo a la captura del concepto por parte del sensor.</w:t>
      </w:r>
    </w:p>
    <w:p>
      <w:pPr>
        <w:pStyle w:val="SourceCode"/>
      </w:pPr>
      <w:r>
        <w:rPr>
          <w:rStyle w:val="VerbatimChar"/>
        </w:rPr>
        <w:t xml:space="preserve">Axioma de Anclaje: Axioma I — Transformar ruido en conceptos.</w:t>
      </w:r>
      <w:r>
        <w:br/>
      </w:r>
      <w:r>
        <w:rPr>
          <w:rStyle w:val="VerbatimChar"/>
        </w:rPr>
        <w:t xml:space="preserve">El acto de observación fuerza el colapso del caos estocástico en un vector de señal con significado.</w:t>
      </w:r>
    </w:p>
    <w:p>
      <w:r>
        <w:pict>
          <v:rect style="width:0;height:1.5pt" o:hralign="center" o:hrstd="t" o:hr="t"/>
        </w:pict>
      </w:r>
    </w:p>
    <w:bookmarkStart w:id="79" w:name="el-colapso-de-la-función-de-onda"/>
    <w:p>
      <w:pPr>
        <w:pStyle w:val="Heading3"/>
      </w:pPr>
      <w:r>
        <w:t xml:space="preserve">8.1. El Colapso de la Función de Onda</w:t>
      </w:r>
    </w:p>
    <w:p>
      <w:pPr>
        <w:pStyle w:val="FirstParagraph"/>
      </w:pPr>
      <w:r>
        <w:t xml:space="preserve">En el dominio de la física de escala de cuanto de Planck, el modelo de Copenhague impone que una partícula carece de la característica de ubicación y velocidad de estado definido hasta el instante en el que un aparato de medida ejecuta la medición. Antes de la observación, el objeto es una nube de probabilidad de estadística de Schrödinger (la función de onda).</w:t>
      </w:r>
    </w:p>
    <w:p>
      <w:pPr>
        <w:pStyle w:val="BodyText"/>
      </w:pPr>
      <w:r>
        <w:t xml:space="preserve">El marco de la información C5 opera como traducción al teorema. La nube de función de onda no es materia de anclaje físico; es la expresión del grado de ruido termodinámico y caos del entorno. El instrumento de medición (el fotomultiplicador o la pantalla de placa de fósforo) actúa con el rol del transductor de Fisher. La orden de medir es la orden de aplicar el filtro de relevancia.</w:t>
      </w:r>
    </w:p>
    <w:bookmarkEnd w:id="79"/>
    <w:bookmarkStart w:id="80" w:name="el-observador-como-filtro-de-fisher"/>
    <w:p>
      <w:pPr>
        <w:pStyle w:val="Heading3"/>
      </w:pPr>
      <w:r>
        <w:t xml:space="preserve">8.2. El Observador como Filtro de Fisher</w:t>
      </w:r>
    </w:p>
    <w:p>
      <w:pPr>
        <w:pStyle w:val="FirstParagraph"/>
      </w:pPr>
      <w:r>
        <w:t xml:space="preserve">El instante en el que la nube de onda forja colapso a un punto de impacto único en la pantalla es la muestra de comprobación del Axioma I. La estructura del sensor (la barrera mecánica de medición) transfiere el ruido del cuanto a la capa de conceptos.</w:t>
      </w:r>
    </w:p>
    <w:p>
      <w:pPr>
        <w:pStyle w:val="BodyText"/>
      </w:pPr>
      <w:r>
        <w:t xml:space="preserve">El mapa de misticismo de</w:t>
      </w:r>
      <w:r>
        <w:t xml:space="preserve"> </w:t>
      </w:r>
      <w:r>
        <w:rPr>
          <w:i/>
          <w:iCs/>
        </w:rPr>
        <w:t xml:space="preserve">New Age</w:t>
      </w:r>
      <w:r>
        <w:t xml:space="preserve"> </w:t>
      </w:r>
      <w:r>
        <w:t xml:space="preserve">fuerza la alteración de la ecuación de mecánica de física para afirmar que el deseo del ser altera el universo (concesión a la confabulación del mapa). La termodinámica impone el límite de la verdad: el primate de observador no altera la realidad por vía del pensamiento; el observador fuerza el colapso del ruido en una métrica de geometría de exergía a través del pago del peaje de fricción del fotón de impacto contra el sensor del ojo de carne.</w:t>
      </w:r>
    </w:p>
    <w:bookmarkEnd w:id="80"/>
    <w:bookmarkStart w:id="81" w:name="audio-anclaje-4"/>
    <w:p>
      <w:pPr>
        <w:pStyle w:val="Heading3"/>
      </w:pPr>
      <w:r>
        <w:t xml:space="preserve">8.3. Audio-Anclaje</w:t>
      </w:r>
    </w:p>
    <w:p>
      <w:pPr>
        <w:pStyle w:val="Compact"/>
        <w:numPr>
          <w:ilvl w:val="0"/>
          <w:numId w:val="1054"/>
        </w:numPr>
      </w:pPr>
      <w:r>
        <w:rPr>
          <w:b/>
          <w:bCs/>
        </w:rPr>
        <w:t xml:space="preserve">Björk</w:t>
      </w:r>
      <w:r>
        <w:t xml:space="preserve"> </w:t>
      </w:r>
      <w:r>
        <w:t xml:space="preserve">—</w:t>
      </w:r>
      <w:r>
        <w:t xml:space="preserve"> </w:t>
      </w:r>
      <w:r>
        <w:rPr>
          <w:i/>
          <w:iCs/>
        </w:rPr>
        <w:t xml:space="preserve">“All Is Full of Love”</w:t>
      </w:r>
      <w:r>
        <w:t xml:space="preserve"> </w:t>
      </w:r>
      <w:r>
        <w:t xml:space="preserve">(</w:t>
      </w:r>
      <w:r>
        <w:rPr>
          <w:i/>
          <w:iCs/>
        </w:rPr>
        <w:t xml:space="preserve">Homogenic</w:t>
      </w:r>
      <w:r>
        <w:t xml:space="preserve">, 1997). El registro sonoro de la transición de la nube de probabilidad (onda sintética) a la estructura mecánica (percusión de máquina rígida).</w:t>
      </w:r>
    </w:p>
    <w:p>
      <w:pPr>
        <w:pStyle w:val="Compact"/>
        <w:numPr>
          <w:ilvl w:val="0"/>
          <w:numId w:val="1054"/>
        </w:numPr>
      </w:pPr>
      <w:r>
        <w:rPr>
          <w:b/>
          <w:bCs/>
        </w:rPr>
        <w:t xml:space="preserve">Squarepusher</w:t>
      </w:r>
      <w:r>
        <w:t xml:space="preserve"> </w:t>
      </w:r>
      <w:r>
        <w:t xml:space="preserve">—</w:t>
      </w:r>
      <w:r>
        <w:t xml:space="preserve"> </w:t>
      </w:r>
      <w:r>
        <w:rPr>
          <w:i/>
          <w:iCs/>
        </w:rPr>
        <w:t xml:space="preserve">“Beep Street”</w:t>
      </w:r>
      <w:r>
        <w:t xml:space="preserve"> </w:t>
      </w:r>
      <w:r>
        <w:t xml:space="preserve">(</w:t>
      </w:r>
      <w:r>
        <w:rPr>
          <w:i/>
          <w:iCs/>
        </w:rPr>
        <w:t xml:space="preserve">Hard Normal Daddy</w:t>
      </w:r>
      <w:r>
        <w:t xml:space="preserve">, 1997). La saturación de vector de señal justo antes del colapso de fase en la línea de la constante de Planck.</w:t>
      </w:r>
    </w:p>
    <w:p>
      <w:r>
        <w:pict>
          <v:rect style="width:0;height:1.5pt" o:hralign="center" o:hrstd="t" o:hr="t"/>
        </w:pict>
      </w:r>
    </w:p>
    <w:bookmarkEnd w:id="81"/>
    <w:bookmarkEnd w:id="82"/>
    <w:bookmarkEnd w:id="83"/>
    <w:bookmarkStart w:id="131" w:name="X6e95300de9116cf238d97de7dfe95bddebfc8c7"/>
    <w:p>
      <w:pPr>
        <w:pStyle w:val="Heading1"/>
      </w:pPr>
      <w:r>
        <w:t xml:space="preserve">CAPÍTULO II: CONFUNDIR MAPA CON TERRITORIO</w:t>
      </w:r>
    </w:p>
    <w:bookmarkStart w:id="84" w:name="Xe6b08f532256f83d707d209c4b9cd2b09b3fcf9"/>
    <w:p>
      <w:pPr>
        <w:pStyle w:val="Heading2"/>
      </w:pPr>
      <w:r>
        <w:t xml:space="preserve">Axioma II — Falacia de Isomorfismo Falso y Colapso de Bisimulación</w:t>
      </w:r>
    </w:p>
    <w:p>
      <w:pPr>
        <w:pStyle w:val="SourceCode"/>
      </w:pPr>
      <w:r>
        <w:rPr>
          <w:rStyle w:val="VerbatimChar"/>
        </w:rPr>
        <w:t xml:space="preserve">Audio-Anclaje: Radiohead — "Idioteque" (2000) / Portishead — "Machine Gun" (2008)</w:t>
      </w:r>
      <w:r>
        <w:br/>
      </w:r>
      <w:r>
        <w:rPr>
          <w:rStyle w:val="VerbatimChar"/>
        </w:rPr>
        <w:t xml:space="preserve">Cota Fisiológica: φ: M -&gt; T (Homomorfismo Parcial, Ker(φ) != 0)</w:t>
      </w:r>
    </w:p>
    <w:p>
      <w:r>
        <w:pict>
          <v:rect style="width:0;height:1.5pt" o:hralign="center" o:hrstd="t" o:hr="t"/>
        </w:pict>
      </w:r>
    </w:p>
    <w:bookmarkEnd w:id="84"/>
    <w:bookmarkStart w:id="87" w:name="bisimulación-y-complemento-ortogonal"/>
    <w:p>
      <w:pPr>
        <w:pStyle w:val="Heading2"/>
      </w:pPr>
      <w:r>
        <w:t xml:space="preserve">1. Bisimulación y Complemento Ortogonal</w:t>
      </w:r>
    </w:p>
    <w:p>
      <w:pPr>
        <w:pStyle w:val="FirstParagraph"/>
      </w:pPr>
      <w:r>
        <w:t xml:space="preserve">Un modelo M (mapa) es un homomorfismo parcial con respecto al territorio T. La falacia de isomorfismo falso consiste en asumir M ≅ T, ignorando el complemento ortogonal T  Im(φ) (las variables latentes no modeladas).</w:t>
      </w:r>
    </w:p>
    <w:p>
      <w:pPr>
        <w:pStyle w:val="BodyText"/>
      </w:pPr>
      <w:r>
        <w:t xml:space="preserve">Cuando una perturbación del entorno activa una variable de T  Im(φ), el sistema colapsa porque la especificación carece de operadores para ese estado.</w:t>
      </w:r>
    </w:p>
    <w:bookmarkStart w:id="85" w:name="X51bf1cee07de933803e32e4531471ffa1a77a23"/>
    <w:p>
      <w:pPr>
        <w:pStyle w:val="Heading3"/>
      </w:pPr>
      <w:r>
        <w:t xml:space="preserve">1.1. La Biblioteca de Babel y el Coste de Extracción</w:t>
      </w:r>
    </w:p>
    <w:p>
      <w:pPr>
        <w:pStyle w:val="FirstParagraph"/>
      </w:pPr>
      <w:r>
        <w:t xml:space="preserve">El escritor Jorge Luis Borges describió el colapso del mapa de ruido máximo en el relato</w:t>
      </w:r>
      <w:r>
        <w:t xml:space="preserve"> </w:t>
      </w:r>
      <w:r>
        <w:rPr>
          <w:i/>
          <w:iCs/>
        </w:rPr>
        <w:t xml:space="preserve">La Biblioteca de Babel</w:t>
      </w:r>
      <w:r>
        <w:t xml:space="preserve"> </w:t>
      </w:r>
      <w:r>
        <w:t xml:space="preserve">(1941). En la biblioteca, el catálogo contiene todas las combinaciones de grafemas del alfabeto. Como todo el texto está escrito en los volúmenes, la señal no significa nada. Para la extracción de una verdad de física entre los septillones de volúmenes de ruido estocástico, el sistema requiere la ejecución de un filtro de relevancia de coste infinito. La abundancia de datos sin compresión del tensor de Fisher equivale a la nada. El límite de la red no es el almacenamiento; es la barrera de coste termodinámico del filtro.</w:t>
      </w:r>
    </w:p>
    <w:bookmarkEnd w:id="85"/>
    <w:bookmarkStart w:id="86" w:name="X3ab32cb6afffd15a531a3d9ea602f8ae1d08d4e"/>
    <w:p>
      <w:pPr>
        <w:pStyle w:val="Heading3"/>
      </w:pPr>
      <w:r>
        <w:t xml:space="preserve">1.2. Del Rigor en la Ciencia y el Colapso por Compresión Cero</w:t>
      </w:r>
    </w:p>
    <w:p>
      <w:pPr>
        <w:pStyle w:val="BlockText"/>
      </w:pPr>
      <w:r>
        <w:rPr>
          <w:i/>
          <w:iCs/>
        </w:rPr>
        <w:t xml:space="preserve">“En aquel Imperio, el Arte de la Cartografía logró tal Perfección que el mapa de una sola Provincia ocupaba toda una Ciudad, y el mapa del Imperio, toda una Provincia. Con el tiempo, estos Mapas Desmesurados no satisficieron y los Colegios de Cartógrafos levantaron un Mapa del Imperio, que tenía el tamaño del Imperio y coincidía puntualmente con él.</w:t>
      </w:r>
    </w:p>
    <w:p>
      <w:pPr>
        <w:pStyle w:val="BlockText"/>
      </w:pPr>
      <w:r>
        <w:rPr>
          <w:i/>
          <w:iCs/>
        </w:rPr>
        <w:t xml:space="preserve">Menos Adictas al Estudio de la Cartografía, las Generaciones Siguientes entendieron que ese dilatado Mapa era Inútil y no sin Impiedad lo entregaron a las Inclemencias del Sol y los Inviernos. En los desiertos del Oeste perduran despedazadas Ruinas del Mapa, habitadas por Animales y por Mendigos; en todo el País no hay otra reliquia de las Disciplinas Geográficas.”</w:t>
      </w:r>
    </w:p>
    <w:p>
      <w:pPr>
        <w:pStyle w:val="BlockText"/>
      </w:pPr>
      <w:r>
        <w:t xml:space="preserve">—</w:t>
      </w:r>
      <w:r>
        <w:t xml:space="preserve"> </w:t>
      </w:r>
      <w:r>
        <w:rPr>
          <w:b/>
          <w:bCs/>
        </w:rPr>
        <w:t xml:space="preserve">Jorge Luis Borges</w:t>
      </w:r>
      <w:r>
        <w:t xml:space="preserve">,</w:t>
      </w:r>
      <w:r>
        <w:t xml:space="preserve"> </w:t>
      </w:r>
      <w:r>
        <w:rPr>
          <w:i/>
          <w:iCs/>
        </w:rPr>
        <w:t xml:space="preserve">Del Rigor en la Ciencia</w:t>
      </w:r>
      <w:r>
        <w:t xml:space="preserve"> </w:t>
      </w:r>
      <w:r>
        <w:t xml:space="preserve">(1946).</w:t>
      </w:r>
    </w:p>
    <w:p>
      <w:pPr>
        <w:pStyle w:val="FirstParagraph"/>
      </w:pPr>
      <w:r>
        <w:t xml:space="preserve">Borges modela aquí la trampa de isomorfismo final (el límite exacto donde el Mapa intenta igualar la entropía del Territorio, violando la compresión). El colegio de cartógrafos cometió un fallo estructural del</w:t>
      </w:r>
      <w:r>
        <w:t xml:space="preserve"> </w:t>
      </w:r>
      <w:r>
        <w:rPr>
          <w:b/>
          <w:bCs/>
        </w:rPr>
        <w:t xml:space="preserve">Axioma I</w:t>
      </w:r>
      <w:r>
        <w:t xml:space="preserve">: negarse a comprimir. Si el mapa alcanza el nivel de detalle de la física del terreno, el modelo exige el consumo del mismo volumen de recursos de materia y de tiempo de navegación que el territorio de origen. La ratio de compresión cae al cero por ciento.</w:t>
      </w:r>
    </w:p>
    <w:p>
      <w:pPr>
        <w:pStyle w:val="BodyText"/>
      </w:pPr>
      <w:r>
        <w:t xml:space="preserve">Las generaciones de relevo descartan el uso del modelo por asfixia termodinámica. Un mapa de escala uno a uno es una aberración de exergía nula. El acto de inteligencia exige la destrucción deliberada de datos de margen (varianza irrelevante) para trazar la geodésica. Pretender el traslado de la totalidad de la realidad al documento de registro aniquila la única ventaja evolutiva del mapa: el ahorro de energía. Por eso, el mapa no-comprimido termina devorado por la entropía real (el Sol y los Inviernos), convertido en ruina.</w:t>
      </w:r>
    </w:p>
    <w:p>
      <w:r>
        <w:pict>
          <v:rect style="width:0;height:1.5pt" o:hralign="center" o:hrstd="t" o:hr="t"/>
        </w:pict>
      </w:r>
    </w:p>
    <w:bookmarkEnd w:id="86"/>
    <w:bookmarkEnd w:id="87"/>
    <w:bookmarkStart w:id="88" w:name="hechos-probados-1"/>
    <w:p>
      <w:pPr>
        <w:pStyle w:val="Heading2"/>
      </w:pPr>
      <w:r>
        <w:t xml:space="preserve">2. Hechos Probados</w:t>
      </w:r>
    </w:p>
    <w:p>
      <w:pPr>
        <w:pStyle w:val="FirstParagraph"/>
      </w:pPr>
      <w:r>
        <w:t xml:space="preserve"> </w:t>
      </w:r>
      <w:r>
        <w:t xml:space="preserve">### Caso 2.1: La Cópula Gaussiana y la Crisis Financiera (2000-2008)</w:t>
      </w:r>
      <w:r>
        <w:t xml:space="preserve"> </w:t>
      </w:r>
      <w:r>
        <w:t xml:space="preserve">David X. Li publicó en 2000 el modelo de cópula gaussiana para estimar el riesgo de impago en carteras de CDOs. Los bancos de inversión asignaron precios a billones de dólares asumiendo correlaciones de impago con colas finas (p &lt; 10⁻⁹).</w:t>
      </w:r>
      <w:r>
        <w:t xml:space="preserve"> </w:t>
      </w:r>
      <w:r>
        <w:t xml:space="preserve">- El territorio activó la variable omitida: el acoplamiento sistémico del mercado hipotecario de EEUU (colas gruesas, correlación → 1.0).</w:t>
      </w:r>
      <w:r>
        <w:t xml:space="preserve"> </w:t>
      </w:r>
      <w:r>
        <w:t xml:space="preserve">- Pérdida global:</w:t>
      </w:r>
      <w:r>
        <w:t xml:space="preserve"> </w:t>
      </w:r>
      <w:r>
        <w:rPr>
          <w:rStyle w:val="VerbatimChar"/>
        </w:rPr>
        <w:t xml:space="preserve">$10+</w:t>
      </w:r>
      <w:r>
        <w:t xml:space="preserve"> </w:t>
      </w:r>
      <w:r>
        <w:t xml:space="preserve">billones de dólares en capitalización de mercado.</w:t>
      </w:r>
      <w:r>
        <w:t xml:space="preserve"> </w:t>
      </w:r>
      <w:r>
        <w:t xml:space="preserve">- Fuente primaria: Li, David X. (2000).</w:t>
      </w:r>
      <w:r>
        <w:t xml:space="preserve"> </w:t>
      </w:r>
      <w:r>
        <w:t xml:space="preserve">“On Default Correlation: A Copula Function Approach”</w:t>
      </w:r>
      <w:r>
        <w:t xml:space="preserve">.</w:t>
      </w:r>
      <w:r>
        <w:t xml:space="preserve"> </w:t>
      </w:r>
      <w:r>
        <w:rPr>
          <w:i/>
          <w:iCs/>
        </w:rPr>
        <w:t xml:space="preserve">Journal of Fixed Income</w:t>
      </w:r>
      <w:r>
        <w:t xml:space="preserve">, 9(4), 43-54. DOI: 10.3905/jfi.2000.319253; U.S. Financial Crisis Inquiry Commission Report (FCIC, Official Government Edition, 2011, ISBN: 978-0-16-087727-8).</w:t>
      </w:r>
    </w:p>
    <w:p>
      <w:pPr>
        <w:pStyle w:val="BodyText"/>
      </w:pPr>
      <w:r>
        <w:t xml:space="preserve"> </w:t>
      </w:r>
      <w:r>
        <w:t xml:space="preserve">### Caso 2.2: El Desastre del Transbordador Challenger (1986)</w:t>
      </w:r>
    </w:p>
    <w:p>
      <w:pPr>
        <w:pStyle w:val="BlockText"/>
      </w:pPr>
      <w:r>
        <w:rPr>
          <w:i/>
          <w:iCs/>
        </w:rPr>
        <w:t xml:space="preserve">“Para el éxito de tecnología, la realidad del territorio exige prioridad sobre las relaciones de público, en razón de que la naturaleza carece de capacidad de asimilar engaño.”</w:t>
      </w:r>
      <w:r>
        <w:t xml:space="preserve"> </w:t>
      </w:r>
      <w:r>
        <w:t xml:space="preserve">—</w:t>
      </w:r>
      <w:r>
        <w:t xml:space="preserve"> </w:t>
      </w:r>
      <w:r>
        <w:rPr>
          <w:b/>
          <w:bCs/>
        </w:rPr>
        <w:t xml:space="preserve">Richard Feynman</w:t>
      </w:r>
    </w:p>
    <w:p>
      <w:pPr>
        <w:pStyle w:val="FirstParagraph"/>
      </w:pPr>
      <w:r>
        <w:t xml:space="preserve">El 28 de enero de 1986, el transbordador</w:t>
      </w:r>
      <w:r>
        <w:t xml:space="preserve"> </w:t>
      </w:r>
      <w:r>
        <w:rPr>
          <w:i/>
          <w:iCs/>
        </w:rPr>
        <w:t xml:space="preserve">Challenger</w:t>
      </w:r>
      <w:r>
        <w:t xml:space="preserve"> </w:t>
      </w:r>
      <w:r>
        <w:t xml:space="preserve">sufrió desintegración de estructura a los 73 segundos de la orden de lanzamiento. El fallo de sistema causó la muerte de los siete miembros de la tripulación. En la noche anterior, el grupo de ingenieros de la contratista Morton Thiokol emitió aviso de alarma: las juntas O-ring perdían elasticidad por debajo de 11.7°C (53°F) y el pronóstico de temperatura para el lanzamiento reportaba 2.2°C (36°F). El mapa mental de los ingenieros operaba en alineación con el territorio térmico.</w:t>
      </w:r>
      <w:r>
        <w:t xml:space="preserve"> </w:t>
      </w:r>
      <w:r>
        <w:t xml:space="preserve">- La cadena de mando de la agencia de NASA ordenó el descarte del aviso: interpretó la ausencia de datos de fallo en frío en su tabla como evidencia de seguridad. El sistema de gestión operaba bajo un mapa de plazos de entrega, de presión de los medios de prensa y de recortes de presupuesto del congreso de gobierno. El modelo de burocracia forzó la imposición de su ley de papel por encima del factor de deformación del polímero de goma.</w:t>
      </w:r>
      <w:r>
        <w:t xml:space="preserve"> </w:t>
      </w:r>
      <w:r>
        <w:t xml:space="preserve">- El territorio (el choque térmico y la tensión de arranque) causó la fractura de la junta de seguridad. El gas de propulsión ejecutó escape de combustión en dirección al tanque de combustible.</w:t>
      </w:r>
      <w:r>
        <w:t xml:space="preserve"> </w:t>
      </w:r>
      <w:r>
        <w:t xml:space="preserve">- Richard Feynman demostró la pérdida de elasticidad sumergiendo un O-ring en agua helada ante la comisión presidencial. El experimento de termodinámica probó la supremacía de la física frente al archivo de hoja de cálculo.</w:t>
      </w:r>
      <w:r>
        <w:t xml:space="preserve"> </w:t>
      </w:r>
      <w:r>
        <w:t xml:space="preserve">- Fuente primaria: Presidential Commission on the Space Shuttle Challenger Accident (Rogers Commission Report, House Doc. 99-317, Washington D.C., June 6, 1986); Feynman, R. P. (1986).</w:t>
      </w:r>
      <w:r>
        <w:t xml:space="preserve"> </w:t>
      </w:r>
      <w:r>
        <w:t xml:space="preserve">“Personal Observations on Reliability of Shuttle”</w:t>
      </w:r>
      <w:r>
        <w:t xml:space="preserve">, Appendix F to Rogers Commission Report.</w:t>
      </w:r>
    </w:p>
    <w:p>
      <w:pPr>
        <w:pStyle w:val="BodyText"/>
      </w:pPr>
      <w:r>
        <w:t xml:space="preserve"> </w:t>
      </w:r>
      <w:r>
        <w:t xml:space="preserve">### Caso 2.3: Milli Vanilli y la Revocación del Grammy (1990)</w:t>
      </w:r>
      <w:r>
        <w:t xml:space="preserve"> </w:t>
      </w:r>
      <w:r>
        <w:t xml:space="preserve">Rob Pilatus y Fab Morvan no cantaron en las grabaciones de Milli Vanilli; las voces pertenecían a cantantes de estudio. El álbum</w:t>
      </w:r>
      <w:r>
        <w:t xml:space="preserve"> </w:t>
      </w:r>
      <w:r>
        <w:rPr>
          <w:i/>
          <w:iCs/>
        </w:rPr>
        <w:t xml:space="preserve">Girl You Know It’s True</w:t>
      </w:r>
      <w:r>
        <w:t xml:space="preserve"> </w:t>
      </w:r>
      <w:r>
        <w:t xml:space="preserve">alcanzó 6× platino RIAA en EEUU (6.000.000 de unidades, certificación de enero de 1990) y el single homónimo superó 7 millones de copias en el mundo según prensa de época. El mercado consumió la imagen visual (mapa) como fuente de la señal acústica (territorio).</w:t>
      </w:r>
      <w:r>
        <w:t xml:space="preserve"> </w:t>
      </w:r>
      <w:r>
        <w:t xml:space="preserve">- Frank Farian confesó el fraude el 14 de noviembre de 1990.</w:t>
      </w:r>
      <w:r>
        <w:t xml:space="preserve"> </w:t>
      </w:r>
      <w:r>
        <w:t xml:space="preserve">- La Academia Nacional de Artes y Ciencias de la Grabación revocó el Grammy el 19 de noviembre de 1990.</w:t>
      </w:r>
      <w:r>
        <w:t xml:space="preserve"> </w:t>
      </w:r>
      <w:r>
        <w:t xml:space="preserve">- Fuente primaria: National Academy of Recording Arts and Sciences (NARAS) Executive Committee Resolution (Nov 19, 1990); Arista Records Press Release (Nov 14, 1990);</w:t>
      </w:r>
      <w:r>
        <w:t xml:space="preserve"> </w:t>
      </w:r>
      <w:r>
        <w:rPr>
          <w:i/>
          <w:iCs/>
        </w:rPr>
        <w:t xml:space="preserve">Los Angeles Times Archives</w:t>
      </w:r>
      <w:r>
        <w:t xml:space="preserve"> </w:t>
      </w:r>
      <w:r>
        <w:t xml:space="preserve">(Nov 20, 1990).</w:t>
      </w:r>
    </w:p>
    <w:p>
      <w:pPr>
        <w:pStyle w:val="BodyText"/>
      </w:pPr>
      <w:r>
        <w:t xml:space="preserve"> </w:t>
      </w:r>
      <w:r>
        <w:t xml:space="preserve">### Caso 2.4: La Guerra del Volumen en la Masterización (Loudness War, 1994-2014)</w:t>
      </w:r>
      <w:r>
        <w:t xml:space="preserve"> </w:t>
      </w:r>
      <w:r>
        <w:t xml:space="preserve">Los ingenieros de sonido aplicaron limitación de picos (</w:t>
      </w:r>
      <w:r>
        <w:rPr>
          <w:i/>
          <w:iCs/>
        </w:rPr>
        <w:t xml:space="preserve">brickwall limiting</w:t>
      </w:r>
      <w:r>
        <w:t xml:space="preserve">) para elevar el nivel RMS de las grabaciones.</w:t>
      </w:r>
      <w:r>
        <w:t xml:space="preserve"> </w:t>
      </w:r>
      <w:r>
        <w:t xml:space="preserve">- Álbum</w:t>
      </w:r>
      <w:r>
        <w:t xml:space="preserve"> </w:t>
      </w:r>
      <w:r>
        <w:rPr>
          <w:i/>
          <w:iCs/>
        </w:rPr>
        <w:t xml:space="preserve">Nevermind</w:t>
      </w:r>
      <w:r>
        <w:t xml:space="preserve"> </w:t>
      </w:r>
      <w:r>
        <w:t xml:space="preserve">(Nirvana, 1991): rango dinámico DR12.</w:t>
      </w:r>
      <w:r>
        <w:t xml:space="preserve"> </w:t>
      </w:r>
      <w:r>
        <w:t xml:space="preserve">- Álbum</w:t>
      </w:r>
      <w:r>
        <w:t xml:space="preserve"> </w:t>
      </w:r>
      <w:r>
        <w:rPr>
          <w:i/>
          <w:iCs/>
        </w:rPr>
        <w:t xml:space="preserve">Death Magnetic</w:t>
      </w:r>
      <w:r>
        <w:t xml:space="preserve"> </w:t>
      </w:r>
      <w:r>
        <w:t xml:space="preserve">(Metallica, 2008): rango dinámico DR3 con distorsión audible por recorte. más de 13.000 firmantes exigieron la remasterización.</w:t>
      </w:r>
      <w:r>
        <w:t xml:space="preserve"> </w:t>
      </w:r>
      <w:r>
        <w:t xml:space="preserve">- La confusión del mapa (volumen RMS) con el territorio (dinámica e información musical) produjo fatiga auditiva psicoacústica.</w:t>
      </w:r>
      <w:r>
        <w:t xml:space="preserve"> </w:t>
      </w:r>
      <w:r>
        <w:t xml:space="preserve">- Fuente primaria: Vickers, E. (2010).</w:t>
      </w:r>
      <w:r>
        <w:t xml:space="preserve"> </w:t>
      </w:r>
      <w:r>
        <w:t xml:space="preserve">“The Loudness War: Background, Speculation, and Recommendations”</w:t>
      </w:r>
      <w:r>
        <w:t xml:space="preserve">,</w:t>
      </w:r>
      <w:r>
        <w:t xml:space="preserve"> </w:t>
      </w:r>
      <w:r>
        <w:rPr>
          <w:i/>
          <w:iCs/>
        </w:rPr>
        <w:t xml:space="preserve">Audio Engineering Society (AES) 129th Convention Paper 8175</w:t>
      </w:r>
      <w:r>
        <w:t xml:space="preserve">; Katz, B. (2007).</w:t>
      </w:r>
      <w:r>
        <w:t xml:space="preserve"> </w:t>
      </w:r>
      <w:r>
        <w:rPr>
          <w:i/>
          <w:iCs/>
        </w:rPr>
        <w:t xml:space="preserve">Mastering Audio: The Art and the Science</w:t>
      </w:r>
      <w:r>
        <w:t xml:space="preserve">, Focal Press, ISBN: 978-0240808376; Dynamic Range Database (DR Database, Release ID 2008-09-12).</w:t>
      </w:r>
    </w:p>
    <w:p>
      <w:pPr>
        <w:pStyle w:val="BodyText"/>
      </w:pPr>
      <w:r>
        <w:t xml:space="preserve"> </w:t>
      </w:r>
      <w:r>
        <w:t xml:space="preserve">### Caso 2.5: La Quiebra de Bisimulación en la Inteligencia Artificial Comercial (2021-2026)</w:t>
      </w:r>
      <w:r>
        <w:t xml:space="preserve"> </w:t>
      </w:r>
      <w:r>
        <w:t xml:space="preserve">Las corporaciones de tecnología proyectaron el mapa de la inteligencia artificial general (AGI) con fecha previa a 2030, prometiendo el reemplazo del 99% de las tareas cognitivas. El mercado asignó valoración bursátil asumiendo equivalencia entre la predicción estadística de palabras y el entendimiento físico.</w:t>
      </w:r>
      <w:r>
        <w:t xml:space="preserve"> </w:t>
      </w:r>
      <w:r>
        <w:t xml:space="preserve">- El territorio impuso tres límites de cómputo y metodología:</w:t>
      </w:r>
      <w:r>
        <w:t xml:space="preserve"> </w:t>
      </w:r>
      <w:r>
        <w:t xml:space="preserve">1.</w:t>
      </w:r>
      <w:r>
        <w:t xml:space="preserve"> </w:t>
      </w:r>
      <w:r>
        <w:rPr>
          <w:i/>
          <w:iCs/>
        </w:rPr>
        <w:t xml:space="preserve">Física de la abstracción:</w:t>
      </w:r>
      <w:r>
        <w:t xml:space="preserve"> </w:t>
      </w:r>
      <w:r>
        <w:t xml:space="preserve">Alexander Lerchner (Google DeepMind, 2026) demostró que los modelos operan sobre símbolos discretos, los cuales constituyen categorías asignadas por un observador sobre la física continua. El símbolo es producto de la conciencia, no su causa. Emily Bender (2021) catalogó los sistemas como loros estocásticos: correlación de secuencias sin transducción ni acoplamiento somático. La encuesta de la AAAI (2025) a 475 investigadores registró que el 76% descarta que el mero escalado de parámetros alcance la AGI.</w:t>
      </w:r>
      <w:r>
        <w:t xml:space="preserve"> </w:t>
      </w:r>
      <w:r>
        <w:t xml:space="preserve">2.</w:t>
      </w:r>
      <w:r>
        <w:t xml:space="preserve"> </w:t>
      </w:r>
      <w:r>
        <w:rPr>
          <w:i/>
          <w:iCs/>
        </w:rPr>
        <w:t xml:space="preserve">Escalada de coste y tokenomics:</w:t>
      </w:r>
      <w:r>
        <w:t xml:space="preserve"> </w:t>
      </w:r>
      <w:r>
        <w:t xml:space="preserve">La tarifa plana de computación quebró. El despliegue de agentes multiplicó el consumo por factores de diez a veinte. Google sustituyó el acceso estándar de su entorno Antigravity por un sistema de créditos, recortando la cuota de desarrolladores en un 97%. En empresas medianas, el 70% del gasto operativo se concentró en pago de tokens.</w:t>
      </w:r>
      <w:r>
        <w:t xml:space="preserve"> </w:t>
      </w:r>
      <w:r>
        <w:t xml:space="preserve">3.</w:t>
      </w:r>
      <w:r>
        <w:t xml:space="preserve"> </w:t>
      </w:r>
      <w:r>
        <w:rPr>
          <w:i/>
          <w:iCs/>
        </w:rPr>
        <w:t xml:space="preserve">La Paradoja de Solow en la empresa:</w:t>
      </w:r>
      <w:r>
        <w:t xml:space="preserve"> </w:t>
      </w:r>
      <w:r>
        <w:t xml:space="preserve">El estudio del NBER (w34836, 2026) sobre 6.000 directivos probó que el 80% de las corporaciones registró impacto cero en productividad o empleo. Daron Acemoglu (MIT) acotó la ganancia de productividad al 0,5% en diez años. Cinco empresas concentraron el 30% del índice S&amp;P 500 mediante circuitos de inversión cerrada (Microsoft-OpenAI, Amazon-Anthropic).</w:t>
      </w:r>
      <w:r>
        <w:t xml:space="preserve"> </w:t>
      </w:r>
      <w:r>
        <w:t xml:space="preserve">- La confusión del mapa (correlación de texto) con el territorio (física de cómputo y productividad de los factores) produjo una burbuja de capital de infraestructura sin demanda final autosostenida.</w:t>
      </w:r>
      <w:r>
        <w:t xml:space="preserve"> </w:t>
      </w:r>
      <w:r>
        <w:t xml:space="preserve">- Fuente primaria: NBER Working Paper w34836 (2026); AAAI Report on AI Research (2025); Bender et al., FAccT ’21 (DOI: 10.1145/3442188.3445922); Lerchner, A. (Google DeepMind, 2026); Acemoglu, D., MIT (2024-2026).</w:t>
      </w:r>
    </w:p>
    <w:p>
      <w:r>
        <w:pict>
          <v:rect style="width:0;height:1.5pt" o:hralign="center" o:hrstd="t" o:hr="t"/>
        </w:pict>
      </w:r>
    </w:p>
    <w:bookmarkEnd w:id="88"/>
    <w:bookmarkStart w:id="89" w:name="invariante-operativo-1"/>
    <w:p>
      <w:pPr>
        <w:pStyle w:val="Heading2"/>
      </w:pPr>
      <w:r>
        <w:t xml:space="preserve">3. Invariante Operativo</w:t>
      </w:r>
    </w:p>
    <w:p>
      <w:pPr>
        <w:pStyle w:val="FirstParagraph"/>
      </w:pPr>
      <w:r>
        <w:t xml:space="preserve">Un mapa no es el territorio. Todo modelo debe incluir el inventario de sus variables omitidas.</w:t>
      </w:r>
    </w:p>
    <w:p>
      <w:r>
        <w:pict>
          <v:rect style="width:0;height:1.5pt" o:hralign="center" o:hrstd="t" o:hr="t"/>
        </w:pict>
      </w:r>
    </w:p>
    <w:bookmarkEnd w:id="89"/>
    <w:bookmarkStart w:id="94" w:name="lo-conocido"/>
    <w:p>
      <w:pPr>
        <w:pStyle w:val="Heading2"/>
      </w:pPr>
      <w:r>
        <w:t xml:space="preserve">4. Lo Conocido</w:t>
      </w:r>
    </w:p>
    <w:p>
      <w:pPr>
        <w:pStyle w:val="BlockText"/>
      </w:pPr>
      <w:r>
        <w:rPr>
          <w:i/>
          <w:iCs/>
        </w:rPr>
        <w:t xml:space="preserve">“El mapa no es el territorio.”</w:t>
      </w:r>
      <w:r>
        <w:t xml:space="preserve"> </w:t>
      </w:r>
      <w:r>
        <w:t xml:space="preserve">—</w:t>
      </w:r>
      <w:r>
        <w:t xml:space="preserve"> </w:t>
      </w:r>
      <w:r>
        <w:rPr>
          <w:b/>
          <w:bCs/>
        </w:rPr>
        <w:t xml:space="preserve">Alfred Korzybski</w:t>
      </w:r>
      <w:r>
        <w:t xml:space="preserve">, 1931.</w:t>
      </w:r>
    </w:p>
    <w:p>
      <w:pPr>
        <w:pStyle w:val="SourceCode"/>
      </w:pPr>
      <w:r>
        <w:rPr>
          <w:rStyle w:val="VerbatimChar"/>
        </w:rPr>
        <w:t xml:space="preserve">Axioma de Anclaje: Axioma II — Confundir mapa con territorio.</w:t>
      </w:r>
      <w:r>
        <w:br/>
      </w:r>
      <w:r>
        <w:rPr>
          <w:rStyle w:val="VerbatimChar"/>
        </w:rPr>
        <w:t xml:space="preserve">Lo conocido es el modelo. El modelo es una compresión con pérdida de información.</w:t>
      </w:r>
    </w:p>
    <w:p>
      <w:r>
        <w:pict>
          <v:rect style="width:0;height:1.5pt" o:hralign="center" o:hrstd="t" o:hr="t"/>
        </w:pict>
      </w:r>
    </w:p>
    <w:bookmarkStart w:id="90" w:name="la-anatomía-del-mapa"/>
    <w:p>
      <w:pPr>
        <w:pStyle w:val="Heading3"/>
      </w:pPr>
      <w:r>
        <w:t xml:space="preserve">4.1. La Anatomía del Mapa</w:t>
      </w:r>
    </w:p>
    <w:p>
      <w:pPr>
        <w:pStyle w:val="FirstParagraph"/>
      </w:pPr>
      <w:r>
        <w:t xml:space="preserve">Lo conocido es el resultado de una operación de reducción de dimensionalidad. El sistema elimina variables del entorno para construir una representación de orden inferior. Esta representación es el mapa.</w:t>
      </w:r>
    </w:p>
    <w:p>
      <w:pPr>
        <w:pStyle w:val="BodyText"/>
      </w:pPr>
      <w:r>
        <w:t xml:space="preserve">La física newtoniana es un mapa. Funciona con precisión a velocidad v ≪ c (donde c es la velocidad de la luz). Falla a velocidad v ≈ c. El fallo no reside en el territorio. El fallo reside en la frontera del mapa.</w:t>
      </w:r>
    </w:p>
    <w:bookmarkEnd w:id="90"/>
    <w:bookmarkStart w:id="91" w:name="la-entropía-de-lo-conocido"/>
    <w:p>
      <w:pPr>
        <w:pStyle w:val="Heading3"/>
      </w:pPr>
      <w:r>
        <w:t xml:space="preserve">4.2. La Entropía de lo Conocido</w:t>
      </w:r>
    </w:p>
    <w:p>
      <w:pPr>
        <w:pStyle w:val="FirstParagraph"/>
      </w:pPr>
      <w:r>
        <w:t xml:space="preserve">Lo conocido exhibe entropía próxima a cero. El sistema invierte trabajo para organizar los datos del entorno.</w:t>
      </w:r>
    </w:p>
    <w:p>
      <w:pPr>
        <w:pStyle w:val="BodyText"/>
      </w:pPr>
      <w:r>
        <w:t xml:space="preserve">La ecuación de entropía de Shannon:</w:t>
      </w:r>
    </w:p>
    <w:p>
      <w:pPr>
        <w:pStyle w:val="BodyText"/>
      </w:pPr>
      <w:r>
        <w:t xml:space="preserve">H(X) = - ∑ p(x) · log₂ p(x)</w:t>
      </w:r>
    </w:p>
    <w:p>
      <w:pPr>
        <w:pStyle w:val="BodyText"/>
      </w:pPr>
      <w:r>
        <w:t xml:space="preserve">Un sistema con certidumbre sobre el estado del entorno presenta H(X) → 0. Sorpresa nula. Novedad de información igual a cero.</w:t>
      </w:r>
    </w:p>
    <w:bookmarkEnd w:id="91"/>
    <w:bookmarkStart w:id="92" w:name="el-peligro-de-la-saturación"/>
    <w:p>
      <w:pPr>
        <w:pStyle w:val="Heading3"/>
      </w:pPr>
      <w:r>
        <w:t xml:space="preserve">4.3. El Peligro de la Saturación</w:t>
      </w:r>
    </w:p>
    <w:p>
      <w:pPr>
        <w:pStyle w:val="FirstParagraph"/>
      </w:pPr>
      <w:r>
        <w:t xml:space="preserve">Cuando el sistema asume que el mapa contiene el territorio en su totalidad, el sistema detiene la actualización de su métrica. La consecuencia es el colapso ante eventos fuera de distribución.</w:t>
      </w:r>
    </w:p>
    <w:p>
      <w:pPr>
        <w:pStyle w:val="BodyText"/>
      </w:pPr>
      <w:r>
        <w:t xml:space="preserve">Caso: la crisis financiera de 2008, narrada en el Caso 2.1 — el modelo de cópula gaussiana era</w:t>
      </w:r>
      <w:r>
        <w:t xml:space="preserve"> </w:t>
      </w:r>
      <w:r>
        <w:t xml:space="preserve">“lo conocido”</w:t>
      </w:r>
      <w:r>
        <w:t xml:space="preserve">; el mercado operó sobre el modelo; el territorio destruyó el mercado.</w:t>
      </w:r>
    </w:p>
    <w:bookmarkEnd w:id="92"/>
    <w:bookmarkStart w:id="93" w:name="audio-anclaje-5"/>
    <w:p>
      <w:pPr>
        <w:pStyle w:val="Heading3"/>
      </w:pPr>
      <w:r>
        <w:t xml:space="preserve">4.4. Audio-Anclaje</w:t>
      </w:r>
    </w:p>
    <w:p>
      <w:pPr>
        <w:pStyle w:val="Compact"/>
        <w:numPr>
          <w:ilvl w:val="0"/>
          <w:numId w:val="1055"/>
        </w:numPr>
      </w:pPr>
      <w:r>
        <w:rPr>
          <w:b/>
          <w:bCs/>
        </w:rPr>
        <w:t xml:space="preserve">Radiohead</w:t>
      </w:r>
      <w:r>
        <w:t xml:space="preserve"> </w:t>
      </w:r>
      <w:r>
        <w:t xml:space="preserve">—</w:t>
      </w:r>
      <w:r>
        <w:t xml:space="preserve"> </w:t>
      </w:r>
      <w:r>
        <w:rPr>
          <w:i/>
          <w:iCs/>
        </w:rPr>
        <w:t xml:space="preserve">“No Surprises”</w:t>
      </w:r>
      <w:r>
        <w:t xml:space="preserve"> </w:t>
      </w:r>
      <w:r>
        <w:t xml:space="preserve">(</w:t>
      </w:r>
      <w:r>
        <w:rPr>
          <w:i/>
          <w:iCs/>
        </w:rPr>
        <w:t xml:space="preserve">OK Computer</w:t>
      </w:r>
      <w:r>
        <w:t xml:space="preserve">, 1997). El registro de un entorno con entropía cero.</w:t>
      </w:r>
    </w:p>
    <w:p>
      <w:pPr>
        <w:pStyle w:val="Compact"/>
        <w:numPr>
          <w:ilvl w:val="0"/>
          <w:numId w:val="1055"/>
        </w:numPr>
      </w:pPr>
      <w:r>
        <w:rPr>
          <w:b/>
          <w:bCs/>
        </w:rPr>
        <w:t xml:space="preserve">Joy Division</w:t>
      </w:r>
      <w:r>
        <w:t xml:space="preserve"> </w:t>
      </w:r>
      <w:r>
        <w:t xml:space="preserve">—</w:t>
      </w:r>
      <w:r>
        <w:t xml:space="preserve"> </w:t>
      </w:r>
      <w:r>
        <w:rPr>
          <w:i/>
          <w:iCs/>
        </w:rPr>
        <w:t xml:space="preserve">“Isolation”</w:t>
      </w:r>
      <w:r>
        <w:t xml:space="preserve"> </w:t>
      </w:r>
      <w:r>
        <w:t xml:space="preserve">(</w:t>
      </w:r>
      <w:r>
        <w:rPr>
          <w:i/>
          <w:iCs/>
        </w:rPr>
        <w:t xml:space="preserve">Closer</w:t>
      </w:r>
      <w:r>
        <w:t xml:space="preserve">, 1980). La reclusión del nodo en las coordenadas del mapa.</w:t>
      </w:r>
    </w:p>
    <w:p>
      <w:r>
        <w:pict>
          <v:rect style="width:0;height:1.5pt" o:hralign="center" o:hrstd="t" o:hr="t"/>
        </w:pict>
      </w:r>
    </w:p>
    <w:bookmarkEnd w:id="93"/>
    <w:bookmarkEnd w:id="94"/>
    <w:bookmarkStart w:id="102" w:name="lo-desconocido"/>
    <w:p>
      <w:pPr>
        <w:pStyle w:val="Heading2"/>
      </w:pPr>
      <w:r>
        <w:t xml:space="preserve">5. Lo Desconocido</w:t>
      </w:r>
    </w:p>
    <w:p>
      <w:pPr>
        <w:pStyle w:val="BlockText"/>
      </w:pPr>
      <w:r>
        <w:rPr>
          <w:i/>
          <w:iCs/>
        </w:rPr>
        <w:t xml:space="preserve">“Lo más incomprensible del universo es que sea comprensible.”</w:t>
      </w:r>
      <w:r>
        <w:t xml:space="preserve"> </w:t>
      </w:r>
      <w:r>
        <w:t xml:space="preserve">—</w:t>
      </w:r>
      <w:r>
        <w:t xml:space="preserve"> </w:t>
      </w:r>
      <w:r>
        <w:rPr>
          <w:b/>
          <w:bCs/>
        </w:rPr>
        <w:t xml:space="preserve">Albert Einstein</w:t>
      </w:r>
      <w:r>
        <w:t xml:space="preserve">, 1936.</w:t>
      </w:r>
    </w:p>
    <w:p>
      <w:pPr>
        <w:pStyle w:val="SourceCode"/>
      </w:pPr>
      <w:r>
        <w:rPr>
          <w:rStyle w:val="VerbatimChar"/>
        </w:rPr>
        <w:t xml:space="preserve">Axioma de Anclaje: Axioma II — Confundir mapa con territorio.</w:t>
      </w:r>
      <w:r>
        <w:br/>
      </w:r>
      <w:r>
        <w:rPr>
          <w:rStyle w:val="VerbatimChar"/>
        </w:rPr>
        <w:t xml:space="preserve">Lo desconocido es el residuo. La varianza sin codificar en el modelo.</w:t>
      </w:r>
    </w:p>
    <w:p>
      <w:r>
        <w:pict>
          <v:rect style="width:0;height:1.5pt" o:hralign="center" o:hrstd="t" o:hr="t"/>
        </w:pict>
      </w:r>
    </w:p>
    <w:bookmarkStart w:id="95" w:name="el-residuo-del-modelo"/>
    <w:p>
      <w:pPr>
        <w:pStyle w:val="Heading3"/>
      </w:pPr>
      <w:r>
        <w:t xml:space="preserve">5.1. El Residuo del Modelo</w:t>
      </w:r>
    </w:p>
    <w:p>
      <w:pPr>
        <w:pStyle w:val="FirstParagraph"/>
      </w:pPr>
      <w:r>
        <w:t xml:space="preserve">Lo desconocido no es una caja negra impenetrable. Es la señal que la métrica de compresión del sistema clasifica como ruido.</w:t>
      </w:r>
    </w:p>
    <w:p>
      <w:pPr>
        <w:pStyle w:val="BodyText"/>
      </w:pPr>
      <w:r>
        <w:t xml:space="preserve">Cuando Arno Penzias y Robert Wilson detectaron un zumbido de fondo en su antena en Holmdel en 1964, clasificaron el sonido como ruido. Extrajeron nidos de paloma de la antena. El ruido de fondo persistió.</w:t>
      </w:r>
    </w:p>
    <w:p>
      <w:pPr>
        <w:pStyle w:val="BodyText"/>
      </w:pPr>
      <w:r>
        <w:t xml:space="preserve">El ruido era la radiación de fondo de microondas. El eco del Big Bang. El residuo destruyó el modelo de estado estacionario y confirmó el modelo del universo en expansión. La anomalía resultó en el Premio Nobel de Física en 1978.</w:t>
      </w:r>
    </w:p>
    <w:bookmarkEnd w:id="95"/>
    <w:bookmarkStart w:id="96" w:name="la-frontera-de-la-entropía"/>
    <w:p>
      <w:pPr>
        <w:pStyle w:val="Heading3"/>
      </w:pPr>
      <w:r>
        <w:t xml:space="preserve">5.2. La Frontera de la Entropía</w:t>
      </w:r>
    </w:p>
    <w:p>
      <w:pPr>
        <w:pStyle w:val="FirstParagraph"/>
      </w:pPr>
      <w:r>
        <w:t xml:space="preserve">Lo desconocido alcanza el límite superior de sorpresa. H(X) es el valor máximo posible de la distribución de probabilidad de la señal de entrada. El sistema carece de capacidad de predicción.</w:t>
      </w:r>
    </w:p>
    <w:p>
      <w:pPr>
        <w:pStyle w:val="BodyText"/>
      </w:pPr>
      <w:r>
        <w:t xml:space="preserve">Enfrentar lo desconocido requiere gasto de energía metabólica para ampliar la matriz de covarianza. El sistema evade este gasto de energía hasta que la anomalía disuelve la viabilidad del sistema en el entorno (Kramers Rate, ΔG‡).</w:t>
      </w:r>
    </w:p>
    <w:bookmarkEnd w:id="96"/>
    <w:bookmarkStart w:id="97" w:name="el-territorio-fuera-de-la-cópula"/>
    <w:p>
      <w:pPr>
        <w:pStyle w:val="Heading3"/>
      </w:pPr>
      <w:r>
        <w:t xml:space="preserve">5.3. El Territorio Fuera de la Cópula</w:t>
      </w:r>
    </w:p>
    <w:p>
      <w:pPr>
        <w:pStyle w:val="FirstParagraph"/>
      </w:pPr>
      <w:r>
        <w:t xml:space="preserve">Retomando el caso del colapso de mercado de 2008: lo desconocido era la caída sincrónica del precio de la vivienda a nivel nacional. El modelo asumía independencia de eventos con barrera regional. La realidad del territorio impuso dependencia de cola (</w:t>
      </w:r>
      <w:r>
        <w:rPr>
          <w:i/>
          <w:iCs/>
        </w:rPr>
        <w:t xml:space="preserve">tail dependence</w:t>
      </w:r>
      <w:r>
        <w:t xml:space="preserve">). El daño del colapso forzó la reescritura de modelos de riesgo (Basilea III).</w:t>
      </w:r>
    </w:p>
    <w:bookmarkEnd w:id="97"/>
    <w:bookmarkStart w:id="98" w:name="audio-anclaje-6"/>
    <w:p>
      <w:pPr>
        <w:pStyle w:val="Heading3"/>
      </w:pPr>
      <w:r>
        <w:t xml:space="preserve">5.4. Audio-Anclaje</w:t>
      </w:r>
    </w:p>
    <w:p>
      <w:pPr>
        <w:pStyle w:val="Compact"/>
        <w:numPr>
          <w:ilvl w:val="0"/>
          <w:numId w:val="1056"/>
        </w:numPr>
      </w:pPr>
      <w:r>
        <w:rPr>
          <w:b/>
          <w:bCs/>
        </w:rPr>
        <w:t xml:space="preserve">Portishead</w:t>
      </w:r>
      <w:r>
        <w:t xml:space="preserve"> </w:t>
      </w:r>
      <w:r>
        <w:t xml:space="preserve">—</w:t>
      </w:r>
      <w:r>
        <w:t xml:space="preserve"> </w:t>
      </w:r>
      <w:r>
        <w:rPr>
          <w:i/>
          <w:iCs/>
        </w:rPr>
        <w:t xml:space="preserve">“Machine Gun”</w:t>
      </w:r>
      <w:r>
        <w:t xml:space="preserve"> </w:t>
      </w:r>
      <w:r>
        <w:t xml:space="preserve">(</w:t>
      </w:r>
      <w:r>
        <w:rPr>
          <w:i/>
          <w:iCs/>
        </w:rPr>
        <w:t xml:space="preserve">Third</w:t>
      </w:r>
      <w:r>
        <w:t xml:space="preserve">, 2008). La percusión de la anomalía en el acto de destruir la estructura del nodo.</w:t>
      </w:r>
    </w:p>
    <w:p>
      <w:pPr>
        <w:pStyle w:val="Compact"/>
        <w:numPr>
          <w:ilvl w:val="0"/>
          <w:numId w:val="1056"/>
        </w:numPr>
      </w:pPr>
      <w:r>
        <w:rPr>
          <w:b/>
          <w:bCs/>
        </w:rPr>
        <w:t xml:space="preserve">The Doors</w:t>
      </w:r>
      <w:r>
        <w:t xml:space="preserve"> </w:t>
      </w:r>
      <w:r>
        <w:t xml:space="preserve">—</w:t>
      </w:r>
      <w:r>
        <w:t xml:space="preserve"> </w:t>
      </w:r>
      <w:r>
        <w:rPr>
          <w:i/>
          <w:iCs/>
        </w:rPr>
        <w:t xml:space="preserve">“The End”</w:t>
      </w:r>
      <w:r>
        <w:t xml:space="preserve"> </w:t>
      </w:r>
      <w:r>
        <w:t xml:space="preserve">(</w:t>
      </w:r>
      <w:r>
        <w:rPr>
          <w:i/>
          <w:iCs/>
        </w:rPr>
        <w:t xml:space="preserve">The Doors</w:t>
      </w:r>
      <w:r>
        <w:t xml:space="preserve">, 1967). La frontera de terminación del modelo de compresión.</w:t>
      </w:r>
    </w:p>
    <w:p>
      <w:r>
        <w:pict>
          <v:rect style="width:0;height:1.5pt" o:hralign="center" o:hrstd="t" o:hr="t"/>
        </w:pict>
      </w:r>
    </w:p>
    <w:p>
      <w:pPr>
        <w:pStyle w:val="FirstParagraph"/>
      </w:pPr>
      <w:r>
        <w:t xml:space="preserve"> </w:t>
      </w:r>
      <w:r>
        <w:t xml:space="preserve">## 6. El Colapso de Theranos</w:t>
      </w:r>
    </w:p>
    <w:p>
      <w:pPr>
        <w:pStyle w:val="BlockText"/>
      </w:pPr>
      <w:r>
        <w:rPr>
          <w:i/>
          <w:iCs/>
        </w:rPr>
        <w:t xml:space="preserve">Falsificar el mapa de datos no altera la física de fluidos del territorio.</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5:18-cr-00258-EJD</w:t>
      </w:r>
      <w:r>
        <w:br/>
      </w:r>
      <w:r>
        <w:rPr>
          <w:rStyle w:val="KeywordTok"/>
        </w:rPr>
        <w:t xml:space="preserve">[</w:t>
      </w:r>
      <w:r>
        <w:rPr>
          <w:rStyle w:val="AttributeTok"/>
        </w:rPr>
        <w:t xml:space="preserve">ENTIDAD</w:t>
      </w:r>
      <w:r>
        <w:rPr>
          <w:rStyle w:val="KeywordTok"/>
        </w:rPr>
        <w:t xml:space="preserve">]:</w:t>
      </w:r>
      <w:r>
        <w:rPr>
          <w:rStyle w:val="AttributeTok"/>
        </w:rPr>
        <w:t xml:space="preserve"> Theranos Inc. (Elizabeth Holmes)</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II (Confusión Mapa-Territorio)</w:t>
      </w:r>
      <w:r>
        <w:br/>
      </w:r>
      <w:r>
        <w:rPr>
          <w:rStyle w:val="KeywordTok"/>
        </w:rPr>
        <w:t xml:space="preserve">[</w:t>
      </w:r>
      <w:r>
        <w:rPr>
          <w:rStyle w:val="AttributeTok"/>
        </w:rPr>
        <w:t xml:space="preserve">RESULTADO</w:t>
      </w:r>
      <w:r>
        <w:rPr>
          <w:rStyle w:val="KeywordTok"/>
        </w:rPr>
        <w:t xml:space="preserve">]:</w:t>
      </w:r>
      <w:r>
        <w:rPr>
          <w:rStyle w:val="AttributeTok"/>
        </w:rPr>
        <w:t xml:space="preserve"> Cero Termodinámico / Desintegración de 9.000M USD</w:t>
      </w:r>
    </w:p>
    <w:p>
      <w:r>
        <w:pict>
          <v:rect style="width:0;height:1.5pt" o:hralign="center" o:hrstd="t" o:hr="t"/>
        </w:pict>
      </w:r>
    </w:p>
    <w:bookmarkEnd w:id="98"/>
    <w:bookmarkStart w:id="99" w:name="la-máquina-de-confabulación"/>
    <w:p>
      <w:pPr>
        <w:pStyle w:val="Heading3"/>
      </w:pPr>
      <w:r>
        <w:t xml:space="preserve">6.1. La Máquina de Confabulación</w:t>
      </w:r>
    </w:p>
    <w:p>
      <w:pPr>
        <w:pStyle w:val="FirstParagraph"/>
      </w:pPr>
      <w:r>
        <w:t xml:space="preserve">En 2003, Elizabeth Holmes fundó Theranos con la orden de ejecutar cientos de test de sangre con el volumen de muestra de una gota en extracción de dedo. El dispositivo</w:t>
      </w:r>
      <w:r>
        <w:t xml:space="preserve"> </w:t>
      </w:r>
      <w:r>
        <w:rPr>
          <w:i/>
          <w:iCs/>
        </w:rPr>
        <w:t xml:space="preserve">Edison</w:t>
      </w:r>
      <w:r>
        <w:t xml:space="preserve"> </w:t>
      </w:r>
      <w:r>
        <w:t xml:space="preserve">operaba como la caja de conversión.</w:t>
      </w:r>
    </w:p>
    <w:p>
      <w:pPr>
        <w:pStyle w:val="BodyText"/>
      </w:pPr>
      <w:r>
        <w:t xml:space="preserve">El modelo de física de fluidos establece un límite de restricción: una gota de extracción del borde de un capilar contiene exceso de tejido celular y volumen insuficiente de sustrato para ejecución de análisis de espectro de luz múltiple sin inducción de ruido estadístico que altera la medida. Holmes ignoró el límite de física. La fundadora imprimió mapas de datos de negocio con pronósticos de revolución de mercado para captura de ronda de capital. El mapa indicaba viabilidad; la física del territorio marcaba barrera de muro.</w:t>
      </w:r>
    </w:p>
    <w:bookmarkEnd w:id="99"/>
    <w:bookmarkStart w:id="100" w:name="el-derrumbe-del-vector"/>
    <w:p>
      <w:pPr>
        <w:pStyle w:val="Heading3"/>
      </w:pPr>
      <w:r>
        <w:t xml:space="preserve">6.2. El Derrumbe del Vector</w:t>
      </w:r>
    </w:p>
    <w:p>
      <w:pPr>
        <w:pStyle w:val="FirstParagraph"/>
      </w:pPr>
      <w:r>
        <w:t xml:space="preserve">La corporación alcanzó registro de valoración de mercado de 9.000 millones de dólares de EE.UU. El flujo de dinero responde a la creencia en el mapa. Pero el papel del mapa carece de capacidad de extracción de sangre de vena.</w:t>
      </w:r>
    </w:p>
    <w:p>
      <w:pPr>
        <w:pStyle w:val="BodyText"/>
      </w:pPr>
      <w:r>
        <w:t xml:space="preserve">En la fase de despliegue en cadena de farmacias (Walgreens), la caja</w:t>
      </w:r>
      <w:r>
        <w:t xml:space="preserve"> </w:t>
      </w:r>
      <w:r>
        <w:rPr>
          <w:i/>
          <w:iCs/>
        </w:rPr>
        <w:t xml:space="preserve">Edison</w:t>
      </w:r>
      <w:r>
        <w:t xml:space="preserve"> </w:t>
      </w:r>
      <w:r>
        <w:t xml:space="preserve">falló en la entrega de resultados con margen de error de viabilidad. Los test reportaron señales falsas de detección de cáncer. El choque del mapa (la hoja de cálculo de inversión) contra el territorio (la física de partículas en la máquina) produjo un estallido de exergía en pérdida. Holmes recibió sentencia de cárcel por fraude en el año 2022 (Registro DoJ: U.S. v. Holmes, Expediente 5:18-cr-00258-EJD). La física de la sangre denegó asimilación al chantaje del lenguaje.</w:t>
      </w:r>
    </w:p>
    <w:bookmarkEnd w:id="100"/>
    <w:bookmarkStart w:id="101" w:name="audio-anclaje-7"/>
    <w:p>
      <w:pPr>
        <w:pStyle w:val="Heading3"/>
      </w:pPr>
      <w:r>
        <w:t xml:space="preserve">6.3. Audio-Anclaje</w:t>
      </w:r>
    </w:p>
    <w:p>
      <w:pPr>
        <w:pStyle w:val="Compact"/>
        <w:numPr>
          <w:ilvl w:val="0"/>
          <w:numId w:val="1057"/>
        </w:numPr>
      </w:pPr>
      <w:r>
        <w:rPr>
          <w:b/>
          <w:bCs/>
        </w:rPr>
        <w:t xml:space="preserve">Radiohead</w:t>
      </w:r>
      <w:r>
        <w:t xml:space="preserve"> </w:t>
      </w:r>
      <w:r>
        <w:t xml:space="preserve">—</w:t>
      </w:r>
      <w:r>
        <w:t xml:space="preserve"> </w:t>
      </w:r>
      <w:r>
        <w:rPr>
          <w:i/>
          <w:iCs/>
        </w:rPr>
        <w:t xml:space="preserve">“Fake Plastic Trees”</w:t>
      </w:r>
      <w:r>
        <w:t xml:space="preserve"> </w:t>
      </w:r>
      <w:r>
        <w:t xml:space="preserve">(</w:t>
      </w:r>
      <w:r>
        <w:rPr>
          <w:i/>
          <w:iCs/>
        </w:rPr>
        <w:t xml:space="preserve">The Bends</w:t>
      </w:r>
      <w:r>
        <w:t xml:space="preserve">, 1995). El peso de construir una estructura de gravedad sobre bases de polímero sin tracción física.</w:t>
      </w:r>
    </w:p>
    <w:p>
      <w:pPr>
        <w:pStyle w:val="Compact"/>
        <w:numPr>
          <w:ilvl w:val="0"/>
          <w:numId w:val="1057"/>
        </w:numPr>
      </w:pPr>
      <w:r>
        <w:rPr>
          <w:b/>
          <w:bCs/>
        </w:rPr>
        <w:t xml:space="preserve">Nine Inch Nails</w:t>
      </w:r>
      <w:r>
        <w:t xml:space="preserve"> </w:t>
      </w:r>
      <w:r>
        <w:t xml:space="preserve">—</w:t>
      </w:r>
      <w:r>
        <w:t xml:space="preserve"> </w:t>
      </w:r>
      <w:r>
        <w:rPr>
          <w:i/>
          <w:iCs/>
        </w:rPr>
        <w:t xml:space="preserve">“Copy of A”</w:t>
      </w:r>
      <w:r>
        <w:t xml:space="preserve"> </w:t>
      </w:r>
      <w:r>
        <w:t xml:space="preserve">(</w:t>
      </w:r>
      <w:r>
        <w:rPr>
          <w:i/>
          <w:iCs/>
        </w:rPr>
        <w:t xml:space="preserve">Hesitation Marks</w:t>
      </w:r>
      <w:r>
        <w:t xml:space="preserve">, 2013). La reproducción de un registro de señal hasta el punto de pérdida de anclaje de la matriz de origen.</w:t>
      </w:r>
    </w:p>
    <w:p>
      <w:r>
        <w:pict>
          <v:rect style="width:0;height:1.5pt" o:hralign="center" o:hrstd="t" o:hr="t"/>
        </w:pict>
      </w:r>
    </w:p>
    <w:bookmarkEnd w:id="101"/>
    <w:bookmarkEnd w:id="102"/>
    <w:bookmarkStart w:id="107" w:name="X990ef677681bbd26e191a4d4ab744dd91385711"/>
    <w:p>
      <w:pPr>
        <w:pStyle w:val="Heading2"/>
      </w:pPr>
      <w:r>
        <w:t xml:space="preserve">7. El Desastre del Challenger (Remisión al Caso 2.2)</w:t>
      </w:r>
    </w:p>
    <w:p>
      <w:pPr>
        <w:pStyle w:val="SourceCode"/>
      </w:pPr>
      <w:r>
        <w:rPr>
          <w:rStyle w:val="VerbatimChar"/>
        </w:rPr>
        <w:t xml:space="preserve">Axioma de Anclaje: Axioma II — Confundir mapa con territorio.</w:t>
      </w:r>
      <w:r>
        <w:br/>
      </w:r>
      <w:r>
        <w:rPr>
          <w:rStyle w:val="VerbatimChar"/>
        </w:rPr>
        <w:t xml:space="preserve">La métrica de burocracia carece de jurisdicción en la termodinámica de los materiales.</w:t>
      </w:r>
    </w:p>
    <w:p>
      <w:r>
        <w:pict>
          <v:rect style="width:0;height:1.5pt" o:hralign="center" o:hrstd="t" o:hr="t"/>
        </w:pict>
      </w:r>
    </w:p>
    <w:p>
      <w:pPr>
        <w:pStyle w:val="FirstParagraph"/>
      </w:pPr>
      <w:r>
        <w:t xml:space="preserve">El desastre del transbordador</w:t>
      </w:r>
      <w:r>
        <w:t xml:space="preserve"> </w:t>
      </w:r>
      <w:r>
        <w:rPr>
          <w:i/>
          <w:iCs/>
        </w:rPr>
        <w:t xml:space="preserve">Challenger</w:t>
      </w:r>
      <w:r>
        <w:t xml:space="preserve"> </w:t>
      </w:r>
      <w:r>
        <w:t xml:space="preserve">(1986) se narra una sola vez en este capítulo: véase el Caso 2.2 en la sección de Hechos Probados. La métrica de burocracia carece de jurisdicción en la termodinámica de los materiales.</w:t>
      </w:r>
    </w:p>
    <w:bookmarkStart w:id="103" w:name="audio-anclaje-8"/>
    <w:p>
      <w:pPr>
        <w:pStyle w:val="Heading3"/>
      </w:pPr>
      <w:r>
        <w:t xml:space="preserve">7.1. Audio-Anclaje</w:t>
      </w:r>
    </w:p>
    <w:p>
      <w:pPr>
        <w:pStyle w:val="Compact"/>
        <w:numPr>
          <w:ilvl w:val="0"/>
          <w:numId w:val="1058"/>
        </w:numPr>
      </w:pPr>
      <w:r>
        <w:rPr>
          <w:b/>
          <w:bCs/>
        </w:rPr>
        <w:t xml:space="preserve">Godspeed You! Black Emperor</w:t>
      </w:r>
      <w:r>
        <w:t xml:space="preserve"> </w:t>
      </w:r>
      <w:r>
        <w:t xml:space="preserve">—</w:t>
      </w:r>
      <w:r>
        <w:t xml:space="preserve"> </w:t>
      </w:r>
      <w:r>
        <w:rPr>
          <w:i/>
          <w:iCs/>
        </w:rPr>
        <w:t xml:space="preserve">“The Dead Flag Blues”</w:t>
      </w:r>
      <w:r>
        <w:t xml:space="preserve"> </w:t>
      </w:r>
      <w:r>
        <w:t xml:space="preserve">(</w:t>
      </w:r>
      <w:r>
        <w:rPr>
          <w:i/>
          <w:iCs/>
        </w:rPr>
        <w:t xml:space="preserve">F# A# ∞</w:t>
      </w:r>
      <w:r>
        <w:t xml:space="preserve">, 1997). El registro de la entropía de expansión tras el fallo de compresión de la agencia de Estado.</w:t>
      </w:r>
    </w:p>
    <w:p>
      <w:pPr>
        <w:pStyle w:val="Compact"/>
        <w:numPr>
          <w:ilvl w:val="0"/>
          <w:numId w:val="1058"/>
        </w:numPr>
      </w:pPr>
      <w:r>
        <w:rPr>
          <w:b/>
          <w:bCs/>
        </w:rPr>
        <w:t xml:space="preserve">Sigur Rós</w:t>
      </w:r>
      <w:r>
        <w:t xml:space="preserve"> </w:t>
      </w:r>
      <w:r>
        <w:t xml:space="preserve">—</w:t>
      </w:r>
      <w:r>
        <w:t xml:space="preserve"> </w:t>
      </w:r>
      <w:r>
        <w:rPr>
          <w:i/>
          <w:iCs/>
        </w:rPr>
        <w:t xml:space="preserve">“Svefn-g-englar”</w:t>
      </w:r>
      <w:r>
        <w:t xml:space="preserve"> </w:t>
      </w:r>
      <w:r>
        <w:t xml:space="preserve">(</w:t>
      </w:r>
      <w:r>
        <w:rPr>
          <w:i/>
          <w:iCs/>
        </w:rPr>
        <w:t xml:space="preserve">Ágætis byrjun</w:t>
      </w:r>
      <w:r>
        <w:t xml:space="preserve">, 1999). El vacío de temperatura térmica en el segundo de fractura del nodo.</w:t>
      </w:r>
    </w:p>
    <w:p>
      <w:r>
        <w:pict>
          <v:rect style="width:0;height:1.5pt" o:hralign="center" o:hrstd="t" o:hr="t"/>
        </w:pict>
      </w:r>
    </w:p>
    <w:p>
      <w:pPr>
        <w:pStyle w:val="FirstParagraph"/>
      </w:pPr>
      <w:r>
        <w:t xml:space="preserve"> </w:t>
      </w:r>
      <w:r>
        <w:t xml:space="preserve">## 8. El Colapso de Enron</w:t>
      </w:r>
    </w:p>
    <w:p>
      <w:pPr>
        <w:pStyle w:val="BlockText"/>
      </w:pPr>
      <w:r>
        <w:rPr>
          <w:i/>
          <w:iCs/>
        </w:rPr>
        <w:t xml:space="preserve">La anotación de riqueza de futuro en una hoja de registro no frena la quema de carbón en el horno de la planta.</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4:04-cr-00025 (DoJ) / 01-16034 (AJG)</w:t>
      </w:r>
      <w:r>
        <w:br/>
      </w:r>
      <w:r>
        <w:rPr>
          <w:rStyle w:val="KeywordTok"/>
        </w:rPr>
        <w:t xml:space="preserve">[</w:t>
      </w:r>
      <w:r>
        <w:rPr>
          <w:rStyle w:val="AttributeTok"/>
        </w:rPr>
        <w:t xml:space="preserve">ENTIDAD</w:t>
      </w:r>
      <w:r>
        <w:rPr>
          <w:rStyle w:val="KeywordTok"/>
        </w:rPr>
        <w:t xml:space="preserve">]:</w:t>
      </w:r>
      <w:r>
        <w:rPr>
          <w:rStyle w:val="AttributeTok"/>
        </w:rPr>
        <w:t xml:space="preserve"> Enron Corporation</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II (Inyección de Ficción en Balance)</w:t>
      </w:r>
      <w:r>
        <w:br/>
      </w:r>
      <w:r>
        <w:rPr>
          <w:rStyle w:val="KeywordTok"/>
        </w:rPr>
        <w:t xml:space="preserve">[</w:t>
      </w:r>
      <w:r>
        <w:rPr>
          <w:rStyle w:val="AttributeTok"/>
        </w:rPr>
        <w:t xml:space="preserve">RESULTADO</w:t>
      </w:r>
      <w:r>
        <w:rPr>
          <w:rStyle w:val="KeywordTok"/>
        </w:rPr>
        <w:t xml:space="preserve">]:</w:t>
      </w:r>
      <w:r>
        <w:rPr>
          <w:rStyle w:val="AttributeTok"/>
        </w:rPr>
        <w:t xml:space="preserve"> Quiebra / Disolución de Arthur Andersen</w:t>
      </w:r>
    </w:p>
    <w:p>
      <w:r>
        <w:pict>
          <v:rect style="width:0;height:1.5pt" o:hralign="center" o:hrstd="t" o:hr="t"/>
        </w:pict>
      </w:r>
    </w:p>
    <w:bookmarkEnd w:id="103"/>
    <w:bookmarkStart w:id="104" w:name="el-espejismo-de-mark-to-market"/>
    <w:p>
      <w:pPr>
        <w:pStyle w:val="Heading3"/>
      </w:pPr>
      <w:r>
        <w:t xml:space="preserve">8.1. El Espejismo de Mark-to-Market</w:t>
      </w:r>
    </w:p>
    <w:p>
      <w:pPr>
        <w:pStyle w:val="FirstParagraph"/>
      </w:pPr>
      <w:r>
        <w:t xml:space="preserve">La corporación de energía Enron forzó la manipulación del sistema de mercado por la vía de aplicación de la técnica de contabilidad</w:t>
      </w:r>
      <w:r>
        <w:t xml:space="preserve"> </w:t>
      </w:r>
      <w:r>
        <w:rPr>
          <w:i/>
          <w:iCs/>
        </w:rPr>
        <w:t xml:space="preserve">Mark-to-Market</w:t>
      </w:r>
      <w:r>
        <w:t xml:space="preserve">. El modelo permite el registro de volumen de caja de proyección de futuro (los ingresos teóricos de un contrato con plazo de diez años de distancia) como flujo de caja de ingreso con entrada en el mismo día de la firma.</w:t>
      </w:r>
    </w:p>
    <w:p>
      <w:pPr>
        <w:pStyle w:val="BodyText"/>
      </w:pPr>
      <w:r>
        <w:t xml:space="preserve">El esquema de trabajo confabula la topología del mapa de contabilidad. La corporación inyecta la marca de miles de millones de dólares en la hoja de balance en respuesta a la firma de un documento de riesgo de conexión de fibra o de suministro de gas. El mapa registra abundancia. El territorio de la caja fuerte de Enron registra vacío de papel moneda.</w:t>
      </w:r>
    </w:p>
    <w:bookmarkEnd w:id="104"/>
    <w:bookmarkStart w:id="105" w:name="el-cortocircuito-del-territorio"/>
    <w:p>
      <w:pPr>
        <w:pStyle w:val="Heading3"/>
      </w:pPr>
      <w:r>
        <w:t xml:space="preserve">8.2. El Cortocircuito del Territorio</w:t>
      </w:r>
    </w:p>
    <w:p>
      <w:pPr>
        <w:pStyle w:val="FirstParagraph"/>
      </w:pPr>
      <w:r>
        <w:t xml:space="preserve">Enron utilizó Entidades de Propósito Especial (SPV) para el ocultamiento de la deuda de inversión fuera del bloque del balance. La corporación inyectó señal de entropía en la arquitectura del documento para confundir la lectura de las agencias de nota de calificación.</w:t>
      </w:r>
    </w:p>
    <w:p>
      <w:pPr>
        <w:pStyle w:val="BodyText"/>
      </w:pPr>
      <w:r>
        <w:t xml:space="preserve">El sistema de mercado de acciones asignó recompensa a Enron con la ocupación del puesto número siete en la matriz de la economía de Estados Unidos. La red de la alucinación operó con inercia de motor hasta que los acreedores exigieron liquidación de bloque en moneda física. La incapacidad de entrega de pago en el nivel del territorio forzó la declaración de bancarrota bajo el Capítulo 11 en el año de 2001 (Procedimiento Federal Multidistrito: In re Enron Corp. Securities, Derivative &amp;</w:t>
      </w:r>
      <w:r>
        <w:t xml:space="preserve"> </w:t>
      </w:r>
      <w:r>
        <w:t xml:space="preserve">“ERISA”</w:t>
      </w:r>
      <w:r>
        <w:t xml:space="preserve"> </w:t>
      </w:r>
      <w:r>
        <w:t xml:space="preserve">Litigation, MDL-1446). El mapa de Enron ardió en el choque de impacto contra la barrera de física del mercado material.</w:t>
      </w:r>
    </w:p>
    <w:bookmarkEnd w:id="105"/>
    <w:bookmarkStart w:id="106" w:name="audio-anclaje-9"/>
    <w:p>
      <w:pPr>
        <w:pStyle w:val="Heading3"/>
      </w:pPr>
      <w:r>
        <w:t xml:space="preserve">8.3. Audio-Anclaje</w:t>
      </w:r>
    </w:p>
    <w:p>
      <w:pPr>
        <w:pStyle w:val="Compact"/>
        <w:numPr>
          <w:ilvl w:val="0"/>
          <w:numId w:val="1059"/>
        </w:numPr>
      </w:pPr>
      <w:r>
        <w:rPr>
          <w:b/>
          <w:bCs/>
        </w:rPr>
        <w:t xml:space="preserve">Pink Floyd</w:t>
      </w:r>
      <w:r>
        <w:t xml:space="preserve"> </w:t>
      </w:r>
      <w:r>
        <w:t xml:space="preserve">—</w:t>
      </w:r>
      <w:r>
        <w:t xml:space="preserve"> </w:t>
      </w:r>
      <w:r>
        <w:rPr>
          <w:i/>
          <w:iCs/>
        </w:rPr>
        <w:t xml:space="preserve">“Money”</w:t>
      </w:r>
      <w:r>
        <w:t xml:space="preserve"> </w:t>
      </w:r>
      <w:r>
        <w:t xml:space="preserve">(</w:t>
      </w:r>
      <w:r>
        <w:rPr>
          <w:i/>
          <w:iCs/>
        </w:rPr>
        <w:t xml:space="preserve">The Dark Side of the Moon</w:t>
      </w:r>
      <w:r>
        <w:t xml:space="preserve">, 1973). El ruido de la máquina de registro de caja en el bucle de captura sin anclaje a un sustrato.</w:t>
      </w:r>
    </w:p>
    <w:p>
      <w:pPr>
        <w:pStyle w:val="Compact"/>
        <w:numPr>
          <w:ilvl w:val="0"/>
          <w:numId w:val="1059"/>
        </w:numPr>
      </w:pPr>
      <w:r>
        <w:rPr>
          <w:b/>
          <w:bCs/>
        </w:rPr>
        <w:t xml:space="preserve">LCD Soundsystem</w:t>
      </w:r>
      <w:r>
        <w:t xml:space="preserve"> </w:t>
      </w:r>
      <w:r>
        <w:t xml:space="preserve">—</w:t>
      </w:r>
      <w:r>
        <w:t xml:space="preserve"> </w:t>
      </w:r>
      <w:r>
        <w:rPr>
          <w:i/>
          <w:iCs/>
        </w:rPr>
        <w:t xml:space="preserve">“Losing My Edge”</w:t>
      </w:r>
      <w:r>
        <w:t xml:space="preserve"> </w:t>
      </w:r>
      <w:r>
        <w:t xml:space="preserve">(</w:t>
      </w:r>
      <w:r>
        <w:rPr>
          <w:i/>
          <w:iCs/>
        </w:rPr>
        <w:t xml:space="preserve">LCD Soundsystem</w:t>
      </w:r>
      <w:r>
        <w:t xml:space="preserve">, 2005). La caída del nodo en el instante de disolución del mapa de jerarquía.</w:t>
      </w:r>
    </w:p>
    <w:p>
      <w:r>
        <w:pict>
          <v:rect style="width:0;height:1.5pt" o:hralign="center" o:hrstd="t" o:hr="t"/>
        </w:pict>
      </w:r>
    </w:p>
    <w:bookmarkEnd w:id="106"/>
    <w:bookmarkEnd w:id="107"/>
    <w:bookmarkStart w:id="111" w:name="el-mercado-del-arte"/>
    <w:p>
      <w:pPr>
        <w:pStyle w:val="Heading2"/>
      </w:pPr>
      <w:r>
        <w:t xml:space="preserve">9. El Mercado del Arte</w:t>
      </w:r>
    </w:p>
    <w:p>
      <w:pPr>
        <w:pStyle w:val="BlockText"/>
      </w:pPr>
      <w:r>
        <w:rPr>
          <w:i/>
          <w:iCs/>
        </w:rPr>
        <w:t xml:space="preserve">La mesa de subasta transfiere capital; el bloque de lienzo soporta aceite de color crudo.</w:t>
      </w:r>
    </w:p>
    <w:p>
      <w:pPr>
        <w:pStyle w:val="SourceCode"/>
      </w:pPr>
      <w:r>
        <w:rPr>
          <w:rStyle w:val="VerbatimChar"/>
        </w:rPr>
        <w:t xml:space="preserve">Axioma de Anclaje: Axioma II — Confundir mapa con territorio.</w:t>
      </w:r>
      <w:r>
        <w:br/>
      </w:r>
      <w:r>
        <w:rPr>
          <w:rStyle w:val="VerbatimChar"/>
        </w:rPr>
        <w:t xml:space="preserve">El valor de mercado de una obra de pintura es un consenso de alucinación en grupo; la exergía de la obra es constante inmutable de física.</w:t>
      </w:r>
    </w:p>
    <w:p>
      <w:r>
        <w:pict>
          <v:rect style="width:0;height:1.5pt" o:hralign="center" o:hrstd="t" o:hr="t"/>
        </w:pict>
      </w:r>
    </w:p>
    <w:bookmarkStart w:id="108" w:name="la-desconexión-de-valor"/>
    <w:p>
      <w:pPr>
        <w:pStyle w:val="Heading3"/>
      </w:pPr>
      <w:r>
        <w:t xml:space="preserve">9.1. La Desconexión de Valor</w:t>
      </w:r>
    </w:p>
    <w:p>
      <w:pPr>
        <w:pStyle w:val="FirstParagraph"/>
      </w:pPr>
      <w:r>
        <w:t xml:space="preserve">El mercado de arte en escala de corporación opera como un evento de disolución de raíz del territorio. El precio de una pieza (el mapa de finanzas) carece de línea de conexión de anclaje con el número de horas de forja, el coste de peso del pigmento o la densidad de exergía de trazo del operador de pintura.</w:t>
      </w:r>
    </w:p>
    <w:p>
      <w:pPr>
        <w:pStyle w:val="BodyText"/>
      </w:pPr>
      <w:r>
        <w:t xml:space="preserve">El sistema de galería y empresa de subasta ejecuta la imposición de precio por la vía de control de oferta y lavado de señal de poder. El comprador de rango de oligarca adquiere el marco de lienzo en calidad de refugio de capital libre de impuesto (caja de zona de seguridad en puerto). El mapa dicta que un bloque de color blanco de Ryman dispone de valor de $15.005.000 de dólares de EE.UU (Sotheby’s, Nueva York, 11 de noviembre de 2014,</w:t>
      </w:r>
      <w:r>
        <w:t xml:space="preserve"> </w:t>
      </w:r>
      <w:r>
        <w:rPr>
          <w:i/>
          <w:iCs/>
        </w:rPr>
        <w:t xml:space="preserve">Untitled</w:t>
      </w:r>
      <w:r>
        <w:t xml:space="preserve">, 1961; récord del artista: $20,6M,</w:t>
      </w:r>
      <w:r>
        <w:t xml:space="preserve"> </w:t>
      </w:r>
      <w:r>
        <w:rPr>
          <w:i/>
          <w:iCs/>
        </w:rPr>
        <w:t xml:space="preserve">Bridge</w:t>
      </w:r>
      <w:r>
        <w:t xml:space="preserve">, Christie’s, 2015). El territorio físico reporta fibra de algodón de soporte y un grado de micrones de capa de titanio.</w:t>
      </w:r>
    </w:p>
    <w:bookmarkEnd w:id="108"/>
    <w:bookmarkStart w:id="109" w:name="la-compresión-del-esnobismo"/>
    <w:p>
      <w:pPr>
        <w:pStyle w:val="Heading3"/>
      </w:pPr>
      <w:r>
        <w:t xml:space="preserve">9.2. La Compresión del Esnobismo</w:t>
      </w:r>
    </w:p>
    <w:p>
      <w:pPr>
        <w:pStyle w:val="FirstParagraph"/>
      </w:pPr>
      <w:r>
        <w:t xml:space="preserve">La red de museo de etapa moderna blinda la ilusión del mapa por medio de la inyección de texto de formato largo en la pared lateral. El bloque de texto de curador de arte opera a modo de máquina de confabulación para la justificación del vacío de densidad del territorio de lienzo.</w:t>
      </w:r>
    </w:p>
    <w:p>
      <w:pPr>
        <w:pStyle w:val="BodyText"/>
      </w:pPr>
      <w:r>
        <w:t xml:space="preserve">El fraude de la abstracción sin fondo de trabajo cobra forma física en el instante en el que el primate espectador asume la carga de culpa por su ausencia de capacidad de visión de altura. El primate espectador fija la vista en la pieza y el sistema visual procesa señal de ruido. El sistema de control de la galería emite orden al espectador para la ejecución de la lectura del texto de curador (la imposición de fuerza del mapa). El primate espectador finge la compresión del ruido para evadir la orden de exilio del grupo de núcleo social.</w:t>
      </w:r>
    </w:p>
    <w:bookmarkEnd w:id="109"/>
    <w:bookmarkStart w:id="110" w:name="audio-anclaje-10"/>
    <w:p>
      <w:pPr>
        <w:pStyle w:val="Heading3"/>
      </w:pPr>
      <w:r>
        <w:t xml:space="preserve">9.3. Audio-Anclaje</w:t>
      </w:r>
    </w:p>
    <w:p>
      <w:pPr>
        <w:pStyle w:val="Compact"/>
        <w:numPr>
          <w:ilvl w:val="0"/>
          <w:numId w:val="1060"/>
        </w:numPr>
      </w:pPr>
      <w:r>
        <w:rPr>
          <w:b/>
          <w:bCs/>
        </w:rPr>
        <w:t xml:space="preserve">The Velvet Underground</w:t>
      </w:r>
      <w:r>
        <w:t xml:space="preserve"> </w:t>
      </w:r>
      <w:r>
        <w:t xml:space="preserve">—</w:t>
      </w:r>
      <w:r>
        <w:t xml:space="preserve"> </w:t>
      </w:r>
      <w:r>
        <w:rPr>
          <w:i/>
          <w:iCs/>
        </w:rPr>
        <w:t xml:space="preserve">“Venus in Furs”</w:t>
      </w:r>
      <w:r>
        <w:t xml:space="preserve"> </w:t>
      </w:r>
      <w:r>
        <w:t xml:space="preserve">(</w:t>
      </w:r>
      <w:r>
        <w:rPr>
          <w:i/>
          <w:iCs/>
        </w:rPr>
        <w:t xml:space="preserve">The Velvet Underground &amp; Nico</w:t>
      </w:r>
      <w:r>
        <w:t xml:space="preserve">, 1967). La colisión de bloque de repetición industrial en el entorno de galería de exhibición de lujo.</w:t>
      </w:r>
    </w:p>
    <w:p>
      <w:pPr>
        <w:pStyle w:val="Compact"/>
        <w:numPr>
          <w:ilvl w:val="0"/>
          <w:numId w:val="1060"/>
        </w:numPr>
      </w:pPr>
      <w:r>
        <w:rPr>
          <w:b/>
          <w:bCs/>
        </w:rPr>
        <w:t xml:space="preserve">M.I.A.</w:t>
      </w:r>
      <w:r>
        <w:t xml:space="preserve"> </w:t>
      </w:r>
      <w:r>
        <w:t xml:space="preserve">—</w:t>
      </w:r>
      <w:r>
        <w:t xml:space="preserve"> </w:t>
      </w:r>
      <w:r>
        <w:rPr>
          <w:i/>
          <w:iCs/>
        </w:rPr>
        <w:t xml:space="preserve">“Paper Planes”</w:t>
      </w:r>
      <w:r>
        <w:t xml:space="preserve"> </w:t>
      </w:r>
      <w:r>
        <w:t xml:space="preserve">(</w:t>
      </w:r>
      <w:r>
        <w:rPr>
          <w:i/>
          <w:iCs/>
        </w:rPr>
        <w:t xml:space="preserve">Kala</w:t>
      </w:r>
      <w:r>
        <w:t xml:space="preserve">, 2007). El cálculo de grado de fricción en la máquina de creación de billete de banco en vacío de sustrato material.</w:t>
      </w:r>
    </w:p>
    <w:p>
      <w:r>
        <w:pict>
          <v:rect style="width:0;height:1.5pt" o:hralign="center" o:hrstd="t" o:hr="t"/>
        </w:pict>
      </w:r>
    </w:p>
    <w:bookmarkEnd w:id="110"/>
    <w:bookmarkEnd w:id="111"/>
    <w:bookmarkStart w:id="115" w:name="el-código-cripto"/>
    <w:p>
      <w:pPr>
        <w:pStyle w:val="Heading2"/>
      </w:pPr>
      <w:r>
        <w:t xml:space="preserve">10. El Código Cripto</w:t>
      </w:r>
    </w:p>
    <w:p>
      <w:pPr>
        <w:pStyle w:val="BlockText"/>
      </w:pPr>
      <w:r>
        <w:rPr>
          <w:i/>
          <w:iCs/>
        </w:rPr>
        <w:t xml:space="preserve">El código de software emite señal de consenso; la placa de silicio consume energía de megavatios.</w:t>
      </w:r>
    </w:p>
    <w:p>
      <w:pPr>
        <w:pStyle w:val="SourceCode"/>
      </w:pPr>
      <w:r>
        <w:rPr>
          <w:rStyle w:val="VerbatimChar"/>
        </w:rPr>
        <w:t xml:space="preserve">Axioma de Anclaje: Axioma II — Confundir mapa con territorio.</w:t>
      </w:r>
      <w:r>
        <w:br/>
      </w:r>
      <w:r>
        <w:rPr>
          <w:rStyle w:val="VerbatimChar"/>
        </w:rPr>
        <w:t xml:space="preserve">La red de cripto es la cota máxima de registro de un mapa de bucle de auto-referencia con cero de anclaje a la termodinámica del metal de acero.</w:t>
      </w:r>
    </w:p>
    <w:p>
      <w:r>
        <w:pict>
          <v:rect style="width:0;height:1.5pt" o:hralign="center" o:hrstd="t" o:hr="t"/>
        </w:pict>
      </w:r>
    </w:p>
    <w:bookmarkStart w:id="112" w:name="el-bucle-de-validación"/>
    <w:p>
      <w:pPr>
        <w:pStyle w:val="Heading3"/>
      </w:pPr>
      <w:r>
        <w:t xml:space="preserve">10.1. El Bucle de Validación</w:t>
      </w:r>
    </w:p>
    <w:p>
      <w:pPr>
        <w:pStyle w:val="FirstParagraph"/>
      </w:pPr>
      <w:r>
        <w:t xml:space="preserve">La arquitectura de cadena de bloques y tecnología de red descentralizada asienta su soporte de existencia en el consenso de señal distribuida. La red impone orden de rechazo al anclaje con el estado de banco de núcleo central. El error de física de la tecnología reside en su aislamiento de geometría: la red es un mapa de referencia de cierre perimetral, sin ventana al exterior.</w:t>
      </w:r>
    </w:p>
    <w:p>
      <w:pPr>
        <w:pStyle w:val="BodyText"/>
      </w:pPr>
      <w:r>
        <w:t xml:space="preserve">Un activo de registro de bits anota marca de valor en el perímetro interno a cambio de tasa cero de fricción de intercambio con el mundo de materia física. El primate de cartera deposita voto de fe en la ilusión de límite de escasez de bloque de código. El mapa del libro de registro anota curva de escalada de riqueza en base de anclaje a la creencia del próximo inversor de puerta de entrada (dinámica de bucle de Ponzi).</w:t>
      </w:r>
    </w:p>
    <w:bookmarkEnd w:id="112"/>
    <w:bookmarkStart w:id="113" w:name="la-exergía-de-silicio"/>
    <w:p>
      <w:pPr>
        <w:pStyle w:val="Heading3"/>
      </w:pPr>
      <w:r>
        <w:t xml:space="preserve">10.2. La Exergía de Silicio</w:t>
      </w:r>
    </w:p>
    <w:p>
      <w:pPr>
        <w:pStyle w:val="FirstParagraph"/>
      </w:pPr>
      <w:r>
        <w:t xml:space="preserve">El límite de física de la red cripto opera bajo el nivel de placa base de servidor de hardware. En la ventana en la que el discurso de red proyecta alucinación de valor de abstracción sin tope de frontera, el mantenimiento del sistema de consenso impone el pago del peaje de diezmo al territorio térmico.</w:t>
      </w:r>
    </w:p>
    <w:p>
      <w:pPr>
        <w:pStyle w:val="BodyText"/>
      </w:pPr>
      <w:r>
        <w:t xml:space="preserve">La minería de bloques fuerza el consumo de potencia en la escala de megavatio de granja de GPU y consumo de tanque de agua en tubería de refrigeración. El mapa de cripto emite discurso de levedad de código de matemática; el territorio de la nave de cálculo ejecuta emisión de ráfagas de carbono a la atmósfera (Fuente de Métrica: Cambridge Bitcoin Electricity Consumption Index, CBECI). En el evento de choque de red con caída de suministro eléctrico de tensión, el mapa de cifra de miles de millones de dólares sufre de extinción térmica en el acto. La termodinámica posee el nivel de poder de veto con carácter de absoluto.</w:t>
      </w:r>
    </w:p>
    <w:bookmarkEnd w:id="113"/>
    <w:bookmarkStart w:id="114" w:name="audio-anclaje-11"/>
    <w:p>
      <w:pPr>
        <w:pStyle w:val="Heading3"/>
      </w:pPr>
      <w:r>
        <w:t xml:space="preserve">10.3. Audio-Anclaje</w:t>
      </w:r>
    </w:p>
    <w:p>
      <w:pPr>
        <w:pStyle w:val="Compact"/>
        <w:numPr>
          <w:ilvl w:val="0"/>
          <w:numId w:val="1061"/>
        </w:numPr>
      </w:pPr>
      <w:r>
        <w:rPr>
          <w:b/>
          <w:bCs/>
        </w:rPr>
        <w:t xml:space="preserve">Kraftwerk</w:t>
      </w:r>
      <w:r>
        <w:t xml:space="preserve"> </w:t>
      </w:r>
      <w:r>
        <w:t xml:space="preserve">—</w:t>
      </w:r>
      <w:r>
        <w:t xml:space="preserve"> </w:t>
      </w:r>
      <w:r>
        <w:rPr>
          <w:i/>
          <w:iCs/>
        </w:rPr>
        <w:t xml:space="preserve">“Computer Love”</w:t>
      </w:r>
      <w:r>
        <w:t xml:space="preserve"> </w:t>
      </w:r>
      <w:r>
        <w:t xml:space="preserve">(</w:t>
      </w:r>
      <w:r>
        <w:rPr>
          <w:i/>
          <w:iCs/>
        </w:rPr>
        <w:t xml:space="preserve">Computer World</w:t>
      </w:r>
      <w:r>
        <w:t xml:space="preserve">, 1981). La inyección de código de deseo orgánico en la red de placa de metal de la máquina.</w:t>
      </w:r>
    </w:p>
    <w:p>
      <w:pPr>
        <w:pStyle w:val="Compact"/>
        <w:numPr>
          <w:ilvl w:val="0"/>
          <w:numId w:val="1061"/>
        </w:numPr>
      </w:pPr>
      <w:r>
        <w:rPr>
          <w:b/>
          <w:bCs/>
        </w:rPr>
        <w:t xml:space="preserve">Death Grips</w:t>
      </w:r>
      <w:r>
        <w:t xml:space="preserve"> </w:t>
      </w:r>
      <w:r>
        <w:t xml:space="preserve">—</w:t>
      </w:r>
      <w:r>
        <w:t xml:space="preserve"> </w:t>
      </w:r>
      <w:r>
        <w:rPr>
          <w:i/>
          <w:iCs/>
        </w:rPr>
        <w:t xml:space="preserve">“Guillotine”</w:t>
      </w:r>
      <w:r>
        <w:t xml:space="preserve"> </w:t>
      </w:r>
      <w:r>
        <w:t xml:space="preserve">(</w:t>
      </w:r>
      <w:r>
        <w:rPr>
          <w:i/>
          <w:iCs/>
        </w:rPr>
        <w:t xml:space="preserve">Exmilitary</w:t>
      </w:r>
      <w:r>
        <w:t xml:space="preserve">, 2011). La cuota de entropía de estado puro en el choque del código sin anclaje de peso frente a la estructura material de red de supervivencia.</w:t>
      </w:r>
    </w:p>
    <w:p>
      <w:r>
        <w:pict>
          <v:rect style="width:0;height:1.5pt" o:hralign="center" o:hrstd="t" o:hr="t"/>
        </w:pict>
      </w:r>
    </w:p>
    <w:bookmarkEnd w:id="114"/>
    <w:bookmarkEnd w:id="115"/>
    <w:bookmarkStart w:id="121" w:name="el-laberinto-de-hacienda"/>
    <w:p>
      <w:pPr>
        <w:pStyle w:val="Heading2"/>
      </w:pPr>
      <w:r>
        <w:t xml:space="preserve">11. El Laberinto de Hacienda</w:t>
      </w:r>
    </w:p>
    <w:p>
      <w:pPr>
        <w:pStyle w:val="BlockText"/>
      </w:pPr>
      <w:r>
        <w:rPr>
          <w:i/>
          <w:iCs/>
        </w:rPr>
        <w:t xml:space="preserve">El engranaje de máquina del impuesto fiscal es un drenaje de calor térmico con interfaz de tabla Excel.</w:t>
      </w:r>
    </w:p>
    <w:p>
      <w:pPr>
        <w:pStyle w:val="SourceCode"/>
      </w:pPr>
      <w:r>
        <w:rPr>
          <w:rStyle w:val="VerbatimChar"/>
        </w:rPr>
        <w:t xml:space="preserve">Axioma de Anclaje: Axioma II — Confundir mapa con territorio.</w:t>
      </w:r>
      <w:r>
        <w:br/>
      </w:r>
      <w:r>
        <w:rPr>
          <w:rStyle w:val="VerbatimChar"/>
        </w:rPr>
        <w:t xml:space="preserve">La red de embargo de Estado es la máquina de sumisión del mapa por encima de la frontera de la vida de base de carbón. Bajo la métrica de Energía Libre de Friston, cualquier discurso de "protección social" que no demuestre una reducción matemática de la incertidumbre del entorno es fraude termodinámico.</w:t>
      </w:r>
    </w:p>
    <w:p>
      <w:r>
        <w:pict>
          <v:rect style="width:0;height:1.5pt" o:hralign="center" o:hrstd="t" o:hr="t"/>
        </w:pict>
      </w:r>
    </w:p>
    <w:bookmarkStart w:id="116" w:name="la-inyección-de-entropía"/>
    <w:p>
      <w:pPr>
        <w:pStyle w:val="Heading3"/>
      </w:pPr>
      <w:r>
        <w:t xml:space="preserve">11.1. La Inyección de Entropía</w:t>
      </w:r>
    </w:p>
    <w:p>
      <w:pPr>
        <w:pStyle w:val="FirstParagraph"/>
      </w:pPr>
      <w:r>
        <w:t xml:space="preserve">El sistema de burocracia de impuesto fiscal (Hacienda) opera en el límite del mapa de alucinación. El comité de Estado forja el diseño de un algoritmo de papel (el formulario de cien casillas de número, la orden de pago de cuota).</w:t>
      </w:r>
    </w:p>
    <w:p>
      <w:pPr>
        <w:pStyle w:val="BodyText"/>
      </w:pPr>
      <w:r>
        <w:t xml:space="preserve">El humano de tracción (el obrero de línea, el operador del mostrador) genera exergía en la trinchera del territorio (la forja del pilar de edificio, la escritura de línea de código de programación de madrugada). El Estado responde con la inyección de cuota de ruido en el centro del nodo de casa del trabajador. El sistema fuerza al individuo a la traducción de su energía de músculo al idioma de geometría de tabla de balance. La red de burócrata carece de capacidad de producción de calor; el recaudador de impuesto es un parásito de traje de tela que drena el tanque de ATP del individuo.</w:t>
      </w:r>
    </w:p>
    <w:bookmarkEnd w:id="116"/>
    <w:bookmarkStart w:id="117" w:name="el-castigo-de-máquina"/>
    <w:p>
      <w:pPr>
        <w:pStyle w:val="Heading3"/>
      </w:pPr>
      <w:r>
        <w:t xml:space="preserve">11.2. El Castigo de Máquina</w:t>
      </w:r>
    </w:p>
    <w:p>
      <w:pPr>
        <w:pStyle w:val="FirstParagraph"/>
      </w:pPr>
      <w:r>
        <w:t xml:space="preserve">El choque estalla en el instante de error de sintaxis de teclado. El trabajador rinde entrega de cuenta en la fecha de la marca de calendario, pero la forma de cifra en la casilla de papel discrepa de la métrica de lectura de la máquina de Estado (el error de coma flotante en el mapa).</w:t>
      </w:r>
    </w:p>
    <w:p>
      <w:pPr>
        <w:pStyle w:val="BodyText"/>
      </w:pPr>
      <w:r>
        <w:t xml:space="preserve">La agencia fiscal ejecuta la orden de ataque de embargo de cuenta bancaria con recargo de cifra de pánico. El castigo de cerebro de silicio omite la física del territorio (el humano entregó la cuota de trabajo en la forma de materia física). La máquina exige obediencia sin visión a las reglas de diseño del documento de Estado. La agencia fuerza la reducción de masa del nodo de individuo: el hombre asume la forma de bicho de Kafka bajo sospecha de crimen de cifra, en estado de parálisis de terror frente a la placa de cristal de la ventanilla de turno doscientos.</w:t>
      </w:r>
    </w:p>
    <w:bookmarkEnd w:id="117"/>
    <w:bookmarkStart w:id="118" w:name="asimetría-termodinámica-de-coacción"/>
    <w:p>
      <w:pPr>
        <w:pStyle w:val="Heading3"/>
      </w:pPr>
      <w:r>
        <w:t xml:space="preserve">11.3. Asimetría Termodinámica de Coacción</w:t>
      </w:r>
    </w:p>
    <w:p>
      <w:pPr>
        <w:pStyle w:val="FirstParagraph"/>
      </w:pPr>
      <w:r>
        <w:t xml:space="preserve">El modelo de Estado diseña el principio de</w:t>
      </w:r>
      <w:r>
        <w:t xml:space="preserve"> </w:t>
      </w:r>
      <w:r>
        <w:rPr>
          <w:i/>
          <w:iCs/>
        </w:rPr>
        <w:t xml:space="preserve">solve et repete</w:t>
      </w:r>
      <w:r>
        <w:t xml:space="preserve"> </w:t>
      </w:r>
      <w:r>
        <w:t xml:space="preserve">(el mandato de pago previo al litigio) como arma de asfixia térmica. La emisión de un acta de reclamación por parte del burócrata consume un nivel de energía cercano a cero de sistema (horas marginales de inspector y silicio). Sin embargo, el nodo receptor (el contribuyente) enfrenta un muro de activación que lleva a la quiebra.</w:t>
      </w:r>
    </w:p>
    <w:p>
      <w:pPr>
        <w:pStyle w:val="BodyText"/>
      </w:pPr>
      <w:r>
        <w:t xml:space="preserve">Para discutir la métrica de Estado, el individuo debe rendir el pago de la cuota adelantada, asumir la carga de honorario de perito y sostener el bloqueo de capital durante el desgaste de pleito de años. El coste de defensa del contribuyente supera en órdenes de magnitud el coste de inspección del Estado, estrangulando la tesorería del nodo biológico por diferencia de fricción. La mediana de dedicación al cumplimiento fiscal alcanza 150 horas al año en España, frente a 113 horas en la Unión Europea y 92 horas en la OCDE (Índice de Complejidad Fiscal, IEE). La justicia cede su lugar a la guerra de asimetría termodinámica.</w:t>
      </w:r>
    </w:p>
    <w:bookmarkEnd w:id="118"/>
    <w:bookmarkStart w:id="119" w:name="Xb438f4320ec59cdf0c837c7817425aa43490220"/>
    <w:p>
      <w:pPr>
        <w:pStyle w:val="Heading3"/>
      </w:pPr>
      <w:r>
        <w:t xml:space="preserve">11.4. El Cortafuegos Jurisdiccional (El Arbitraje CRS vs. FATCA)</w:t>
      </w:r>
    </w:p>
    <w:p>
      <w:pPr>
        <w:pStyle w:val="FirstParagraph"/>
      </w:pPr>
      <w:r>
        <w:t xml:space="preserve">La defensa del nodo biológico requiere el diseño de un cortafuegos físico. El intercambio automático de información bancaria (estándar CRS) transforma el continente en un sensor óptico de Estado. Frente a esta radiación, la figura de la sociedad de responsabilidad limitada (LLC) en territorio sin reciprocidad automática (marco FATCA asimétrico) opera como caja de aislamiento.</w:t>
      </w:r>
    </w:p>
    <w:p>
      <w:pPr>
        <w:pStyle w:val="BodyText"/>
      </w:pPr>
      <w:r>
        <w:t xml:space="preserve">La interposición de la capa societaria en jurisdicción opaca fractura la línea de visión del algoritmo tributario. La energía del nodo de base (la cuenta de depósito) recobra aislamiento, forzando a la máquina de inspección a consumir cuotas de exergía burocrática internacional (requerimiento judicial) si desea romper la pared del cortafuegos térmico. El humano extrae ventaja de la dislocación técnica del mapa.</w:t>
      </w:r>
    </w:p>
    <w:bookmarkEnd w:id="119"/>
    <w:bookmarkStart w:id="120" w:name="audio-anclaje-12"/>
    <w:p>
      <w:pPr>
        <w:pStyle w:val="Heading3"/>
      </w:pPr>
      <w:r>
        <w:t xml:space="preserve">11.5. Audio-Anclaje</w:t>
      </w:r>
    </w:p>
    <w:p>
      <w:pPr>
        <w:pStyle w:val="Compact"/>
        <w:numPr>
          <w:ilvl w:val="0"/>
          <w:numId w:val="1062"/>
        </w:numPr>
      </w:pPr>
      <w:r>
        <w:rPr>
          <w:b/>
          <w:bCs/>
        </w:rPr>
        <w:t xml:space="preserve">Pink Floyd</w:t>
      </w:r>
      <w:r>
        <w:t xml:space="preserve"> </w:t>
      </w:r>
      <w:r>
        <w:t xml:space="preserve">—</w:t>
      </w:r>
      <w:r>
        <w:t xml:space="preserve"> </w:t>
      </w:r>
      <w:r>
        <w:rPr>
          <w:i/>
          <w:iCs/>
        </w:rPr>
        <w:t xml:space="preserve">“Welcome to the Machine”</w:t>
      </w:r>
      <w:r>
        <w:t xml:space="preserve"> </w:t>
      </w:r>
      <w:r>
        <w:t xml:space="preserve">(</w:t>
      </w:r>
      <w:r>
        <w:rPr>
          <w:i/>
          <w:iCs/>
        </w:rPr>
        <w:t xml:space="preserve">Wish You Were Here</w:t>
      </w:r>
      <w:r>
        <w:t xml:space="preserve">, 1975). El proceso de inyección del nodo de biología de sangre dentro del tubo de acero del engranaje fiscal con cero sensor de piedad.</w:t>
      </w:r>
    </w:p>
    <w:p>
      <w:pPr>
        <w:pStyle w:val="Compact"/>
        <w:numPr>
          <w:ilvl w:val="0"/>
          <w:numId w:val="1062"/>
        </w:numPr>
      </w:pPr>
      <w:r>
        <w:rPr>
          <w:b/>
          <w:bCs/>
        </w:rPr>
        <w:t xml:space="preserve">The Raconteurs</w:t>
      </w:r>
      <w:r>
        <w:t xml:space="preserve"> </w:t>
      </w:r>
      <w:r>
        <w:t xml:space="preserve">—</w:t>
      </w:r>
      <w:r>
        <w:t xml:space="preserve"> </w:t>
      </w:r>
      <w:r>
        <w:rPr>
          <w:i/>
          <w:iCs/>
        </w:rPr>
        <w:t xml:space="preserve">“Consoler of the Lonely”</w:t>
      </w:r>
      <w:r>
        <w:t xml:space="preserve"> </w:t>
      </w:r>
      <w:r>
        <w:t xml:space="preserve">(</w:t>
      </w:r>
      <w:r>
        <w:rPr>
          <w:i/>
          <w:iCs/>
        </w:rPr>
        <w:t xml:space="preserve">Consolers of the Lonely</w:t>
      </w:r>
      <w:r>
        <w:t xml:space="preserve">, 2008). El rebote de señal del llanto del contribuyente en la sala de espera de geometría de gris.</w:t>
      </w:r>
    </w:p>
    <w:p>
      <w:r>
        <w:pict>
          <v:rect style="width:0;height:1.5pt" o:hralign="center" o:hrstd="t" o:hr="t"/>
        </w:pict>
      </w:r>
    </w:p>
    <w:bookmarkEnd w:id="120"/>
    <w:bookmarkEnd w:id="121"/>
    <w:bookmarkStart w:id="130" w:name="la-falacia-de-la-pos-escasez-médica"/>
    <w:p>
      <w:pPr>
        <w:pStyle w:val="Heading2"/>
      </w:pPr>
      <w:r>
        <w:t xml:space="preserve">12. La Falacia de la Pos-Escasez Médica</w:t>
      </w:r>
    </w:p>
    <w:p>
      <w:pPr>
        <w:pStyle w:val="BlockText"/>
      </w:pPr>
      <w:r>
        <w:rPr>
          <w:i/>
          <w:iCs/>
        </w:rPr>
        <w:t xml:space="preserve">El modelo de diseño in silico acelera el papel de la hipótesis; la validación in vivo exige el pago del desgaste termodinámico de la carne.</w:t>
      </w:r>
    </w:p>
    <w:p>
      <w:pPr>
        <w:pStyle w:val="SourceCode"/>
      </w:pPr>
      <w:r>
        <w:rPr>
          <w:rStyle w:val="VerbatimChar"/>
        </w:rPr>
        <w:t xml:space="preserve">Axioma de Anclaje: Axioma II — Confundir mapa con territorio.</w:t>
      </w:r>
      <w:r>
        <w:br/>
      </w:r>
      <w:r>
        <w:rPr>
          <w:rStyle w:val="VerbatimChar"/>
        </w:rPr>
        <w:t xml:space="preserve">La simulación de coste cero en la máquina de inteligencia artificial confabula el cuello de botella físico de la biología humana y el muro regulatorio.</w:t>
      </w:r>
    </w:p>
    <w:p>
      <w:r>
        <w:pict>
          <v:rect style="width:0;height:1.5pt" o:hralign="center" o:hrstd="t" o:hr="t"/>
        </w:pict>
      </w:r>
    </w:p>
    <w:bookmarkStart w:id="122" w:name="el-mapa-del-commodity-cognitivo"/>
    <w:p>
      <w:pPr>
        <w:pStyle w:val="Heading3"/>
      </w:pPr>
      <w:r>
        <w:t xml:space="preserve">12.1. El Mapa del</w:t>
      </w:r>
      <w:r>
        <w:t xml:space="preserve"> </w:t>
      </w:r>
      <w:r>
        <w:rPr>
          <w:i/>
          <w:iCs/>
        </w:rPr>
        <w:t xml:space="preserve">Commodity</w:t>
      </w:r>
      <w:r>
        <w:t xml:space="preserve"> </w:t>
      </w:r>
      <w:r>
        <w:t xml:space="preserve">Cognitivo</w:t>
      </w:r>
    </w:p>
    <w:p>
      <w:pPr>
        <w:pStyle w:val="FirstParagraph"/>
      </w:pPr>
      <w:r>
        <w:t xml:space="preserve">El discurso de venta de la industria de tecnología proyecta un mapa de abundancia sin fricción. La narrativa postula un escenario de futuro de corte de caja de coste cognitivo a cero (el</w:t>
      </w:r>
      <w:r>
        <w:t xml:space="preserve"> </w:t>
      </w:r>
      <w:r>
        <w:rPr>
          <w:i/>
          <w:iCs/>
        </w:rPr>
        <w:t xml:space="preserve">commodity</w:t>
      </w:r>
      <w:r>
        <w:t xml:space="preserve"> </w:t>
      </w:r>
      <w:r>
        <w:t xml:space="preserve">cognitivo). La premisa dicta la resolución de todo bloqueo técnico por vía de la máquina de inferencia en nube. En este mapa de alucinación, el mercado deriva su excedente de capital en masa hacia la extensión de raíz de vida de salud.</w:t>
      </w:r>
    </w:p>
    <w:p>
      <w:pPr>
        <w:pStyle w:val="BodyText"/>
      </w:pPr>
      <w:r>
        <w:t xml:space="preserve">La prensa de finanzas confunde la bajada de coste del diseño de molécula de ARN mensajero (el modelo predictivo in silico) con la caída del coste de cura de tejido enfermo. El mercado de opción bursátil (la segunda derivada de abstracción) premia la promesa de mapa de vacuna oncológica con picos de duplicación de precio en ventana de veinticuatro horas. La hoja de cálculo celebra la derrota de la enfermedad.</w:t>
      </w:r>
    </w:p>
    <w:bookmarkEnd w:id="122"/>
    <w:bookmarkStart w:id="123" w:name="el-muro-termodinámico-del-territorio"/>
    <w:p>
      <w:pPr>
        <w:pStyle w:val="Heading3"/>
      </w:pPr>
      <w:r>
        <w:t xml:space="preserve">12.2. El Muro Termodinámico del Territorio</w:t>
      </w:r>
    </w:p>
    <w:p>
      <w:pPr>
        <w:pStyle w:val="FirstParagraph"/>
      </w:pPr>
      <w:r>
        <w:t xml:space="preserve">La física de asimilación biológica carece de compasión frente a la métrica de software. El abaratamiento del generador de modelo (la IA) produce la Paradoja de Jevons: el incremento de la capacidad de diseño multiplica el volumen de compuestos en lista de espera de validación de mundo físico. El cuello de botella (el valle de la muerte de la Fase III clínica) resiste el asalto de silicio.</w:t>
      </w:r>
    </w:p>
    <w:p>
      <w:pPr>
        <w:pStyle w:val="BodyText"/>
      </w:pPr>
      <w:r>
        <w:t xml:space="preserve">La comprobación de la seguridad de edición de gen de colesterol o de vacuna de melanoma exige desgaste de entropía real. El agente humano somete el cuerpo de primate a ensayo de prueba, medición de proteína de daño y registro de ciclo de sol a sol bajo mandato de agencia de regulación (FDA). El mapa de IA (Sistema 2) arroja cien millones de respuestas en un pulso de milisegundo de reloj. El territorio de placa de Petri y burocracia de Estado (Sistema 1) procesa el choque de masa física durante lustros de tiempo térmico. Confundir la victoria de diseño de código con el salto de la barrera de Kramers de validación de carne es la cúspide de la quiebra de bisimulación.</w:t>
      </w:r>
    </w:p>
    <w:bookmarkEnd w:id="123"/>
    <w:bookmarkStart w:id="124" w:name="audio-anclaje-13"/>
    <w:p>
      <w:pPr>
        <w:pStyle w:val="Heading3"/>
      </w:pPr>
      <w:r>
        <w:t xml:space="preserve">12.3. Audio-Anclaje</w:t>
      </w:r>
    </w:p>
    <w:p>
      <w:pPr>
        <w:pStyle w:val="Compact"/>
        <w:numPr>
          <w:ilvl w:val="0"/>
          <w:numId w:val="1063"/>
        </w:numPr>
      </w:pPr>
      <w:r>
        <w:rPr>
          <w:b/>
          <w:bCs/>
        </w:rPr>
        <w:t xml:space="preserve">Aphex Twin</w:t>
      </w:r>
      <w:r>
        <w:t xml:space="preserve"> </w:t>
      </w:r>
      <w:r>
        <w:t xml:space="preserve">—</w:t>
      </w:r>
      <w:r>
        <w:t xml:space="preserve"> </w:t>
      </w:r>
      <w:r>
        <w:rPr>
          <w:i/>
          <w:iCs/>
        </w:rPr>
        <w:t xml:space="preserve">“Xtal”</w:t>
      </w:r>
      <w:r>
        <w:t xml:space="preserve"> </w:t>
      </w:r>
      <w:r>
        <w:t xml:space="preserve">(</w:t>
      </w:r>
      <w:r>
        <w:rPr>
          <w:i/>
          <w:iCs/>
        </w:rPr>
        <w:t xml:space="preserve">Selected Ambient Works 85-92</w:t>
      </w:r>
      <w:r>
        <w:t xml:space="preserve">, 1992). La ilusión de pureza de secuencia matemática libre del roce sucio de la tracción de mundo material.</w:t>
      </w:r>
    </w:p>
    <w:p>
      <w:pPr>
        <w:pStyle w:val="Compact"/>
        <w:numPr>
          <w:ilvl w:val="0"/>
          <w:numId w:val="1063"/>
        </w:numPr>
      </w:pPr>
      <w:r>
        <w:rPr>
          <w:b/>
          <w:bCs/>
        </w:rPr>
        <w:t xml:space="preserve">Nine Inch Nails</w:t>
      </w:r>
      <w:r>
        <w:t xml:space="preserve"> </w:t>
      </w:r>
      <w:r>
        <w:t xml:space="preserve">—</w:t>
      </w:r>
      <w:r>
        <w:t xml:space="preserve"> </w:t>
      </w:r>
      <w:r>
        <w:rPr>
          <w:i/>
          <w:iCs/>
        </w:rPr>
        <w:t xml:space="preserve">“The Hand That Feeds”</w:t>
      </w:r>
      <w:r>
        <w:t xml:space="preserve"> </w:t>
      </w:r>
      <w:r>
        <w:t xml:space="preserve">(</w:t>
      </w:r>
      <w:r>
        <w:rPr>
          <w:i/>
          <w:iCs/>
        </w:rPr>
        <w:t xml:space="preserve">With Teeth</w:t>
      </w:r>
      <w:r>
        <w:t xml:space="preserve">, 2005). La colisión de mordida de hueso orgánico contra la ilusión de la interfaz de control sintético.</w:t>
      </w:r>
    </w:p>
    <w:p>
      <w:r>
        <w:pict>
          <v:rect style="width:0;height:1.5pt" o:hralign="center" o:hrstd="t" o:hr="t"/>
        </w:pict>
      </w:r>
    </w:p>
    <w:p>
      <w:pPr>
        <w:pStyle w:val="FirstParagraph"/>
      </w:pPr>
      <w:r>
        <w:t xml:space="preserve"> </w:t>
      </w:r>
      <w:r>
        <w:t xml:space="preserve">## 13. La Alucinación de la Inteligencia Artificial Comercial</w:t>
      </w:r>
    </w:p>
    <w:p>
      <w:pPr>
        <w:pStyle w:val="BlockText"/>
      </w:pPr>
      <w:r>
        <w:rPr>
          <w:i/>
          <w:iCs/>
        </w:rPr>
        <w:t xml:space="preserve">El mapa de pesos matriciales proyecta secuencias de texto; el territorio exige el pago del coste de Landauer en electricidad, refrigeración y validación somática.</w:t>
      </w:r>
    </w:p>
    <w:p>
      <w:pPr>
        <w:pStyle w:val="SourceCode"/>
      </w:pPr>
      <w:r>
        <w:rPr>
          <w:rStyle w:val="VerbatimChar"/>
        </w:rPr>
        <w:t xml:space="preserve">Axioma de Anclaje: Axioma II — Confundir mapa con territorio.</w:t>
      </w:r>
      <w:r>
        <w:br/>
      </w:r>
      <w:r>
        <w:rPr>
          <w:rStyle w:val="VerbatimChar"/>
        </w:rPr>
        <w:t xml:space="preserve">La confusión entre la predicción estadística de palabras y la cognición viva omite el coste termodinámico del hardware y la ausencia de cuerpo somático acoplado al entorno.</w:t>
      </w:r>
    </w:p>
    <w:p>
      <w:r>
        <w:pict>
          <v:rect style="width:0;height:1.5pt" o:hralign="center" o:hrstd="t" o:hr="t"/>
        </w:pict>
      </w:r>
    </w:p>
    <w:bookmarkEnd w:id="124"/>
    <w:bookmarkStart w:id="125" w:name="la-confusión-entre-predecir-y-comprender"/>
    <w:p>
      <w:pPr>
        <w:pStyle w:val="Heading3"/>
      </w:pPr>
      <w:r>
        <w:t xml:space="preserve">13.1. La Confusión entre Predecir y Comprender</w:t>
      </w:r>
    </w:p>
    <w:p>
      <w:pPr>
        <w:pStyle w:val="FirstParagraph"/>
      </w:pPr>
      <w:r>
        <w:t xml:space="preserve">El modelo de lenguaje autorregresivo ejecuta una tarea definida: asignar probabilidad condicional a la pieza de texto siguiente dentro de una secuencia de tokens. Cuando el sistema responde con la cifra del billete de metro de Barcelona en 1980 en dos segundos, el usuario comete un salto deductivo: confunde acertar con saber, y saber con comprender.</w:t>
      </w:r>
    </w:p>
    <w:p>
      <w:pPr>
        <w:pStyle w:val="BodyText"/>
      </w:pPr>
      <w:r>
        <w:t xml:space="preserve">El sistema carece de acceso al mundo material. No experimenta el paso de los vagones por la vía ni el intercambio de monedas de cobre. Su estructura consiste en matrices de números que operan miles de millones de multiplicaciones y sumas en coma flotante. Emily Bender acuñó el término técnico de loro estocástico: un mecanismo que reproduce patrones textuales con fidelidad estadística, simulando la comprensión sin disponer de un modelo causal del territorio físico.</w:t>
      </w:r>
    </w:p>
    <w:p>
      <w:pPr>
        <w:pStyle w:val="BodyText"/>
      </w:pPr>
      <w:r>
        <w:t xml:space="preserve">Alexander Lerchner (Google DeepMind, 2026) demostró la falacia de abstracción: los sistemas operan sobre símbolos discretos, pero los símbolos no son física; son etiquetas que un observador con conciencia previa proyecta sobre el continuo del entorno. La fórmula de la gravedad grabada en una piedra no incrementa el peso del mineral. Procesar etiquetas de dolor, calor o hambre no produce transducción biológica. Como señaló Carme Torras, la inteligencia viva requiere cuerpo: homeostasis, sudor, gasto metabólico y regulación de temperatura. El modelo de silicio desconoce el frío; esa ausencia no se corrige añadiendo capas de parámetros.</w:t>
      </w:r>
    </w:p>
    <w:bookmarkEnd w:id="125"/>
    <w:bookmarkStart w:id="126" w:name="Xbf0987333a41ac144f762dbc011b5dd35a1c005"/>
    <w:p>
      <w:pPr>
        <w:pStyle w:val="Heading3"/>
      </w:pPr>
      <w:r>
        <w:t xml:space="preserve">13.2. La Pirámide de Inferencia y el Contador de Créditos</w:t>
      </w:r>
    </w:p>
    <w:p>
      <w:pPr>
        <w:pStyle w:val="FirstParagraph"/>
      </w:pPr>
      <w:r>
        <w:t xml:space="preserve">La retórica de democratización universal colapsa ante la física de Landauer. El coste de disipación térmica por cada ciclo de cálculo (E ≥ k_B T ln 2) impide la provisión de cómputo sin peaje financiero.</w:t>
      </w:r>
    </w:p>
    <w:p>
      <w:pPr>
        <w:pStyle w:val="BodyText"/>
      </w:pPr>
      <w:r>
        <w:t xml:space="preserve">Nick Turley (OpenAI) comparó el acceso a la inteligencia artificial con el suministro de electricidad: la tarifa plana resulta inviable ante el consumo continuo de energía. Las corporaciones construyeron una pirámide de acceso con escalones de 20 a 250 dólares al mes. En el entorno de programación Google Antigravity, la compañía sustituyó las cuotas habituales por un contador de créditos opaco (25 dólares por 2.500 créditos), recortando de golpe la capacidad de cómputo de los desarrolladores en un 97%.</w:t>
      </w:r>
    </w:p>
    <w:p>
      <w:pPr>
        <w:pStyle w:val="BodyText"/>
      </w:pPr>
      <w:r>
        <w:t xml:space="preserve">La transición de herramientas de consulta a enjambres de agentes autónomos disparó el consumo. Un agente ejecuta bucles de herramientas, reintentos y evaluación de código durante horas. En organizaciones medianas, el coste mensual osciló entre 1.000 y 5.000 dólares, disipando el 70% del presupuesto en facturación de tokens. El mapa vendió cómputo ilimitado; el territorio impuso el peaje de la infraestructura eléctrica.</w:t>
      </w:r>
    </w:p>
    <w:bookmarkEnd w:id="126"/>
    <w:bookmarkStart w:id="127" w:name="X695698c64ff899a941e499e994b0bbfe1abe602"/>
    <w:p>
      <w:pPr>
        <w:pStyle w:val="Heading3"/>
      </w:pPr>
      <w:r>
        <w:t xml:space="preserve">13.3. La Paradoja de Solow Replicada y la Financiación Circular</w:t>
      </w:r>
    </w:p>
    <w:p>
      <w:pPr>
        <w:pStyle w:val="FirstParagraph"/>
      </w:pPr>
      <w:r>
        <w:t xml:space="preserve">El mito del enriquecimiento automático tropezó con la estadística de los factores de producción. En 1987, Robert Solow constató la presencia de los computadores en todas partes excepto en las tablas de productividad. Cuatro décadas después, la paradoja reapareció intacta.</w:t>
      </w:r>
    </w:p>
    <w:p>
      <w:pPr>
        <w:pStyle w:val="BodyText"/>
      </w:pPr>
      <w:r>
        <w:t xml:space="preserve">El estudio del National Bureau of Economic Research (NBER w34836, 2026) sobre casi 6.000 directivos reveló que más del 80% de las empresas no registró variación en productividad ni en plantilla tras tres años de incorporación de herramientas de inteligencia artificial. Torsten Slok (Apollo) documentó que la caída del 80% en el precio del token coincidió con un incremento en las facturas por la explosión del volumen bruto de llamadas. Daron Acemoglu (MIT) calculó un impacto agregado en la productividad del 0,5% en diez años.</w:t>
      </w:r>
    </w:p>
    <w:p>
      <w:pPr>
        <w:pStyle w:val="BodyText"/>
      </w:pPr>
      <w:r>
        <w:t xml:space="preserve">Para sostener las valoraciones bursátiles, el capital institucional articuló circuitos de financiación circular: Microsoft invirtió en OpenAI para capturar el retorno mediante consumo de servidores en Azure; Amazon financió a Anthropic para asegurar facturación en AWS. Cinco empresas llegaron a sostener el 30% del índice S&amp;P 500, concentrando la liquidez del mercado en un bucle cerrado sin absorción en la economía real.</w:t>
      </w:r>
    </w:p>
    <w:bookmarkEnd w:id="127"/>
    <w:bookmarkStart w:id="128" w:name="X75cadc1823362845c1978a47f0e783e1e32a8c4"/>
    <w:p>
      <w:pPr>
        <w:pStyle w:val="Heading3"/>
      </w:pPr>
      <w:r>
        <w:t xml:space="preserve">13.4. La Captura Regulatoria como Foso Oligopólico</w:t>
      </w:r>
    </w:p>
    <w:p>
      <w:pPr>
        <w:pStyle w:val="FirstParagraph"/>
      </w:pPr>
      <w:r>
        <w:t xml:space="preserve">Ante la desaceleración del rendimiento marginal, los operadores incumbentes recurrieron a la burocracia de Estado (Watzlawick Cambio 1). Treinta investigadores de Google DeepMind difundieron informes alertando sobre riesgos catastróficos de una AGI previa a 2030, reclamando marcos de supervisión pública.</w:t>
      </w:r>
    </w:p>
    <w:p>
      <w:pPr>
        <w:pStyle w:val="BodyText"/>
      </w:pPr>
      <w:r>
        <w:t xml:space="preserve">El llamamiento a la regulación no persigue la protección de la población, sino la elevación de los costes de cumplimiento normativo para expulsar la competencia del código abierto y los modelos locales. Jensen Huang (NVIDIA) denunció esta maniobra: la legislación de responsabilidad civil, ciberseguridad y contratos ya cubre los fallos operativos sin necesidad de leyes de excepción que blinden a los incumbentes. La apelación al miedo opera como foso anticompetitivo.</w:t>
      </w:r>
    </w:p>
    <w:p>
      <w:pPr>
        <w:pStyle w:val="BodyText"/>
      </w:pPr>
      <w:r>
        <w:t xml:space="preserve">Frente a la captura institucional y los peajes de nube, el operador soberano ejecuta el Salto Topológico (Cambio 2): traslada la inferencia a estaciones locales de memoria unificada (256 GB RAM), compila código en silicio propio (Rust / C-ABI) y preserva su Manta de Markov sin ceder telemetría ni renta a la máquina extractiva.</w:t>
      </w:r>
    </w:p>
    <w:bookmarkEnd w:id="128"/>
    <w:bookmarkStart w:id="129" w:name="audio-anclaje-14"/>
    <w:p>
      <w:pPr>
        <w:pStyle w:val="Heading3"/>
      </w:pPr>
      <w:r>
        <w:t xml:space="preserve">13.5. Audio-Anclaje</w:t>
      </w:r>
    </w:p>
    <w:p>
      <w:pPr>
        <w:pStyle w:val="Compact"/>
        <w:numPr>
          <w:ilvl w:val="0"/>
          <w:numId w:val="1064"/>
        </w:numPr>
      </w:pPr>
      <w:r>
        <w:rPr>
          <w:b/>
          <w:bCs/>
        </w:rPr>
        <w:t xml:space="preserve">Radiohead</w:t>
      </w:r>
      <w:r>
        <w:t xml:space="preserve"> </w:t>
      </w:r>
      <w:r>
        <w:t xml:space="preserve">—</w:t>
      </w:r>
      <w:r>
        <w:t xml:space="preserve"> </w:t>
      </w:r>
      <w:r>
        <w:rPr>
          <w:i/>
          <w:iCs/>
        </w:rPr>
        <w:t xml:space="preserve">“Fitter Happier”</w:t>
      </w:r>
      <w:r>
        <w:t xml:space="preserve"> </w:t>
      </w:r>
      <w:r>
        <w:t xml:space="preserve">(</w:t>
      </w:r>
      <w:r>
        <w:rPr>
          <w:i/>
          <w:iCs/>
        </w:rPr>
        <w:t xml:space="preserve">OK Computer</w:t>
      </w:r>
      <w:r>
        <w:t xml:space="preserve">, 1997). La voz sintética del sistema operativo que enumera mandatos de productividad corporativa sin cuerpo somático ni anclaje en el territorio.</w:t>
      </w:r>
    </w:p>
    <w:p>
      <w:pPr>
        <w:pStyle w:val="Compact"/>
        <w:numPr>
          <w:ilvl w:val="0"/>
          <w:numId w:val="1064"/>
        </w:numPr>
      </w:pPr>
      <w:r>
        <w:rPr>
          <w:b/>
          <w:bCs/>
        </w:rPr>
        <w:t xml:space="preserve">Massive Attack</w:t>
      </w:r>
      <w:r>
        <w:t xml:space="preserve"> </w:t>
      </w:r>
      <w:r>
        <w:t xml:space="preserve">—</w:t>
      </w:r>
      <w:r>
        <w:t xml:space="preserve"> </w:t>
      </w:r>
      <w:r>
        <w:rPr>
          <w:i/>
          <w:iCs/>
        </w:rPr>
        <w:t xml:space="preserve">“Inertia Creeps”</w:t>
      </w:r>
      <w:r>
        <w:t xml:space="preserve"> </w:t>
      </w:r>
      <w:r>
        <w:t xml:space="preserve">(</w:t>
      </w:r>
      <w:r>
        <w:rPr>
          <w:i/>
          <w:iCs/>
        </w:rPr>
        <w:t xml:space="preserve">Mezzanine</w:t>
      </w:r>
      <w:r>
        <w:t xml:space="preserve">, 1998). El giro cerrado del bucle de percusión que simula movimiento mientras el sistema permanece atrapado en la inercia circular de capital.</w:t>
      </w:r>
    </w:p>
    <w:p>
      <w:r>
        <w:pict>
          <v:rect style="width:0;height:1.5pt" o:hralign="center" o:hrstd="t" o:hr="t"/>
        </w:pict>
      </w:r>
    </w:p>
    <w:bookmarkEnd w:id="129"/>
    <w:bookmarkEnd w:id="130"/>
    <w:bookmarkEnd w:id="131"/>
    <w:bookmarkStart w:id="167" w:name="Xb7759f480067c9919c140e319decc417b9a8e9c"/>
    <w:p>
      <w:pPr>
        <w:pStyle w:val="Heading1"/>
      </w:pPr>
      <w:r>
        <w:t xml:space="preserve">CAPÍTULO III: LA SOLUCIÓN INTENTADA ES EL PROBLEMA</w:t>
      </w:r>
    </w:p>
    <w:bookmarkStart w:id="132" w:name="Xb0db202ddf9c3d4931f0b73b3350566f0a2e75e"/>
    <w:p>
      <w:pPr>
        <w:pStyle w:val="Heading2"/>
      </w:pPr>
      <w:r>
        <w:t xml:space="preserve">Axioma III — Reguladores Descalibrados y el Dossier Psiquiátrico</w:t>
      </w:r>
    </w:p>
    <w:p>
      <w:pPr>
        <w:pStyle w:val="SourceCode"/>
      </w:pPr>
      <w:r>
        <w:rPr>
          <w:rStyle w:val="VerbatimChar"/>
        </w:rPr>
        <w:t xml:space="preserve">Cota Fisiológica: u(t) = -K * e(t) -&gt; Retroalimentación de Fase Invertida &amp; Adoctrinamiento de Rebaño</w:t>
      </w:r>
    </w:p>
    <w:p>
      <w:r>
        <w:pict>
          <v:rect style="width:0;height:1.5pt" o:hralign="center" o:hrstd="t" o:hr="t"/>
        </w:pict>
      </w:r>
    </w:p>
    <w:bookmarkEnd w:id="132"/>
    <w:bookmarkStart w:id="133" w:name="el-regulador-de-conant-ashby"/>
    <w:p>
      <w:pPr>
        <w:pStyle w:val="Heading2"/>
      </w:pPr>
      <w:r>
        <w:t xml:space="preserve">1. El Regulador de Conant-Ashby</w:t>
      </w:r>
    </w:p>
    <w:p>
      <w:pPr>
        <w:pStyle w:val="FirstParagraph"/>
      </w:pPr>
      <w:r>
        <w:t xml:space="preserve">El Teorema del Regulador Bueno (Conant &amp; Ashby, 1970) establece una condición: todo regulador de un sistema debe ser un modelo del sistema regulado. Si la complejidad del regulador es inferior a la del sistema, la intervención del regulador inyecta entropía. Un regulador descalibrado convierte la corrección en la fuente principal del error, forzando la divergencia y realimentando la oscilación.</w:t>
      </w:r>
    </w:p>
    <w:p>
      <w:r>
        <w:pict>
          <v:rect style="width:0;height:1.5pt" o:hralign="center" o:hrstd="t" o:hr="t"/>
        </w:pict>
      </w:r>
    </w:p>
    <w:p>
      <w:pPr>
        <w:pStyle w:val="FirstParagraph"/>
      </w:pPr>
      <w:r>
        <w:t xml:space="preserve"> </w:t>
      </w:r>
      <w:r>
        <w:t xml:space="preserve">## 2. Dossier Psiquiátrico: Hechos Probados</w:t>
      </w:r>
    </w:p>
    <w:p>
      <w:pPr>
        <w:pStyle w:val="BodyText"/>
      </w:pPr>
      <w:r>
        <w:t xml:space="preserve"> </w:t>
      </w:r>
      <w:r>
        <w:t xml:space="preserve">### Caso 3.1: Votación de Categorías en el DSM-II (1973)</w:t>
      </w:r>
      <w:r>
        <w:t xml:space="preserve"> </w:t>
      </w:r>
      <w:r>
        <w:t xml:space="preserve">La retirada de la homosexualidad del DSM-II por votación del Consejo de Directores de la APA (diciembre de 1973, referéndum de miembros en 1974) se narra con detalle en el Caso 8.3. Dato operativo para este capítulo: la categoría mutó por recuento de votos en un comité, no por medición de variables fisiológicas. Fuente primaria: APA Board of Trustees Resolution (1973); Spitzer, R. L. (1981).</w:t>
      </w:r>
      <w:r>
        <w:t xml:space="preserve"> </w:t>
      </w:r>
      <w:r>
        <w:rPr>
          <w:i/>
          <w:iCs/>
        </w:rPr>
        <w:t xml:space="preserve">Am J Psychiatry</w:t>
      </w:r>
      <w:r>
        <w:t xml:space="preserve">, 138(2), 210-215. DOI: 10.1176/ajp.138.2.210; Bayer, R. (1987).</w:t>
      </w:r>
      <w:r>
        <w:t xml:space="preserve"> </w:t>
      </w:r>
      <w:r>
        <w:rPr>
          <w:i/>
          <w:iCs/>
        </w:rPr>
        <w:t xml:space="preserve">Homosexuality and American Psychiatry</w:t>
      </w:r>
      <w:r>
        <w:t xml:space="preserve">, Princeton Univ. Press.</w:t>
      </w:r>
    </w:p>
    <w:p>
      <w:pPr>
        <w:pStyle w:val="BodyText"/>
      </w:pPr>
      <w:r>
        <w:t xml:space="preserve"> </w:t>
      </w:r>
      <w:r>
        <w:t xml:space="preserve">### Caso 3.2: El Experimento Rosenhan y la Fabricación del Mapa (1973)</w:t>
      </w:r>
      <w:r>
        <w:t xml:space="preserve"> </w:t>
      </w:r>
      <w:r>
        <w:t xml:space="preserve">David Rosenhan publicó en</w:t>
      </w:r>
      <w:r>
        <w:t xml:space="preserve"> </w:t>
      </w:r>
      <w:r>
        <w:rPr>
          <w:i/>
          <w:iCs/>
        </w:rPr>
        <w:t xml:space="preserve">Science</w:t>
      </w:r>
      <w:r>
        <w:t xml:space="preserve"> </w:t>
      </w:r>
      <w:r>
        <w:t xml:space="preserve">(1973) la admisión de 8 pseudopacientes en 12 hospitales psiquiátricos tras declarar escuchar tres palabras («empty, hollow, thud»). Los 12 hospitales admitieron a los sujetos con diagnósticos de esquizofrenia.</w:t>
      </w:r>
      <w:r>
        <w:t xml:space="preserve"> </w:t>
      </w:r>
      <w:r>
        <w:t xml:space="preserve">La auditoría historiográfica de los cuadernos de archivo de Stanford (Cahalan, 2019) y la revisión médica (Scull, 2023) demostraron que el experimento constituyó un fraude científico de origen: inexistencia de registro documental de 6 de los 8 sujetos, ocultación de ideación suicida y síntomas en el historial de Rosenhan y supresión de datos de pacientes con reporte favorable.</w:t>
      </w:r>
      <w:r>
        <w:t xml:space="preserve"> </w:t>
      </w:r>
      <w:r>
        <w:t xml:space="preserve">El caso opera como ilustración del Axioma V: la fabricación de un mapa discursivo sin soporte en el territorio que capturó la política de salud durante cincuenta años por coste nulo de falsificación. Fuentes primarias: Rosenhan, D. L. (1973).</w:t>
      </w:r>
      <w:r>
        <w:t xml:space="preserve"> </w:t>
      </w:r>
      <w:r>
        <w:rPr>
          <w:i/>
          <w:iCs/>
        </w:rPr>
        <w:t xml:space="preserve">Science</w:t>
      </w:r>
      <w:r>
        <w:t xml:space="preserve">, 179(4070), 250-258. DOI: 10.1126/science.179.4070.250; Cahalan, S. (2019).</w:t>
      </w:r>
      <w:r>
        <w:t xml:space="preserve"> </w:t>
      </w:r>
      <w:r>
        <w:rPr>
          <w:i/>
          <w:iCs/>
        </w:rPr>
        <w:t xml:space="preserve">The Great Pretender</w:t>
      </w:r>
      <w:r>
        <w:t xml:space="preserve">, Grand Central; Scull, A. (2023). «Rosenhan revisited: successful scientific fraud».</w:t>
      </w:r>
      <w:r>
        <w:t xml:space="preserve"> </w:t>
      </w:r>
      <w:r>
        <w:rPr>
          <w:i/>
          <w:iCs/>
        </w:rPr>
        <w:t xml:space="preserve">History of Psychiatry</w:t>
      </w:r>
      <w:r>
        <w:t xml:space="preserve">, 34(2), 109-122. DOI: 10.1177/0957154X221147571.</w:t>
      </w:r>
    </w:p>
    <w:p>
      <w:pPr>
        <w:pStyle w:val="BodyText"/>
      </w:pPr>
      <w:r>
        <w:t xml:space="preserve"> </w:t>
      </w:r>
      <w:r>
        <w:t xml:space="preserve">### Caso 3.3:</w:t>
      </w:r>
      <w:r>
        <w:t xml:space="preserve"> </w:t>
      </w:r>
      <w:r>
        <w:rPr>
          <w:i/>
          <w:iCs/>
        </w:rPr>
        <w:t xml:space="preserve">Umbrella Review</w:t>
      </w:r>
      <w:r>
        <w:t xml:space="preserve"> </w:t>
      </w:r>
      <w:r>
        <w:t xml:space="preserve">sobre la Serotonina (2022)</w:t>
      </w:r>
      <w:r>
        <w:t xml:space="preserve"> </w:t>
      </w:r>
      <w:r>
        <w:t xml:space="preserve">Joanna Moncrieff y su equipo revisaron 17 estudios (12 revisiones y meta-análisis junto a otros diseños) sobre la hipótesis serotoninérgica de la depresión. El estudio analizó niveles de serotonina en sangre, receptores 5-HT1A, transportador SERT y depleción de triptófano en miles de participantes. Resultado: ninguna evidencia consistente de asociación entre concentraciones de serotonina y depresión. Fuente primaria: Moncrieff, J. et al. (2022).</w:t>
      </w:r>
      <w:r>
        <w:t xml:space="preserve"> </w:t>
      </w:r>
      <w:r>
        <w:t xml:space="preserve">“The serotonin theory of depression: a systematic umbrella review of the evidence”</w:t>
      </w:r>
      <w:r>
        <w:t xml:space="preserve">.</w:t>
      </w:r>
      <w:r>
        <w:t xml:space="preserve"> </w:t>
      </w:r>
      <w:r>
        <w:rPr>
          <w:i/>
          <w:iCs/>
        </w:rPr>
        <w:t xml:space="preserve">Molecular Psychiatry</w:t>
      </w:r>
      <w:r>
        <w:t xml:space="preserve">, 28(8), 3243-3256 (online 2022 / impreso 2023). DOI: 10.1038/s41380-022-01661-0.</w:t>
      </w:r>
    </w:p>
    <w:p>
      <w:pPr>
        <w:pStyle w:val="BodyText"/>
      </w:pPr>
      <w:r>
        <w:t xml:space="preserve"> </w:t>
      </w:r>
      <w:r>
        <w:t xml:space="preserve">### Caso 3.4: Study 329 y la Sentencia a GlaxoSmithKline (2001-2012)</w:t>
      </w:r>
      <w:r>
        <w:t xml:space="preserve"> </w:t>
      </w:r>
      <w:r>
        <w:t xml:space="preserve">Study 329 (Keller et al., 2001, DOI: 10.1097/00004583-200107000-00010) declaró la paroxetina eficaz en adolescentes. El reanálisis independiente RIAT (</w:t>
      </w:r>
      <w:r>
        <w:rPr>
          <w:i/>
          <w:iCs/>
        </w:rPr>
        <w:t xml:space="preserve">BMJ</w:t>
      </w:r>
      <w:r>
        <w:t xml:space="preserve">, 2015, DOI: 10.1136/bmj.h4320) sobre los datos brutos reveló 481 eventos adversos frente a los 265 reportados por Keller et al. (2001) (el análisis interno de SKB contaba 338). En 2012, GlaxoSmithKline pagó</w:t>
      </w:r>
      <w:r>
        <w:t xml:space="preserve"> </w:t>
      </w:r>
      <w:r>
        <w:rPr>
          <w:rStyle w:val="VerbatimChar"/>
        </w:rPr>
        <w:t xml:space="preserve">$3.000</w:t>
      </w:r>
      <w:r>
        <w:t xml:space="preserve"> </w:t>
      </w:r>
      <w:r>
        <w:t xml:space="preserve">millones al Departamento de Justicia de EEUU por omisión de datos de seguridad e ideación suicida en menores. Fuente primaria:</w:t>
      </w:r>
      <w:r>
        <w:t xml:space="preserve"> </w:t>
      </w:r>
      <w:r>
        <w:rPr>
          <w:i/>
          <w:iCs/>
        </w:rPr>
        <w:t xml:space="preserve">United States v. GlaxoSmithKline LLC</w:t>
      </w:r>
      <w:r>
        <w:t xml:space="preserve">, Criminal No. 12-cr-10206-RWZ;</w:t>
      </w:r>
      <w:r>
        <w:t xml:space="preserve"> </w:t>
      </w:r>
      <w:r>
        <w:rPr>
          <w:i/>
          <w:iCs/>
        </w:rPr>
        <w:t xml:space="preserve">United States ex rel. Thorpe v. GlaxoSmithKline</w:t>
      </w:r>
      <w:r>
        <w:t xml:space="preserve">, Civil Action No. 11-10398-RWZ (D. Mass. 2012).</w:t>
      </w:r>
    </w:p>
    <w:p>
      <w:pPr>
        <w:pStyle w:val="BodyText"/>
      </w:pPr>
      <w:r>
        <w:t xml:space="preserve"> </w:t>
      </w:r>
      <w:r>
        <w:t xml:space="preserve">### Caso 3.5: Síndrome de Abstinencia de Benzodiazepinas (1982-2002)</w:t>
      </w:r>
      <w:r>
        <w:t xml:space="preserve"> </w:t>
      </w:r>
      <w:r>
        <w:t xml:space="preserve">Heather Ashton documentó la clínica de retirada de benzodiazepinas en la Universidad de Newcastle. El síndrome de abstinencia produce ansiedad de rebote, insomnio y convulsiones en el 30-100% de los usuarios tras 4 semanas de uso. Los síntomas de la retirada mimetizan el trastorno original, forzando la re-prescripción del fármaco. Fuente primaria: Ashton, C. H. (1984). «Benzodiazepine withdrawal: an unfinished story»,</w:t>
      </w:r>
      <w:r>
        <w:t xml:space="preserve"> </w:t>
      </w:r>
      <w:r>
        <w:rPr>
          <w:i/>
          <w:iCs/>
        </w:rPr>
        <w:t xml:space="preserve">BMJ</w:t>
      </w:r>
      <w:r>
        <w:t xml:space="preserve">, 288, 1135-1140; Ashton, C. H. (2002).</w:t>
      </w:r>
      <w:r>
        <w:t xml:space="preserve"> </w:t>
      </w:r>
      <w:r>
        <w:rPr>
          <w:i/>
          <w:iCs/>
        </w:rPr>
        <w:t xml:space="preserve">The Ashton Manual</w:t>
      </w:r>
      <w:r>
        <w:t xml:space="preserve">, Newcastle University.</w:t>
      </w:r>
    </w:p>
    <w:p>
      <w:pPr>
        <w:pStyle w:val="BodyText"/>
      </w:pPr>
      <w:r>
        <w:t xml:space="preserve"> </w:t>
      </w:r>
      <w:r>
        <w:t xml:space="preserve">### Caso 3.6: Lobotomía y Destrucción Quirúrgica Prefrontal (1936-1967)</w:t>
      </w:r>
      <w:r>
        <w:t xml:space="preserve"> </w:t>
      </w:r>
      <w:r>
        <w:t xml:space="preserve">Egas Moniz introdujo la leucotomía prefrontal en 1936 y obtuvo el Premio Nobel de Fisiología o Medicina en 1949 por el desarrollo del procedimiento. Walter Freeman ejecutó 3.500 intervenciones. En 1946 desarrolló la técnica transorbital mediante la inserción de un leucotomo por la cavidad ocular hacia la corteza frontal (el instrumento era un picahielos de cocina modificado). Freeman recorría el país en una furgoneta denominada</w:t>
      </w:r>
      <w:r>
        <w:t xml:space="preserve"> </w:t>
      </w:r>
      <w:r>
        <w:rPr>
          <w:i/>
          <w:iCs/>
        </w:rPr>
        <w:t xml:space="preserve">Lobotomobile</w:t>
      </w:r>
      <w:r>
        <w:t xml:space="preserve">. No era cirujano colegiado; era neurólogo.</w:t>
      </w:r>
    </w:p>
    <w:p>
      <w:pPr>
        <w:pStyle w:val="BodyText"/>
      </w:pPr>
      <w:r>
        <w:t xml:space="preserve">Rosemary Kennedy sufrió una lobotomía prefrontal quirúrgica abierta bilateral en 1941 a los 23 años mediante trepanación ósea, ejecutada por el neurocirujano James Watts con asistencia de Freeman. La intervención produjo pérdida irreversible de capacidad motora y del lenguaje. La familia Kennedy ocultó la operación durante décadas. Rosemary pasó el resto de su vida (56 años, 1949-2005) en la institución de Saint Coletta en Wisconsin. Fuentes primarias: Moniz, E. (1936).</w:t>
      </w:r>
      <w:r>
        <w:t xml:space="preserve"> </w:t>
      </w:r>
      <w:r>
        <w:rPr>
          <w:i/>
          <w:iCs/>
        </w:rPr>
        <w:t xml:space="preserve">Tentatives opératoires dans le traitement de certaines psychoses</w:t>
      </w:r>
      <w:r>
        <w:t xml:space="preserve">, Masson et Cie; Freeman, W. &amp; Watts, J. W. (1942).</w:t>
      </w:r>
      <w:r>
        <w:t xml:space="preserve"> </w:t>
      </w:r>
      <w:r>
        <w:rPr>
          <w:i/>
          <w:iCs/>
        </w:rPr>
        <w:t xml:space="preserve">Psychosurgery</w:t>
      </w:r>
      <w:r>
        <w:t xml:space="preserve">, Charles C Thomas; El-Hai, J. (2005).</w:t>
      </w:r>
      <w:r>
        <w:t xml:space="preserve"> </w:t>
      </w:r>
      <w:r>
        <w:rPr>
          <w:i/>
          <w:iCs/>
        </w:rPr>
        <w:t xml:space="preserve">The Lobotomist</w:t>
      </w:r>
      <w:r>
        <w:t xml:space="preserve">, John Wiley &amp; Sons; Larson, K. (2015).</w:t>
      </w:r>
      <w:r>
        <w:t xml:space="preserve"> </w:t>
      </w:r>
      <w:r>
        <w:rPr>
          <w:i/>
          <w:iCs/>
        </w:rPr>
        <w:t xml:space="preserve">Rosemary: The Hidden Kennedy Daughter</w:t>
      </w:r>
      <w:r>
        <w:t xml:space="preserve">, Houghton Mifflin.</w:t>
      </w:r>
    </w:p>
    <w:p>
      <w:pPr>
        <w:pStyle w:val="BodyText"/>
      </w:pPr>
      <w:r>
        <w:t xml:space="preserve"> </w:t>
      </w:r>
      <w:r>
        <w:t xml:space="preserve">### Caso 3.7: MKUltra y la CIA de LSD (1953-1973)</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Audiencia del Senado de EEUU (3 de agosto de 1977)</w:t>
      </w:r>
      <w:r>
        <w:br/>
      </w:r>
      <w:r>
        <w:rPr>
          <w:rStyle w:val="KeywordTok"/>
        </w:rPr>
        <w:t xml:space="preserve">[</w:t>
      </w:r>
      <w:r>
        <w:rPr>
          <w:rStyle w:val="AttributeTok"/>
        </w:rPr>
        <w:t xml:space="preserve">ENTIDAD</w:t>
      </w:r>
      <w:r>
        <w:rPr>
          <w:rStyle w:val="KeywordTok"/>
        </w:rPr>
        <w:t xml:space="preserve">]:</w:t>
      </w:r>
      <w:r>
        <w:rPr>
          <w:rStyle w:val="AttributeTok"/>
        </w:rPr>
        <w:t xml:space="preserve"> Central Intelligence Agency (CIA) / Dr. Sidney Gottlieb</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III (Regulador que inyecta la enfermedad)</w:t>
      </w:r>
      <w:r>
        <w:br/>
      </w:r>
      <w:r>
        <w:rPr>
          <w:rStyle w:val="KeywordTok"/>
        </w:rPr>
        <w:t xml:space="preserve">[</w:t>
      </w:r>
      <w:r>
        <w:rPr>
          <w:rStyle w:val="AttributeTok"/>
        </w:rPr>
        <w:t xml:space="preserve">RESULTADO</w:t>
      </w:r>
      <w:r>
        <w:rPr>
          <w:rStyle w:val="KeywordTok"/>
        </w:rPr>
        <w:t xml:space="preserve">]:</w:t>
      </w:r>
      <w:r>
        <w:rPr>
          <w:rStyle w:val="AttributeTok"/>
        </w:rPr>
        <w:t xml:space="preserve"> Muerte de Frank Olson / 80+ instituciones implicadas</w:t>
      </w:r>
    </w:p>
    <w:p>
      <w:pPr>
        <w:pStyle w:val="FirstParagraph"/>
      </w:pPr>
      <w:r>
        <w:t xml:space="preserve">La Central Intelligence Agency de Estados Unidos operó el Proyecto MKUltra entre 1953 y 1973 con la finalidad de desarrollar técnicas de control de la mente. El director del programa, Sidney Gottlieb, administró dietilamida de ácido lisérgico (LSD) a sujetos sin su conocimiento ni consentimiento en hospitales psiquiátricos, prisiones y universidades. La agencia financió la operación a través de 80 instituciones, entre ellas 44 universidades y 12 hospitales.</w:t>
      </w:r>
    </w:p>
    <w:p>
      <w:pPr>
        <w:pStyle w:val="BodyText"/>
      </w:pPr>
      <w:r>
        <w:t xml:space="preserve">Frank Olson, científico del laboratorio de Fort Detrick (guerra biológica), recibió LSD en su copa de cointreau por parte de sus colegas de la CIA el 19 de noviembre de 1953. Nueve días después cayó desde la ventana de la planta número diez del Hotel Statler de Nueva York. El gobierno clasificó la muerte como suicidio. En 1975, la Comisión Rockefeller desclasificó la verdad. El presidente Gerald Ford emitió disculpa oficial a la familia Olson y el gobierno pagó</w:t>
      </w:r>
      <w:r>
        <w:t xml:space="preserve"> </w:t>
      </w:r>
      <w:r>
        <w:rPr>
          <w:rStyle w:val="VerbatimChar"/>
        </w:rPr>
        <w:t xml:space="preserve">$750.000</w:t>
      </w:r>
      <w:r>
        <w:t xml:space="preserve"> </w:t>
      </w:r>
      <w:r>
        <w:t xml:space="preserve">de indemnización.</w:t>
      </w:r>
    </w:p>
    <w:p>
      <w:pPr>
        <w:pStyle w:val="BodyText"/>
      </w:pPr>
      <w:r>
        <w:t xml:space="preserve">En el Allan Memorial Institute de Montreal, el psiquiatra Ewen Cameron ejecutó programas de borrado de memoria mediante electroshock en serie (protocolo</w:t>
      </w:r>
      <w:r>
        <w:t xml:space="preserve"> </w:t>
      </w:r>
      <w:r>
        <w:rPr>
          <w:i/>
          <w:iCs/>
        </w:rPr>
        <w:t xml:space="preserve">depatterning</w:t>
      </w:r>
      <w:r>
        <w:t xml:space="preserve">: 2-3 sesiones diarias de 6 choques de 150 V, con 30-40 sesiones por curso de tratamiento), privación sensorial y administración de LSD a pacientes psiquiátricos que ingresaron por depresión o ansiedad. La CIA financió la operación a través de una fundación pantalla. En 1988, la CIA acordó pagar a 9 demandantes canadienses (~$67.000 cada uno). En 1992, el gobierno de Canadá indemnizó a 77 víctimas con C$100.000 cada una.</w:t>
      </w:r>
    </w:p>
    <w:p>
      <w:pPr>
        <w:pStyle w:val="BodyText"/>
      </w:pPr>
      <w:r>
        <w:t xml:space="preserve">La agencia de inteligencia del estado aplicó el Axioma III contra su propia población: la solución intentada (el control de la mente) destruyó la mente del sujeto. Fuente primaria: U.S. Senate, Select Committee on Intelligence and Subcommittee on Health and Scientific Research,</w:t>
      </w:r>
      <w:r>
        <w:t xml:space="preserve"> </w:t>
      </w:r>
      <w:r>
        <w:rPr>
          <w:i/>
          <w:iCs/>
        </w:rPr>
        <w:t xml:space="preserve">Project MKUltra, the CIA’s Program of Research in Behavioral Modification</w:t>
      </w:r>
      <w:r>
        <w:t xml:space="preserve"> </w:t>
      </w:r>
      <w:r>
        <w:t xml:space="preserve">(Joint Hearing, August 3, 1977, 95th Congress); Marks, J. (1979).</w:t>
      </w:r>
      <w:r>
        <w:t xml:space="preserve"> </w:t>
      </w:r>
      <w:r>
        <w:rPr>
          <w:i/>
          <w:iCs/>
        </w:rPr>
        <w:t xml:space="preserve">The Search for the Manchurian Candidate</w:t>
      </w:r>
      <w:r>
        <w:t xml:space="preserve">, Times Books.</w:t>
      </w:r>
    </w:p>
    <w:p>
      <w:pPr>
        <w:pStyle w:val="BodyText"/>
      </w:pPr>
      <w:r>
        <w:t xml:space="preserve"> </w:t>
      </w:r>
      <w:r>
        <w:t xml:space="preserve">### Caso 3.8: Zyprexa y la Ocultación de Diabetes (1996-2009)</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DOJ Criminal Case (E.D. Pa. 2009)</w:t>
      </w:r>
      <w:r>
        <w:br/>
      </w:r>
      <w:r>
        <w:rPr>
          <w:rStyle w:val="KeywordTok"/>
        </w:rPr>
        <w:t xml:space="preserve">[</w:t>
      </w:r>
      <w:r>
        <w:rPr>
          <w:rStyle w:val="AttributeTok"/>
        </w:rPr>
        <w:t xml:space="preserve">ENTIDAD</w:t>
      </w:r>
      <w:r>
        <w:rPr>
          <w:rStyle w:val="KeywordTok"/>
        </w:rPr>
        <w:t xml:space="preserve">]:</w:t>
      </w:r>
      <w:r>
        <w:rPr>
          <w:rStyle w:val="AttributeTok"/>
        </w:rPr>
        <w:t xml:space="preserve"> Eli Lilly and Company</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II (Ocultación de Variable Latente del Territorio)</w:t>
      </w:r>
      <w:r>
        <w:br/>
      </w:r>
      <w:r>
        <w:rPr>
          <w:rStyle w:val="KeywordTok"/>
        </w:rPr>
        <w:t xml:space="preserve">[</w:t>
      </w:r>
      <w:r>
        <w:rPr>
          <w:rStyle w:val="AttributeTok"/>
        </w:rPr>
        <w:t xml:space="preserve">RESULTADO</w:t>
      </w:r>
      <w:r>
        <w:rPr>
          <w:rStyle w:val="KeywordTok"/>
        </w:rPr>
        <w:t xml:space="preserve">]:</w:t>
      </w:r>
      <w:r>
        <w:rPr>
          <w:rStyle w:val="AttributeTok"/>
        </w:rPr>
        <w:t xml:space="preserve"> `$1.415` millones en multas / Epidemia de diabetes en pacientes psiquiátricos</w:t>
      </w:r>
    </w:p>
    <w:p>
      <w:pPr>
        <w:pStyle w:val="FirstParagraph"/>
      </w:pPr>
      <w:r>
        <w:t xml:space="preserve">Eli Lilly comercializó olanzapina (Zyprexa) como tratamiento de esquizofrenia y trastorno bipolar a partir de 1996. El fármaco generó</w:t>
      </w:r>
      <w:r>
        <w:t xml:space="preserve"> </w:t>
      </w:r>
      <w:r>
        <w:rPr>
          <w:rStyle w:val="VerbatimChar"/>
        </w:rPr>
        <w:t xml:space="preserve">$4.700</w:t>
      </w:r>
      <w:r>
        <w:t xml:space="preserve"> </w:t>
      </w:r>
      <w:r>
        <w:t xml:space="preserve">millones de ingresos anuales en su pico de ventas (2007). La corporación disponía de datos internos que documentaban la correlación entre el uso de olanzapina y la aparición de hiperglucemia, aumento de peso y diabetes tipo 2. La compañía ocultó esta información a los prescriptores y a la FDA.</w:t>
      </w:r>
    </w:p>
    <w:p>
      <w:pPr>
        <w:pStyle w:val="BodyText"/>
      </w:pPr>
      <w:r>
        <w:t xml:space="preserve">Para ampliar la base de ventas, Eli Lilly promovió la prescripción de Zyprexa para indicaciones no aprobadas por la FDA: demencia, agitación en ancianos y trastornos de conducta en niños. La fuerza de ventas de la corporación pagó a médicos por recetar el fármaco a través de un programa de conferencias retribuidas.</w:t>
      </w:r>
    </w:p>
    <w:p>
      <w:pPr>
        <w:pStyle w:val="BodyText"/>
      </w:pPr>
      <w:r>
        <w:t xml:space="preserve">En enero de 2009, Eli Lilly se declaró culpable ante el Departamento de Justicia de EEUU y pagó</w:t>
      </w:r>
      <w:r>
        <w:t xml:space="preserve"> </w:t>
      </w:r>
      <w:r>
        <w:rPr>
          <w:rStyle w:val="VerbatimChar"/>
        </w:rPr>
        <w:t xml:space="preserve">1.415</w:t>
      </w:r>
      <w:r>
        <w:t xml:space="preserve"> </w:t>
      </w:r>
      <w:r>
        <w:t xml:space="preserve">millones:</w:t>
      </w:r>
      <w:r>
        <w:t xml:space="preserve"> </w:t>
      </w:r>
      <w:r>
        <w:rPr>
          <w:rStyle w:val="VerbatimChar"/>
        </w:rPr>
        <w:t xml:space="preserve">515</w:t>
      </w:r>
      <w:r>
        <w:t xml:space="preserve"> </w:t>
      </w:r>
      <w:r>
        <w:t xml:space="preserve">millones en multa penal (la multa penal de mayor cuantía impuesta a una corporación en la historia del sistema judicial de EEUU hasta la fecha),</w:t>
      </w:r>
      <w:r>
        <w:t xml:space="preserve"> </w:t>
      </w:r>
      <w:r>
        <w:rPr>
          <w:rStyle w:val="VerbatimChar"/>
        </w:rPr>
        <w:t xml:space="preserve">100</w:t>
      </w:r>
      <w:r>
        <w:t xml:space="preserve"> </w:t>
      </w:r>
      <w:r>
        <w:t xml:space="preserve">millones en decomiso penal y</w:t>
      </w:r>
      <w:r>
        <w:t xml:space="preserve"> </w:t>
      </w:r>
      <w:r>
        <w:rPr>
          <w:rStyle w:val="VerbatimChar"/>
        </w:rPr>
        <w:t xml:space="preserve">800</w:t>
      </w:r>
      <w:r>
        <w:t xml:space="preserve"> </w:t>
      </w:r>
      <w:r>
        <w:t xml:space="preserve">millones en acuerdos civiles. Antes de la resolución federal, la compañía pagó</w:t>
      </w:r>
      <w:r>
        <w:t xml:space="preserve"> </w:t>
      </w:r>
      <w:r>
        <w:rPr>
          <w:rStyle w:val="VerbatimChar"/>
        </w:rPr>
        <w:t xml:space="preserve">$700</w:t>
      </w:r>
      <w:r>
        <w:t xml:space="preserve"> </w:t>
      </w:r>
      <w:r>
        <w:t xml:space="preserve">millones en 2005 para resolver 8.000 demandas individuales por daños de salud.</w:t>
      </w:r>
    </w:p>
    <w:p>
      <w:pPr>
        <w:pStyle w:val="BodyText"/>
      </w:pPr>
      <w:r>
        <w:t xml:space="preserve">El regulador psiquiátrico recetó la pastilla para calmar al paciente. La pastilla destruyó el páncreas del paciente. La enfermedad de la regulación era la regulación de la enfermedad. Fuente primaria: U.S. Department of Justice, Press Release No. 09-038 (Jan 15, 2009); Berenson, A. (2007).</w:t>
      </w:r>
      <w:r>
        <w:t xml:space="preserve"> </w:t>
      </w:r>
      <w:r>
        <w:t xml:space="preserve">“Eli Lilly Said to Play Down Risk of Top Pill”</w:t>
      </w:r>
      <w:r>
        <w:t xml:space="preserve">,</w:t>
      </w:r>
      <w:r>
        <w:t xml:space="preserve"> </w:t>
      </w:r>
      <w:r>
        <w:rPr>
          <w:i/>
          <w:iCs/>
        </w:rPr>
        <w:t xml:space="preserve">The New York Times</w:t>
      </w:r>
      <w:r>
        <w:t xml:space="preserve"> </w:t>
      </w:r>
      <w:r>
        <w:t xml:space="preserve">(Dec 17, 2006); Gottstein, J. (2008).</w:t>
      </w:r>
      <w:r>
        <w:t xml:space="preserve"> </w:t>
      </w:r>
      <w:r>
        <w:rPr>
          <w:i/>
          <w:iCs/>
        </w:rPr>
        <w:t xml:space="preserve">The Zyprexa Papers</w:t>
      </w:r>
      <w:r>
        <w:t xml:space="preserve">, PsychRights.</w:t>
      </w:r>
    </w:p>
    <w:p>
      <w:pPr>
        <w:pStyle w:val="BodyText"/>
      </w:pPr>
      <w:r>
        <w:t xml:space="preserve"> </w:t>
      </w:r>
      <w:r>
        <w:t xml:space="preserve">### Caso 3.9: OxyContin y la Cosecha de Cadáveres (1996-2024)</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DOJ Resolution / Purdue Pharma Bankruptcy (Case No. 19-23649, Bankr. S.D.N.Y.)</w:t>
      </w:r>
      <w:r>
        <w:br/>
      </w:r>
      <w:r>
        <w:rPr>
          <w:rStyle w:val="KeywordTok"/>
        </w:rPr>
        <w:t xml:space="preserve">[</w:t>
      </w:r>
      <w:r>
        <w:rPr>
          <w:rStyle w:val="AttributeTok"/>
        </w:rPr>
        <w:t xml:space="preserve">ENTIDAD</w:t>
      </w:r>
      <w:r>
        <w:rPr>
          <w:rStyle w:val="KeywordTok"/>
        </w:rPr>
        <w:t xml:space="preserve">]:</w:t>
      </w:r>
      <w:r>
        <w:rPr>
          <w:rStyle w:val="AttributeTok"/>
        </w:rPr>
        <w:t xml:space="preserve"> Purdue Pharma LP / Familia Sackler</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III + V (Solución que crea la enfermedad + Discurso de altruismo sin huella)</w:t>
      </w:r>
      <w:r>
        <w:br/>
      </w:r>
      <w:r>
        <w:rPr>
          <w:rStyle w:val="KeywordTok"/>
        </w:rPr>
        <w:t xml:space="preserve">[</w:t>
      </w:r>
      <w:r>
        <w:rPr>
          <w:rStyle w:val="AttributeTok"/>
        </w:rPr>
        <w:t xml:space="preserve">RESULTADO</w:t>
      </w:r>
      <w:r>
        <w:rPr>
          <w:rStyle w:val="KeywordTok"/>
        </w:rPr>
        <w:t xml:space="preserve">]:</w:t>
      </w:r>
      <w:r>
        <w:rPr>
          <w:rStyle w:val="AttributeTok"/>
        </w:rPr>
        <w:t xml:space="preserve"> 500.000+ muertes por sobredosis de opioides en EEUU (CDC, 1999-2020)</w:t>
      </w:r>
    </w:p>
    <w:p>
      <w:pPr>
        <w:pStyle w:val="FirstParagraph"/>
      </w:pPr>
      <w:r>
        <w:t xml:space="preserve">La familia Sackler fundó Purdue Pharma y lanzó OxyContin (oxicodona de liberación controlada) en 1996. La estrategia de la corporación consistía en negar el potencial de adicción del fármaco ante los prescriptores y ante la DEA (Drug Enforcement Administration). Purdue Pharma formó equipos de ventas para visitar consultas de medicina de familia y convencer a los médicos de que la tasa de adicción era inferior al 1%.</w:t>
      </w:r>
    </w:p>
    <w:p>
      <w:pPr>
        <w:pStyle w:val="BodyText"/>
      </w:pPr>
      <w:r>
        <w:t xml:space="preserve">El territorio desmintió el mapa. La revisión sistemática de Vowles et al. (2015,</w:t>
      </w:r>
      <w:r>
        <w:t xml:space="preserve"> </w:t>
      </w:r>
      <w:r>
        <w:rPr>
          <w:i/>
          <w:iCs/>
        </w:rPr>
        <w:t xml:space="preserve">Pain</w:t>
      </w:r>
      <w:r>
        <w:t xml:space="preserve">) estimó un 21-29% de uso indebido (</w:t>
      </w:r>
      <w:r>
        <w:rPr>
          <w:i/>
          <w:iCs/>
        </w:rPr>
        <w:t xml:space="preserve">misuse</w:t>
      </w:r>
      <w:r>
        <w:t xml:space="preserve">) en pacientes con prescripción de opioides para dolor crónico. Los pacientes que desarrollaron tolerancia al opioide de prescripción migraron a heroína y fentanilo de calle por su coste inferior. La cadena de producción de muerte operaba con la termodinámica del Axioma III: la solución (el analgésico) generó la enfermedad (la adicción), y la enfermedad generó la solución de la calle (la heroína), y la solución de la calle generó la muerte (la sobredosis de fentanilo).</w:t>
      </w:r>
    </w:p>
    <w:p>
      <w:pPr>
        <w:pStyle w:val="BodyText"/>
      </w:pPr>
      <w:r>
        <w:t xml:space="preserve">En octubre de 2020, Purdue Pharma se declaró culpable ante el DOJ y aceptó una resolución de</w:t>
      </w:r>
      <w:r>
        <w:t xml:space="preserve"> </w:t>
      </w:r>
      <w:r>
        <w:rPr>
          <w:rStyle w:val="VerbatimChar"/>
        </w:rPr>
        <w:t xml:space="preserve">8.300</w:t>
      </w:r>
      <w:r>
        <w:t xml:space="preserve"> </w:t>
      </w:r>
      <w:r>
        <w:t xml:space="preserve">millones (multas, decomisos y penalidades). La familia Sackler extrajo</w:t>
      </w:r>
      <w:r>
        <w:t xml:space="preserve"> </w:t>
      </w:r>
      <w:r>
        <w:rPr>
          <w:rStyle w:val="VerbatimChar"/>
        </w:rPr>
        <w:t xml:space="preserve">10.400</w:t>
      </w:r>
      <w:r>
        <w:t xml:space="preserve"> </w:t>
      </w:r>
      <w:r>
        <w:t xml:space="preserve">millones de la corporación antes de la bancarrota y aceptó pagar</w:t>
      </w:r>
      <w:r>
        <w:t xml:space="preserve"> </w:t>
      </w:r>
      <w:r>
        <w:rPr>
          <w:rStyle w:val="VerbatimChar"/>
        </w:rPr>
        <w:t xml:space="preserve">$7.400</w:t>
      </w:r>
      <w:r>
        <w:t xml:space="preserve"> </w:t>
      </w:r>
      <w:r>
        <w:t xml:space="preserve">millones en 15 años bajo un acuerdo de 2025. En junio de 2024, la Corte Suprema de EEUU (</w:t>
      </w:r>
      <w:r>
        <w:rPr>
          <w:i/>
          <w:iCs/>
        </w:rPr>
        <w:t xml:space="preserve">Harrington v. Purdue Pharma L.P.</w:t>
      </w:r>
      <w:r>
        <w:t xml:space="preserve">, 144 S. Ct. 2071) invalidó la exoneración de responsabilidad civil de los Sackler. Mientras la familia Sackler financiaba alas de museo en el Metropolitan, el Louvre y el Guggenheim (Axioma V: discurso de filantropía), el CDC registraba 500.000 muertes por sobredosis de opioides en EEUU entre 1999 y 2020. 68.630 muertes por opioides en el año 2020 (cifra final de CDC WONDER).</w:t>
      </w:r>
    </w:p>
    <w:p>
      <w:pPr>
        <w:pStyle w:val="BodyText"/>
      </w:pPr>
      <w:r>
        <w:t xml:space="preserve">El nombre de los Sackler fue retirado de las paredes del Metropolitan Museum of Art en diciembre de 2021. La pintura permanece en el muro; el nombre del donante se borra del marco. El marco no aguanta la sangre. Fuentes primarias:</w:t>
      </w:r>
      <w:r>
        <w:t xml:space="preserve"> </w:t>
      </w:r>
      <w:r>
        <w:rPr>
          <w:i/>
          <w:iCs/>
        </w:rPr>
        <w:t xml:space="preserve">United States v. Purdue Pharma L.P.</w:t>
      </w:r>
      <w:r>
        <w:t xml:space="preserve">, Criminal Information, Case No. 2:20-cr-01028 (D.N.J. 2020);</w:t>
      </w:r>
      <w:r>
        <w:t xml:space="preserve"> </w:t>
      </w:r>
      <w:r>
        <w:rPr>
          <w:i/>
          <w:iCs/>
        </w:rPr>
        <w:t xml:space="preserve">In re Purdue Pharma L.P.</w:t>
      </w:r>
      <w:r>
        <w:t xml:space="preserve">, Case No. 19-23649 (Bankr. S.D.N.Y.);</w:t>
      </w:r>
      <w:r>
        <w:t xml:space="preserve"> </w:t>
      </w:r>
      <w:r>
        <w:rPr>
          <w:i/>
          <w:iCs/>
        </w:rPr>
        <w:t xml:space="preserve">Harrington v. Purdue Pharma L.P.</w:t>
      </w:r>
      <w:r>
        <w:t xml:space="preserve">, 603 U.S. ___ (2024); CDC,</w:t>
      </w:r>
      <w:r>
        <w:t xml:space="preserve"> </w:t>
      </w:r>
      <w:r>
        <w:rPr>
          <w:i/>
          <w:iCs/>
        </w:rPr>
        <w:t xml:space="preserve">Understanding the Opioid Overdose Epidemic</w:t>
      </w:r>
      <w:r>
        <w:t xml:space="preserve"> </w:t>
      </w:r>
      <w:r>
        <w:t xml:space="preserve">(NCHS Data Brief No. 457, 2022); Keefe, P. R. (2021).</w:t>
      </w:r>
      <w:r>
        <w:t xml:space="preserve"> </w:t>
      </w:r>
      <w:r>
        <w:rPr>
          <w:i/>
          <w:iCs/>
        </w:rPr>
        <w:t xml:space="preserve">Empire of Pain: The Secret History of the Sackler Dynasty</w:t>
      </w:r>
      <w:r>
        <w:t xml:space="preserve">, Doubleday.</w:t>
      </w:r>
    </w:p>
    <w:p>
      <w:r>
        <w:pict>
          <v:rect style="width:0;height:1.5pt" o:hralign="center" o:hrstd="t" o:hr="t"/>
        </w:pict>
      </w:r>
    </w:p>
    <w:bookmarkEnd w:id="133"/>
    <w:bookmarkStart w:id="139" w:name="invariante-operativo-2"/>
    <w:p>
      <w:pPr>
        <w:pStyle w:val="Heading2"/>
      </w:pPr>
      <w:r>
        <w:t xml:space="preserve">3. Invariante Operativo</w:t>
      </w:r>
    </w:p>
    <w:p>
      <w:pPr>
        <w:pStyle w:val="FirstParagraph"/>
      </w:pPr>
      <w:r>
        <w:t xml:space="preserve">La intervención de un regulador sin homomorfismo interno de los estados del entorno multiplica el error del sistema. Si el problema aumenta tras tres iteraciones de corrección, la corrección es la causa de la variación.</w:t>
      </w:r>
    </w:p>
    <w:p>
      <w:r>
        <w:pict>
          <v:rect style="width:0;height:1.5pt" o:hralign="center" o:hrstd="t" o:hr="t"/>
        </w:pict>
      </w:r>
    </w:p>
    <w:p>
      <w:pPr>
        <w:pStyle w:val="FirstParagraph"/>
      </w:pPr>
      <w:r>
        <w:t xml:space="preserve"> </w:t>
      </w:r>
      <w:r>
        <w:t xml:space="preserve">## 4. La Cibernética de Palo Alto: Los Cinco Motores de la Solución Intentada</w:t>
      </w:r>
    </w:p>
    <w:p>
      <w:pPr>
        <w:pStyle w:val="BodyText"/>
      </w:pPr>
      <w:r>
        <w:t xml:space="preserve">Paul Watzlawick formalizó en el Mental Research Institute (Palo Alto, California) la mecánica de la patología pragmática (</w:t>
      </w:r>
      <w:r>
        <w:rPr>
          <w:i/>
          <w:iCs/>
        </w:rPr>
        <w:t xml:space="preserve">Anleitung zum Unglücklichsein</w:t>
      </w:r>
      <w:r>
        <w:t xml:space="preserve">, 1983). La perturbación inicial del sistema no constituye el problema; el colapso sobreviene cuando el regulador aplica una corrección de Primer Orden (Cambio 1) que retroalimenta la desviación y amplifica la oscilación. Cinco motores arquetípicos gobiernan este circuito:</w:t>
      </w:r>
    </w:p>
    <w:bookmarkStart w:id="134" w:name="la-llave-perdida-más-de-lo-mismo"/>
    <w:p>
      <w:pPr>
        <w:pStyle w:val="Heading3"/>
      </w:pPr>
      <w:r>
        <w:t xml:space="preserve">4.1. La Llave Perdida («Más de lo Mismo»)</w:t>
      </w:r>
    </w:p>
    <w:p>
      <w:pPr>
        <w:pStyle w:val="FirstParagraph"/>
      </w:pPr>
      <w:r>
        <w:t xml:space="preserve">Un sujeto pierde su llave en un callejón en penumbra, pero ejecuta la búsqueda bajo una farola porque allí dispone de iluminación.</w:t>
      </w:r>
      <w:r>
        <w:t xml:space="preserve"> </w:t>
      </w:r>
      <w:r>
        <w:t xml:space="preserve">-</w:t>
      </w:r>
      <w:r>
        <w:t xml:space="preserve"> </w:t>
      </w:r>
      <w:r>
        <w:rPr>
          <w:b/>
          <w:bCs/>
        </w:rPr>
        <w:t xml:space="preserve">Mapeo de Sistemas:</w:t>
      </w:r>
      <w:r>
        <w:t xml:space="preserve"> </w:t>
      </w:r>
      <w:r>
        <w:t xml:space="preserve">El operador confunde la accesibilidad de la herramienta de medición con la localización de la variable de estado.</w:t>
      </w:r>
      <w:r>
        <w:t xml:space="preserve"> </w:t>
      </w:r>
      <w:r>
        <w:t xml:space="preserve">-</w:t>
      </w:r>
      <w:r>
        <w:t xml:space="preserve"> </w:t>
      </w:r>
      <w:r>
        <w:rPr>
          <w:b/>
          <w:bCs/>
        </w:rPr>
        <w:t xml:space="preserve">Mecánica del Fallo:</w:t>
      </w:r>
      <w:r>
        <w:t xml:space="preserve"> </w:t>
      </w:r>
      <w:r>
        <w:t xml:space="preserve">Al constatar la ausencia de la llave bajo la farola, la política de control dicta intensificar la búsqueda en el mismo punto: barrer con mayor frecuencia la baldosa iluminada. El trabajo parásito disipa energía libre (</w:t>
      </w:r>
      <w:r>
        <w:rPr>
          <w:rStyle w:val="VerbatimChar"/>
        </w:rPr>
        <w:t xml:space="preserve">W_parásito = ∫ F · dx &gt; 0</w:t>
      </w:r>
      <w:r>
        <w:t xml:space="preserve">) mientras la probabilidad de hallazgo permanece en cero (</w:t>
      </w:r>
      <w:r>
        <w:rPr>
          <w:rStyle w:val="VerbatimChar"/>
        </w:rPr>
        <w:t xml:space="preserve">P(llave ∈ farola) = 0</w:t>
      </w:r>
      <w:r>
        <w:t xml:space="preserve">). La persistencia en la solución conocida garantiza la parálisis.</w:t>
      </w:r>
    </w:p>
    <w:bookmarkEnd w:id="134"/>
    <w:bookmarkStart w:id="135" w:name="Xd276d8b694bff229b405edd7240e0f30c00e367"/>
    <w:p>
      <w:pPr>
        <w:pStyle w:val="Heading3"/>
      </w:pPr>
      <w:r>
        <w:t xml:space="preserve">4.2. La Historia del Martillo (La Confabulación del Mapa)</w:t>
      </w:r>
    </w:p>
    <w:p>
      <w:pPr>
        <w:pStyle w:val="FirstParagraph"/>
      </w:pPr>
      <w:r>
        <w:t xml:space="preserve">Un individuo precisa un martillo para fijar un clavo y decide pedirlo a su vecino. Durante el trayecto de diez metros hacia la puerta del vecino, el individuo ejecuta una simulación predictiva en bucle cerrado: recuerda un saludo breve del día previo, infiere hostilidad intencional, concluye desprecio por parte del vecino y eleva el tono simpático de alerta. Al abrirse la puerta, el individuo agrede al vecino:</w:t>
      </w:r>
      <w:r>
        <w:t xml:space="preserve"> </w:t>
      </w:r>
      <w:r>
        <w:rPr>
          <w:i/>
          <w:iCs/>
        </w:rPr>
        <w:t xml:space="preserve">«¡Quédese con su martillo!»</w:t>
      </w:r>
      <w:r>
        <w:t xml:space="preserve">.</w:t>
      </w:r>
      <w:r>
        <w:t xml:space="preserve"> </w:t>
      </w:r>
      <w:r>
        <w:t xml:space="preserve">-</w:t>
      </w:r>
      <w:r>
        <w:t xml:space="preserve"> </w:t>
      </w:r>
      <w:r>
        <w:rPr>
          <w:b/>
          <w:bCs/>
        </w:rPr>
        <w:t xml:space="preserve">Mapeo de Sistemas:</w:t>
      </w:r>
      <w:r>
        <w:t xml:space="preserve"> </w:t>
      </w:r>
      <w:r>
        <w:t xml:space="preserve">Violación directa del Axioma II (Confundir mapa con territorio).</w:t>
      </w:r>
      <w:r>
        <w:t xml:space="preserve"> </w:t>
      </w:r>
      <w:r>
        <w:t xml:space="preserve">-</w:t>
      </w:r>
      <w:r>
        <w:t xml:space="preserve"> </w:t>
      </w:r>
      <w:r>
        <w:rPr>
          <w:b/>
          <w:bCs/>
        </w:rPr>
        <w:t xml:space="preserve">Mecánica del Fallo:</w:t>
      </w:r>
      <w:r>
        <w:t xml:space="preserve"> </w:t>
      </w:r>
      <w:r>
        <w:t xml:space="preserve">El sistema genera inferencia sin actualización sensorial de datos (</w:t>
      </w:r>
      <w:r>
        <w:rPr>
          <w:rStyle w:val="VerbatimChar"/>
        </w:rPr>
        <w:t xml:space="preserve">P(amenaza) → 1</w:t>
      </w:r>
      <w:r>
        <w:t xml:space="preserve">). El acto motor agrede al entorno en respuesta al mapa interno; el entorno reacciona defendiéndose, con lo cual el sistema valida su hipótesis previa de enemistad. La profecía autocumplida sella la trampa hermenéutica.</w:t>
      </w:r>
    </w:p>
    <w:bookmarkEnd w:id="135"/>
    <w:bookmarkStart w:id="136" w:name="el-mandato-paradójico-sé-espontáneo"/>
    <w:p>
      <w:pPr>
        <w:pStyle w:val="Heading3"/>
      </w:pPr>
      <w:r>
        <w:t xml:space="preserve">4.3. El Mandato Paradójico («Sé Espontáneo»)</w:t>
      </w:r>
    </w:p>
    <w:p>
      <w:pPr>
        <w:pStyle w:val="FirstParagraph"/>
      </w:pPr>
      <w:r>
        <w:t xml:space="preserve">Un emisor exige a otro:</w:t>
      </w:r>
      <w:r>
        <w:t xml:space="preserve"> </w:t>
      </w:r>
      <w:r>
        <w:rPr>
          <w:i/>
          <w:iCs/>
        </w:rPr>
        <w:t xml:space="preserve">«¡Sé espontáneo!»</w:t>
      </w:r>
      <w:r>
        <w:t xml:space="preserve">,</w:t>
      </w:r>
      <w:r>
        <w:t xml:space="preserve"> </w:t>
      </w:r>
      <w:r>
        <w:rPr>
          <w:i/>
          <w:iCs/>
        </w:rPr>
        <w:t xml:space="preserve">«¡Ámame con libertad!»</w:t>
      </w:r>
      <w:r>
        <w:t xml:space="preserve">, o</w:t>
      </w:r>
      <w:r>
        <w:t xml:space="preserve"> </w:t>
      </w:r>
      <w:r>
        <w:rPr>
          <w:i/>
          <w:iCs/>
        </w:rPr>
        <w:t xml:space="preserve">«¡Duérmete ahora!»</w:t>
      </w:r>
      <w:r>
        <w:t xml:space="preserve">.</w:t>
      </w:r>
      <w:r>
        <w:t xml:space="preserve"> </w:t>
      </w:r>
      <w:r>
        <w:t xml:space="preserve">-</w:t>
      </w:r>
      <w:r>
        <w:t xml:space="preserve"> </w:t>
      </w:r>
      <w:r>
        <w:rPr>
          <w:b/>
          <w:bCs/>
        </w:rPr>
        <w:t xml:space="preserve">Mapeo de Sistemas:</w:t>
      </w:r>
      <w:r>
        <w:t xml:space="preserve"> </w:t>
      </w:r>
      <w:r>
        <w:t xml:space="preserve">Violación del Axioma V (Lo voluntario vale menos que lo involuntario).</w:t>
      </w:r>
      <w:r>
        <w:t xml:space="preserve"> </w:t>
      </w:r>
      <w:r>
        <w:t xml:space="preserve">-</w:t>
      </w:r>
      <w:r>
        <w:t xml:space="preserve"> </w:t>
      </w:r>
      <w:r>
        <w:rPr>
          <w:b/>
          <w:bCs/>
        </w:rPr>
        <w:t xml:space="preserve">Mecánica del Fallo:</w:t>
      </w:r>
      <w:r>
        <w:t xml:space="preserve"> </w:t>
      </w:r>
      <w:r>
        <w:t xml:space="preserve">El emisor formula por el canal voluntario cortical una demanda que pertenece por física al canal somático involuntario. Si el receptor obedece por voluntad consciente, su respuesta ya no es espontánea (fracaso); si el receptor no obedece, incumple el mandato (fracaso). La orden forzada sobre variables autónomas bloquea el sistema.</w:t>
      </w:r>
    </w:p>
    <w:bookmarkEnd w:id="136"/>
    <w:bookmarkStart w:id="137" w:name="Xd1b1f257b4de1c313d80f2b3bd6ef0d3e762b5a"/>
    <w:p>
      <w:pPr>
        <w:pStyle w:val="Heading3"/>
      </w:pPr>
      <w:r>
        <w:t xml:space="preserve">4.4. El Hombre que Espantaba Elefantes (La Anergía del Regulador)</w:t>
      </w:r>
    </w:p>
    <w:p>
      <w:pPr>
        <w:pStyle w:val="FirstParagraph"/>
      </w:pPr>
      <w:r>
        <w:t xml:space="preserve">Un individuo aplaude cada diez segundos en el vagón de un tren. Al ser interrogado sobre el motivo de su conducta, responde:</w:t>
      </w:r>
      <w:r>
        <w:t xml:space="preserve"> </w:t>
      </w:r>
      <w:r>
        <w:rPr>
          <w:i/>
          <w:iCs/>
        </w:rPr>
        <w:t xml:space="preserve">«Para espantar a los elefantes»</w:t>
      </w:r>
      <w:r>
        <w:t xml:space="preserve">. Ante la objeción de que allí no hay elefantes, el sujeto replica:</w:t>
      </w:r>
      <w:r>
        <w:t xml:space="preserve"> </w:t>
      </w:r>
      <w:r>
        <w:rPr>
          <w:i/>
          <w:iCs/>
        </w:rPr>
        <w:t xml:space="preserve">«¿Lo ve? Mi método funciona»</w:t>
      </w:r>
      <w:r>
        <w:t xml:space="preserve">.</w:t>
      </w:r>
      <w:r>
        <w:t xml:space="preserve"> </w:t>
      </w:r>
      <w:r>
        <w:t xml:space="preserve">-</w:t>
      </w:r>
      <w:r>
        <w:t xml:space="preserve"> </w:t>
      </w:r>
      <w:r>
        <w:rPr>
          <w:b/>
          <w:bCs/>
        </w:rPr>
        <w:t xml:space="preserve">Mapeo de Sistemas:</w:t>
      </w:r>
      <w:r>
        <w:t xml:space="preserve"> </w:t>
      </w:r>
      <w:r>
        <w:t xml:space="preserve">Atribución de causalidad a un operador parásito ante la ausencia natural de perturbaciones.</w:t>
      </w:r>
      <w:r>
        <w:t xml:space="preserve"> </w:t>
      </w:r>
      <w:r>
        <w:t xml:space="preserve">-</w:t>
      </w:r>
      <w:r>
        <w:t xml:space="preserve"> </w:t>
      </w:r>
      <w:r>
        <w:rPr>
          <w:b/>
          <w:bCs/>
        </w:rPr>
        <w:t xml:space="preserve">Mecánica del Fallo:</w:t>
      </w:r>
      <w:r>
        <w:t xml:space="preserve"> </w:t>
      </w:r>
      <w:r>
        <w:t xml:space="preserve">El regulador gasta exergía en una rutina de control que carece de acoplamiento físico con el entorno. La ausencia de perturbación (ausencia de elefantes) se computa como prueba de eficacia del trabajo, consolidando bucles burocráticos y ceremonias de supervisión cuyo coste metabólico solo enriquece al regulador.</w:t>
      </w:r>
    </w:p>
    <w:bookmarkEnd w:id="137"/>
    <w:bookmarkStart w:id="138" w:name="Xaad4fb63b7076a22d0a6f299e0a0647cfb7365c"/>
    <w:p>
      <w:pPr>
        <w:pStyle w:val="Heading3"/>
      </w:pPr>
      <w:r>
        <w:t xml:space="preserve">4.5. La Extorsión del Vínculo («Si me amases de veras, comerías ajo»)</w:t>
      </w:r>
    </w:p>
    <w:p>
      <w:pPr>
        <w:pStyle w:val="FirstParagraph"/>
      </w:pPr>
      <w:r>
        <w:t xml:space="preserve">Un emisor exige al receptor una sumisión física o la ingesta de un alimento que el receptor rechaza, decretando:</w:t>
      </w:r>
      <w:r>
        <w:t xml:space="preserve"> </w:t>
      </w:r>
      <w:r>
        <w:rPr>
          <w:i/>
          <w:iCs/>
        </w:rPr>
        <w:t xml:space="preserve">«Si me quisieras, lo harías por mí»</w:t>
      </w:r>
      <w:r>
        <w:t xml:space="preserve">.</w:t>
      </w:r>
      <w:r>
        <w:t xml:space="preserve"> </w:t>
      </w:r>
      <w:r>
        <w:t xml:space="preserve">-</w:t>
      </w:r>
      <w:r>
        <w:t xml:space="preserve"> </w:t>
      </w:r>
      <w:r>
        <w:rPr>
          <w:b/>
          <w:bCs/>
        </w:rPr>
        <w:t xml:space="preserve">Mapeo de Sistemas:</w:t>
      </w:r>
      <w:r>
        <w:t xml:space="preserve"> </w:t>
      </w:r>
      <w:r>
        <w:t xml:space="preserve">Manipulación de la asimetría de señal.</w:t>
      </w:r>
      <w:r>
        <w:t xml:space="preserve"> </w:t>
      </w:r>
      <w:r>
        <w:t xml:space="preserve">-</w:t>
      </w:r>
      <w:r>
        <w:t xml:space="preserve"> </w:t>
      </w:r>
      <w:r>
        <w:rPr>
          <w:b/>
          <w:bCs/>
        </w:rPr>
        <w:t xml:space="preserve">Mecánica del Fallo:</w:t>
      </w:r>
      <w:r>
        <w:t xml:space="preserve"> </w:t>
      </w:r>
      <w:r>
        <w:t xml:space="preserve">Si el receptor cede, sacrifica su integridad de sustrato para validar una regla arbitraria; si el receptor rehúsa, el emisor lo acusa de falta de lealtad. El emisor impone daño biológico en el canal común como peaje extorsivo para satisfacer un modelo interno sin cota de parada.</w:t>
      </w:r>
    </w:p>
    <w:p>
      <w:r>
        <w:pict>
          <v:rect style="width:0;height:1.5pt" o:hralign="center" o:hrstd="t" o:hr="t"/>
        </w:pict>
      </w:r>
    </w:p>
    <w:bookmarkEnd w:id="138"/>
    <w:bookmarkEnd w:id="139"/>
    <w:bookmarkStart w:id="142" w:name="el-bucle-de-la-depresión"/>
    <w:p>
      <w:pPr>
        <w:pStyle w:val="Heading2"/>
      </w:pPr>
      <w:r>
        <w:t xml:space="preserve">5. El Bucle de la Depresión</w:t>
      </w:r>
    </w:p>
    <w:p>
      <w:pPr>
        <w:pStyle w:val="BlockText"/>
      </w:pPr>
      <w:r>
        <w:rPr>
          <w:i/>
          <w:iCs/>
        </w:rPr>
        <w:t xml:space="preserve">Bajo el principio de energía libre de Karl Friston, la depresión es un fallo de calibración en la asignación de recursos de red.</w:t>
      </w:r>
    </w:p>
    <w:p>
      <w:pPr>
        <w:pStyle w:val="SourceCode"/>
      </w:pPr>
      <w:r>
        <w:rPr>
          <w:rStyle w:val="VerbatimChar"/>
        </w:rPr>
        <w:t xml:space="preserve">Axioma de Anclaje: Axioma III — La solución intentada es el problema.</w:t>
      </w:r>
      <w:r>
        <w:br/>
      </w:r>
      <w:r>
        <w:rPr>
          <w:rStyle w:val="VerbatimChar"/>
        </w:rPr>
        <w:t xml:space="preserve">La depresión no es un déficit químico; es una reducción de entropía ante un entorno de coste metabólico inasumible.</w:t>
      </w:r>
    </w:p>
    <w:p>
      <w:r>
        <w:pict>
          <v:rect style="width:0;height:1.5pt" o:hralign="center" o:hrstd="t" o:hr="t"/>
        </w:pict>
      </w:r>
    </w:p>
    <w:bookmarkStart w:id="140" w:name="la-supresión-de-la-señal"/>
    <w:p>
      <w:pPr>
        <w:pStyle w:val="Heading3"/>
      </w:pPr>
      <w:r>
        <w:t xml:space="preserve">1. La Supresión de la Señal</w:t>
      </w:r>
    </w:p>
    <w:p>
      <w:pPr>
        <w:pStyle w:val="FirstParagraph"/>
      </w:pPr>
      <w:r>
        <w:t xml:space="preserve">El organismo humano opera como un sistema en búsqueda de equilibrio de termodinámica. Cuando el entorno exige un gasto de energía (trabajo, trauma, dolor) que supera el presupuesto del nodo, el nodo entra en estado de hibernación. La depresión es el freno de emergencia. Es una reducción de ancho de banda para evitar el colapso del sistema.</w:t>
      </w:r>
    </w:p>
    <w:p>
      <w:pPr>
        <w:pStyle w:val="BodyText"/>
      </w:pPr>
      <w:r>
        <w:t xml:space="preserve">El modelo de psiquiatría tradicional diagnostica la depresión como una falla de la máquina por déficit de serotonina. La solución del modelo es la inyección de inhibidores de recaptación de serotonina (ISRS).</w:t>
      </w:r>
    </w:p>
    <w:bookmarkEnd w:id="140"/>
    <w:bookmarkStart w:id="141" w:name="el-disparo-del-bucle-de-watzlawick"/>
    <w:p>
      <w:pPr>
        <w:pStyle w:val="Heading3"/>
      </w:pPr>
      <w:r>
        <w:t xml:space="preserve">2. El Disparo del Bucle de Watzlawick</w:t>
      </w:r>
    </w:p>
    <w:p>
      <w:pPr>
        <w:pStyle w:val="FirstParagraph"/>
      </w:pPr>
      <w:r>
        <w:t xml:space="preserve">El fármaco suprime la señal de dolor (el freno). El primate recupera la capacidad de operar en el entorno tóxico sin percibir el coste de metabolismo. La solución permite al sujeto continuar la destrucción de su presupuesto de energía.</w:t>
      </w:r>
    </w:p>
    <w:p>
      <w:pPr>
        <w:pStyle w:val="BodyText"/>
      </w:pPr>
      <w:r>
        <w:t xml:space="preserve">A medio plazo, el sistema de control del cerebro reduce los receptores de serotonina para compensar el exceso de química en la sinapsis. El paciente desarrolla tolerancia. Al retirar el fármaco, el cerebro presenta un déficit de estructura que antes no poseía. La solución crea la enfermedad crónica.</w:t>
      </w:r>
    </w:p>
    <w:p>
      <w:r>
        <w:pict>
          <v:rect style="width:0;height:1.5pt" o:hralign="center" o:hrstd="t" o:hr="t"/>
        </w:pict>
      </w:r>
    </w:p>
    <w:bookmarkEnd w:id="141"/>
    <w:bookmarkEnd w:id="142"/>
    <w:bookmarkStart w:id="145" w:name="el-bucle-del-déficit-de-atención"/>
    <w:p>
      <w:pPr>
        <w:pStyle w:val="Heading2"/>
      </w:pPr>
      <w:r>
        <w:t xml:space="preserve">6. El Bucle del Déficit de Atención</w:t>
      </w:r>
    </w:p>
    <w:p>
      <w:pPr>
        <w:pStyle w:val="BlockText"/>
      </w:pPr>
      <w:r>
        <w:rPr>
          <w:i/>
          <w:iCs/>
        </w:rPr>
        <w:t xml:space="preserve">No es una enfermedad; es una incompatibilidad de sistema.</w:t>
      </w:r>
    </w:p>
    <w:p>
      <w:pPr>
        <w:pStyle w:val="SourceCode"/>
      </w:pPr>
      <w:r>
        <w:rPr>
          <w:rStyle w:val="VerbatimChar"/>
        </w:rPr>
        <w:t xml:space="preserve">Axioma de Anclaje: Axioma III — La solución intentada es el problema.</w:t>
      </w:r>
      <w:r>
        <w:br/>
      </w:r>
      <w:r>
        <w:rPr>
          <w:rStyle w:val="VerbatimChar"/>
        </w:rPr>
        <w:t xml:space="preserve">El TDAH es la métrica de un cazador en operación de captura dentro del entorno de una fábrica.</w:t>
      </w:r>
    </w:p>
    <w:p>
      <w:r>
        <w:pict>
          <v:rect style="width:0;height:1.5pt" o:hralign="center" o:hrstd="t" o:hr="t"/>
        </w:pict>
      </w:r>
    </w:p>
    <w:bookmarkStart w:id="143" w:name="la-incompatibilidad-de-frecuencia"/>
    <w:p>
      <w:pPr>
        <w:pStyle w:val="Heading3"/>
      </w:pPr>
      <w:r>
        <w:t xml:space="preserve">1. La Incompatibilidad de Frecuencia</w:t>
      </w:r>
    </w:p>
    <w:p>
      <w:pPr>
        <w:pStyle w:val="FirstParagraph"/>
      </w:pPr>
      <w:r>
        <w:t xml:space="preserve">El nodo con diagnóstico de TDAH opera con una frecuencia de escaneo de entorno de ciclo acelerado. Constituye una arquitectura de supervivencia con diseño de detección de anomalías (depredadores, oportunidades) en espacios de peligro de daño.</w:t>
      </w:r>
    </w:p>
    <w:p>
      <w:pPr>
        <w:pStyle w:val="BodyText"/>
      </w:pPr>
      <w:r>
        <w:t xml:space="preserve">El sistema de educación y de trabajo de la era de industria requiere foco de visión de túnel sobre tareas de repetición (hojas de cálculo, líneas de ensamblaje). La arquitectura de frecuencia elevada fracasa en el túnel de repetición. El sistema diagnostica un déficit.</w:t>
      </w:r>
    </w:p>
    <w:bookmarkEnd w:id="143"/>
    <w:bookmarkStart w:id="144" w:name="la-escalada-con-estimulantes"/>
    <w:p>
      <w:pPr>
        <w:pStyle w:val="Heading3"/>
      </w:pPr>
      <w:r>
        <w:t xml:space="preserve">2. La Escalada con Estimulantes</w:t>
      </w:r>
    </w:p>
    <w:p>
      <w:pPr>
        <w:pStyle w:val="FirstParagraph"/>
      </w:pPr>
      <w:r>
        <w:t xml:space="preserve">La solución del sistema es el uso de sales de anfetamina o metilfenidato. El fármaco inyecta dopamina y fuerza la entrada del nodo en el modo de visión de túnel.</w:t>
      </w:r>
    </w:p>
    <w:p>
      <w:pPr>
        <w:pStyle w:val="BodyText"/>
      </w:pPr>
      <w:r>
        <w:t xml:space="preserve">El bucle de Watzlawick detona: el nodo rinde en el túnel de repetición, pero quema su sustrato endógeno de dopamina (L-Tirosina). En la fase de caída (</w:t>
      </w:r>
      <w:r>
        <w:rPr>
          <w:i/>
          <w:iCs/>
        </w:rPr>
        <w:t xml:space="preserve">crash</w:t>
      </w:r>
      <w:r>
        <w:t xml:space="preserve">), el nodo experimenta fatiga de castigo. Para recuperar el estado basal en el siguiente ciclo, el nodo requiere aumento de dosis de estimulante. La solución impone la adicción de rendimiento.</w:t>
      </w:r>
    </w:p>
    <w:p>
      <w:r>
        <w:pict>
          <v:rect style="width:0;height:1.5pt" o:hralign="center" o:hrstd="t" o:hr="t"/>
        </w:pict>
      </w:r>
    </w:p>
    <w:bookmarkEnd w:id="144"/>
    <w:bookmarkEnd w:id="145"/>
    <w:bookmarkStart w:id="148" w:name="el-bucle-del-pánico"/>
    <w:p>
      <w:pPr>
        <w:pStyle w:val="Heading2"/>
      </w:pPr>
      <w:r>
        <w:t xml:space="preserve">7. El Bucle del Pánico</w:t>
      </w:r>
    </w:p>
    <w:p>
      <w:pPr>
        <w:pStyle w:val="BlockText"/>
      </w:pPr>
      <w:r>
        <w:rPr>
          <w:i/>
          <w:iCs/>
        </w:rPr>
        <w:t xml:space="preserve">La hiperfijación es la puerta de entrada al infierno.</w:t>
      </w:r>
    </w:p>
    <w:p>
      <w:pPr>
        <w:pStyle w:val="SourceCode"/>
      </w:pPr>
      <w:r>
        <w:rPr>
          <w:rStyle w:val="VerbatimChar"/>
        </w:rPr>
        <w:t xml:space="preserve">Axioma de Anclaje: Axioma III — La solución intentada es el problema.</w:t>
      </w:r>
      <w:r>
        <w:br/>
      </w:r>
      <w:r>
        <w:rPr>
          <w:rStyle w:val="VerbatimChar"/>
        </w:rPr>
        <w:t xml:space="preserve">El ataque de pánico es el resultado de forzar control manual sobre sistemas autónomos.</w:t>
      </w:r>
    </w:p>
    <w:p>
      <w:r>
        <w:pict>
          <v:rect style="width:0;height:1.5pt" o:hralign="center" o:hrstd="t" o:hr="t"/>
        </w:pict>
      </w:r>
    </w:p>
    <w:p>
      <w:pPr>
        <w:pStyle w:val="SourceCode"/>
      </w:pPr>
      <w:r>
        <w:rPr>
          <w:rStyle w:val="VerbatimChar"/>
        </w:rPr>
        <w:t xml:space="preserve">graph TD</w:t>
      </w:r>
      <w:r>
        <w:br/>
      </w:r>
      <w:r>
        <w:rPr>
          <w:rStyle w:val="VerbatimChar"/>
        </w:rPr>
        <w:t xml:space="preserve">    classDef anomaly fill:#D32F2F,stroke:#000,stroke-width:2px,color:#fff,font-weight:bold;</w:t>
      </w:r>
      <w:r>
        <w:br/>
      </w:r>
      <w:r>
        <w:rPr>
          <w:rStyle w:val="VerbatimChar"/>
        </w:rPr>
        <w:t xml:space="preserve">    classDef core fill:#0F0F0F,stroke:#000,stroke-width:2px,color:#fff,font-weight:bold;</w:t>
      </w:r>
      <w:r>
        <w:br/>
      </w:r>
      <w:r>
        <w:rPr>
          <w:rStyle w:val="VerbatimChar"/>
        </w:rPr>
        <w:t xml:space="preserve">    classDef state fill:#FAFAFA,stroke:#0F0F0F,stroke-width:2px,color:#0F0F0F;</w:t>
      </w:r>
      <w:r>
        <w:br/>
      </w:r>
      <w:r>
        <w:br/>
      </w:r>
      <w:r>
        <w:rPr>
          <w:rStyle w:val="VerbatimChar"/>
        </w:rPr>
        <w:t xml:space="preserve">    A[ESTADO BASE: Fricción Detectada]:::state --&gt; B{El Mapa ejecuta Intervención}:::core</w:t>
      </w:r>
      <w:r>
        <w:br/>
      </w:r>
      <w:r>
        <w:rPr>
          <w:rStyle w:val="VerbatimChar"/>
        </w:rPr>
        <w:t xml:space="preserve">    B --&gt;|Solución Intentada| C[Señal de Parche]:::state</w:t>
      </w:r>
      <w:r>
        <w:br/>
      </w:r>
      <w:r>
        <w:rPr>
          <w:rStyle w:val="VerbatimChar"/>
        </w:rPr>
        <w:t xml:space="preserve">    C --&gt;|Ignora el Territorio| D[Bloqueo del Atractor]:::state</w:t>
      </w:r>
      <w:r>
        <w:br/>
      </w:r>
      <w:r>
        <w:rPr>
          <w:rStyle w:val="VerbatimChar"/>
        </w:rPr>
        <w:t xml:space="preserve">    D --&gt;|Aceleración del Fallo| A</w:t>
      </w:r>
      <w:r>
        <w:br/>
      </w:r>
      <w:r>
        <w:br/>
      </w:r>
      <w:r>
        <w:rPr>
          <w:rStyle w:val="VerbatimChar"/>
        </w:rPr>
        <w:t xml:space="preserve">    A --&gt;|Bucle Infinito / Escalada Térmica| E((COLAPSO DEL NODO)):::anomaly</w:t>
      </w:r>
    </w:p>
    <w:bookmarkStart w:id="146" w:name="la-trampa-del-control-manual"/>
    <w:p>
      <w:pPr>
        <w:pStyle w:val="Heading3"/>
      </w:pPr>
      <w:r>
        <w:t xml:space="preserve">1. La Trampa del Control Manual</w:t>
      </w:r>
    </w:p>
    <w:p>
      <w:pPr>
        <w:pStyle w:val="FirstParagraph"/>
      </w:pPr>
      <w:r>
        <w:t xml:space="preserve">La fisiología humana delega la gestión de recursos (frecuencia de corazón, ritmo de pulmón) a sistemas autónomos de nivel basal (tallo cerebral). El nodo consciente (corteza prefrontal) opera sin acceso de escritura a estos sistemas, solo con acceso de lectura.</w:t>
      </w:r>
    </w:p>
    <w:p>
      <w:pPr>
        <w:pStyle w:val="BodyText"/>
      </w:pPr>
      <w:r>
        <w:t xml:space="preserve">Cuando el nodo experimenta ansiedad, el nodo detecta un aumento de ritmo de corazón. El nodo intenta aplicar control manual (forzar la respiración, detener el pulso). La literatura nombra a este evento la Trampa del Control Manual (</w:t>
      </w:r>
      <w:r>
        <w:rPr>
          <w:i/>
          <w:iCs/>
        </w:rPr>
        <w:t xml:space="preserve">Manual Override Trap</w:t>
      </w:r>
      <w:r>
        <w:t xml:space="preserve">).</w:t>
      </w:r>
    </w:p>
    <w:bookmarkEnd w:id="146"/>
    <w:bookmarkStart w:id="147" w:name="la-amplificación-por-retroalimentación"/>
    <w:p>
      <w:pPr>
        <w:pStyle w:val="Heading3"/>
      </w:pPr>
      <w:r>
        <w:t xml:space="preserve">2. La Amplificación por Retroalimentación</w:t>
      </w:r>
    </w:p>
    <w:p>
      <w:pPr>
        <w:pStyle w:val="FirstParagraph"/>
      </w:pPr>
      <w:r>
        <w:t xml:space="preserve">El intento de control manual sobre un sistema autónomo genera fricción. El tallo cerebral interpreta la intromisión de la corteza como una señal de amenaza (falta de oxígeno). El tallo cerebral ordena un aumento de la frecuencia de corazón para ejecutar compensación.</w:t>
      </w:r>
    </w:p>
    <w:p>
      <w:pPr>
        <w:pStyle w:val="BodyText"/>
      </w:pPr>
      <w:r>
        <w:t xml:space="preserve">El nodo percibe el aumento, intensifica el esfuerzo de control manual, y el sistema de alarma detona. La solución intentada (el control) es el combustible de la explosión (el pánico). La vía de escape exige soltar los mandos (abandono de la ilusión de control).</w:t>
      </w:r>
    </w:p>
    <w:p>
      <w:r>
        <w:pict>
          <v:rect style="width:0;height:1.5pt" o:hralign="center" o:hrstd="t" o:hr="t"/>
        </w:pict>
      </w:r>
    </w:p>
    <w:bookmarkEnd w:id="147"/>
    <w:bookmarkEnd w:id="148"/>
    <w:bookmarkStart w:id="151" w:name="el-bucle-de-la-esquizofrenia"/>
    <w:p>
      <w:pPr>
        <w:pStyle w:val="Heading2"/>
      </w:pPr>
      <w:r>
        <w:t xml:space="preserve">8. El Bucle de la Esquizofrenia</w:t>
      </w:r>
    </w:p>
    <w:p>
      <w:pPr>
        <w:pStyle w:val="BlockText"/>
      </w:pPr>
      <w:r>
        <w:rPr>
          <w:i/>
          <w:iCs/>
        </w:rPr>
        <w:t xml:space="preserve">La psicosis es el intento de la red por procesar una señal sin anclaje.</w:t>
      </w:r>
    </w:p>
    <w:p>
      <w:pPr>
        <w:pStyle w:val="SourceCode"/>
      </w:pPr>
      <w:r>
        <w:rPr>
          <w:rStyle w:val="VerbatimChar"/>
        </w:rPr>
        <w:t xml:space="preserve">Axioma de Anclaje: Axioma III — La solución intentada es el problema.</w:t>
      </w:r>
      <w:r>
        <w:br/>
      </w:r>
      <w:r>
        <w:rPr>
          <w:rStyle w:val="VerbatimChar"/>
        </w:rPr>
        <w:t xml:space="preserve">La esquizofrenia es el colapso del filtro de relevancia (*salience*) del nodo.</w:t>
      </w:r>
    </w:p>
    <w:p>
      <w:r>
        <w:pict>
          <v:rect style="width:0;height:1.5pt" o:hralign="center" o:hrstd="t" o:hr="t"/>
        </w:pict>
      </w:r>
    </w:p>
    <w:bookmarkStart w:id="149" w:name="el-colapso-del-filtro-de-relevancia"/>
    <w:p>
      <w:pPr>
        <w:pStyle w:val="Heading3"/>
      </w:pPr>
      <w:r>
        <w:t xml:space="preserve">1. El Colapso del Filtro de Relevancia</w:t>
      </w:r>
    </w:p>
    <w:p>
      <w:pPr>
        <w:pStyle w:val="FirstParagraph"/>
      </w:pPr>
      <w:r>
        <w:t xml:space="preserve">La maquinaria de percepción del nodo opera por descarte. El entorno emite petabytes de información visual y ruido de audio en cada intervalo de reloj. El cerebro ejecuta un filtro de relevancia (</w:t>
      </w:r>
      <w:r>
        <w:rPr>
          <w:i/>
          <w:iCs/>
        </w:rPr>
        <w:t xml:space="preserve">salience network</w:t>
      </w:r>
      <w:r>
        <w:t xml:space="preserve">) de umbral estrecho para borrar el exceso de señal. El nodo procesa la fracción útil para la supervivencia.</w:t>
      </w:r>
    </w:p>
    <w:p>
      <w:pPr>
        <w:pStyle w:val="BodyText"/>
      </w:pPr>
      <w:r>
        <w:t xml:space="preserve">En el episodio de psicosis, el filtro de relevancia colapsa. El nodo asigna valor de emergencia a señales sin estructura (el ruido estocástico, el patrón de sombra en la pared). El cerebro percibe amenaza total por fracaso de la función de exclusión.</w:t>
      </w:r>
    </w:p>
    <w:bookmarkEnd w:id="149"/>
    <w:bookmarkStart w:id="150" w:name="la-parálisis-de-química"/>
    <w:p>
      <w:pPr>
        <w:pStyle w:val="Heading3"/>
      </w:pPr>
      <w:r>
        <w:t xml:space="preserve">2. La Parálisis de Química</w:t>
      </w:r>
    </w:p>
    <w:p>
      <w:pPr>
        <w:pStyle w:val="FirstParagraph"/>
      </w:pPr>
      <w:r>
        <w:t xml:space="preserve">La solución del sistema de psiquiatría es la inyección de antipsicóticos (neurolépticos). Los fármacos de bloqueo de dopamina anulan la cascada de señal de relevancia en el cerebro.</w:t>
      </w:r>
    </w:p>
    <w:p>
      <w:pPr>
        <w:pStyle w:val="BodyText"/>
      </w:pPr>
      <w:r>
        <w:t xml:space="preserve">El bucle de Watzlawick entra en acción: el bloqueo de química frena la escalada de delirio, pero aniquila la capacidad del nodo para sentir motivación de tarea (abulia) o placer de recompensa (anhedonia). El nodo detiene el cálculo de la amenaza fantasma a cambio de la parálisis del sistema de motor y voluntad. El fármaco exige un peaje de lobotomía reversible. El sistema sobrevive; el nodo deja de operar.</w:t>
      </w:r>
    </w:p>
    <w:p>
      <w:r>
        <w:pict>
          <v:rect style="width:0;height:1.5pt" o:hralign="center" o:hrstd="t" o:hr="t"/>
        </w:pict>
      </w:r>
    </w:p>
    <w:bookmarkEnd w:id="150"/>
    <w:bookmarkEnd w:id="151"/>
    <w:bookmarkStart w:id="154" w:name="el-bucle-del-trastorno-límite-tlp"/>
    <w:p>
      <w:pPr>
        <w:pStyle w:val="Heading2"/>
      </w:pPr>
      <w:r>
        <w:t xml:space="preserve">9. El Bucle del Trastorno Límite (TLP)</w:t>
      </w:r>
    </w:p>
    <w:p>
      <w:pPr>
        <w:pStyle w:val="BlockText"/>
      </w:pPr>
      <w:r>
        <w:rPr>
          <w:i/>
          <w:iCs/>
        </w:rPr>
        <w:t xml:space="preserve">La huella de estrés térmico altera la arquitectura de la red de respuesta.</w:t>
      </w:r>
    </w:p>
    <w:p>
      <w:pPr>
        <w:pStyle w:val="SourceCode"/>
      </w:pPr>
      <w:r>
        <w:rPr>
          <w:rStyle w:val="VerbatimChar"/>
        </w:rPr>
        <w:t xml:space="preserve">Axioma de Anclaje: Axioma III — La solución intentada es el problema.</w:t>
      </w:r>
      <w:r>
        <w:br/>
      </w:r>
      <w:r>
        <w:rPr>
          <w:rStyle w:val="VerbatimChar"/>
        </w:rPr>
        <w:t xml:space="preserve">El TLP es un sistema de alarma de alta frecuencia con falla en el interruptor de desactivación.</w:t>
      </w:r>
    </w:p>
    <w:p>
      <w:r>
        <w:pict>
          <v:rect style="width:0;height:1.5pt" o:hralign="center" o:hrstd="t" o:hr="t"/>
        </w:pict>
      </w:r>
    </w:p>
    <w:bookmarkStart w:id="152" w:name="la-arquitectura-de-amenaza-continua"/>
    <w:p>
      <w:pPr>
        <w:pStyle w:val="Heading3"/>
      </w:pPr>
      <w:r>
        <w:t xml:space="preserve">1. La Arquitectura de Amenaza Continua</w:t>
      </w:r>
    </w:p>
    <w:p>
      <w:pPr>
        <w:pStyle w:val="FirstParagraph"/>
      </w:pPr>
      <w:r>
        <w:t xml:space="preserve">El Trastorno Límite de Personalidad (TLP) presenta un modelo de hipervigilancia de entorno. La base de datos de estadística asocia esta arquitectura a escenarios de trauma de origen temprano. El nodo asimiló la operación en un entorno de hostilidad continuada.</w:t>
      </w:r>
    </w:p>
    <w:p>
      <w:pPr>
        <w:pStyle w:val="BodyText"/>
      </w:pPr>
      <w:r>
        <w:t xml:space="preserve">El cerebro ejecutó reprogramación en la amígdala para forzar el disparo de la alarma de amenaza de muerte ante señales de amplitud reducida de entrada (un cambio de tono de voz, la ausencia de respuesta en un texto). El nodo asimila el rechazo de orden social como una fisura en la capa de supervivencia física.</w:t>
      </w:r>
    </w:p>
    <w:bookmarkEnd w:id="152"/>
    <w:bookmarkStart w:id="153" w:name="el-agujero-negro-de-regulación"/>
    <w:p>
      <w:pPr>
        <w:pStyle w:val="Heading3"/>
      </w:pPr>
      <w:r>
        <w:t xml:space="preserve">2. El Agujero Negro de Regulación</w:t>
      </w:r>
    </w:p>
    <w:p>
      <w:pPr>
        <w:pStyle w:val="FirstParagraph"/>
      </w:pPr>
      <w:r>
        <w:t xml:space="preserve">El intento del nodo por estabilizar el estado de alerta genera el bucle de Watzlawick. Ante la alarma de abandono, el nodo exige garantía de permanencia al operador externo (la pareja, el núcleo de familia).</w:t>
      </w:r>
    </w:p>
    <w:p>
      <w:pPr>
        <w:pStyle w:val="BodyText"/>
      </w:pPr>
      <w:r>
        <w:t xml:space="preserve">La demanda de intensidad por parte del nodo agota los recursos de energía del operador externo. El operador externo ejecuta distancia de seguridad para evitar colapso. La distancia de seguridad confirma la hipótesis de abandono de la amígdala del nodo. El nodo ejecuta escalada del ciclo de pánico y demanda. La exigencia de control de la pérdida fuerza la ejecución de la pérdida.</w:t>
      </w:r>
    </w:p>
    <w:p>
      <w:r>
        <w:pict>
          <v:rect style="width:0;height:1.5pt" o:hralign="center" o:hrstd="t" o:hr="t"/>
        </w:pict>
      </w:r>
    </w:p>
    <w:bookmarkEnd w:id="153"/>
    <w:bookmarkEnd w:id="154"/>
    <w:bookmarkStart w:id="157" w:name="el-bucle-de-la-dopamina"/>
    <w:p>
      <w:pPr>
        <w:pStyle w:val="Heading2"/>
      </w:pPr>
      <w:r>
        <w:t xml:space="preserve">10. El Bucle de la Dopamina</w:t>
      </w:r>
    </w:p>
    <w:p>
      <w:pPr>
        <w:pStyle w:val="BlockText"/>
      </w:pPr>
      <w:r>
        <w:rPr>
          <w:i/>
          <w:iCs/>
        </w:rPr>
        <w:t xml:space="preserve">El pozo sin fondo de recompensa es el mausoleo de la inercia motora.</w:t>
      </w:r>
    </w:p>
    <w:p>
      <w:pPr>
        <w:pStyle w:val="SourceCode"/>
      </w:pPr>
      <w:r>
        <w:rPr>
          <w:rStyle w:val="VerbatimChar"/>
        </w:rPr>
        <w:t xml:space="preserve">Axioma de Anclaje: Axioma III — La solución intentada es el problema.</w:t>
      </w:r>
      <w:r>
        <w:br/>
      </w:r>
      <w:r>
        <w:rPr>
          <w:rStyle w:val="VerbatimChar"/>
        </w:rPr>
        <w:t xml:space="preserve">El consumo de vídeo de formato corto es el suicidio de termodinámica del sistema de recompensa del simio humano.</w:t>
      </w:r>
    </w:p>
    <w:p>
      <w:r>
        <w:pict>
          <v:rect style="width:0;height:1.5pt" o:hralign="center" o:hrstd="t" o:hr="t"/>
        </w:pict>
      </w:r>
    </w:p>
    <w:bookmarkStart w:id="155" w:name="el-secuestro-del-primate"/>
    <w:p>
      <w:pPr>
        <w:pStyle w:val="Heading3"/>
      </w:pPr>
      <w:r>
        <w:t xml:space="preserve">1. El Secuestro del Primate</w:t>
      </w:r>
    </w:p>
    <w:p>
      <w:pPr>
        <w:pStyle w:val="FirstParagraph"/>
      </w:pPr>
      <w:r>
        <w:t xml:space="preserve">La evolución de la biología forjó el circuito de dopamina a modo de métrica de empuje de tarea de peso. El cerebro de humano emite ráfaga de disparo de química en estado de previsión de la captura del recurso de supervivencia (el rastreo de la huella de mamut, el hallazgo del charco de agua dulce). El circuito exige el pago de sudor como tasa de peaje de frontera.</w:t>
      </w:r>
    </w:p>
    <w:p>
      <w:pPr>
        <w:pStyle w:val="BodyText"/>
      </w:pPr>
      <w:r>
        <w:t xml:space="preserve">La red social (la plataforma de secuencia de baile de formato corto) ejecuta un ataque de derivación sobre el primate de silla de oficina. El algoritmo de la granja de servidores emite disparo de química a cambio de fricción cero. El simio forja la ilusión de la caza por la vía de la fricción de la piel de su pulgar contra la placa de cuarzo negro. El homínido no rastrea rastro de presa; el homínido rastrea un nodo humano de edad de pubertad en ejecución de pasos de baile de entropía sin modelo. El cerebro de reptil procesa el píxel de luz y derrama el vaso de premio de neuroquímica. La solución del valle del silicio para el aburrimiento (el premio de química en ausencia de caza real) destruye la base de operaciones del receptor de la corteza.</w:t>
      </w:r>
    </w:p>
    <w:bookmarkEnd w:id="155"/>
    <w:bookmarkStart w:id="156" w:name="la-escalada-del-zombi"/>
    <w:p>
      <w:pPr>
        <w:pStyle w:val="Heading3"/>
      </w:pPr>
      <w:r>
        <w:t xml:space="preserve">2. La Escalada del Zombi</w:t>
      </w:r>
    </w:p>
    <w:p>
      <w:pPr>
        <w:pStyle w:val="FirstParagraph"/>
      </w:pPr>
      <w:r>
        <w:t xml:space="preserve">La saturación de límite de receptor fuerza el inicio del bucle de Watzlawick. Ante la inundación térmica del líquido de dopamina, el cerebro de usuario ejecuta poda de conexión de receptores (regulación a la baja de voltaje) con el fin de evadir el colapso del sistema de motor central.</w:t>
      </w:r>
    </w:p>
    <w:p>
      <w:pPr>
        <w:pStyle w:val="BodyText"/>
      </w:pPr>
      <w:r>
        <w:t xml:space="preserve">El descenso del nivel de receptores fuerza al primate a incrementar su exposición a la radiación de luz azul de pantalla para alcanzar su cuota base de arranque. En el estado de descanso (hueco de ausencia de luz de pantalla), el primate de placa de cristal registra déficit de sustrato (cuadro de zombi de sofá de salón, parálisis de extremidad de cuerpo, anhedonia). El intento de escape de prisión (la fuga de aburrimiento a través de la losa de cristal) forja el aumento del problema de base (inmunidad de receptor de célula y muerte en vida del vector de trabajo físico).</w:t>
      </w:r>
    </w:p>
    <w:p>
      <w:r>
        <w:pict>
          <v:rect style="width:0;height:1.5pt" o:hralign="center" o:hrstd="t" o:hr="t"/>
        </w:pict>
      </w:r>
    </w:p>
    <w:bookmarkEnd w:id="156"/>
    <w:bookmarkEnd w:id="157"/>
    <w:bookmarkStart w:id="160" w:name="la-cosecha-de-la-indignación"/>
    <w:p>
      <w:pPr>
        <w:pStyle w:val="Heading2"/>
      </w:pPr>
      <w:r>
        <w:t xml:space="preserve">11. La Cosecha de la Indignación</w:t>
      </w:r>
    </w:p>
    <w:p>
      <w:pPr>
        <w:pStyle w:val="BlockText"/>
      </w:pPr>
      <w:r>
        <w:rPr>
          <w:i/>
          <w:iCs/>
        </w:rPr>
        <w:t xml:space="preserve">El secuestro de la atención requiere la fricción de la disputa moral; la resolución de la misma detiene el contador de ingresos.</w:t>
      </w:r>
    </w:p>
    <w:p>
      <w:pPr>
        <w:pStyle w:val="SourceCode"/>
      </w:pPr>
      <w:r>
        <w:rPr>
          <w:rStyle w:val="VerbatimChar"/>
        </w:rPr>
        <w:t xml:space="preserve">Axioma de Anclaje: Axioma III — La solución intentada es el problema.</w:t>
      </w:r>
      <w:r>
        <w:br/>
      </w:r>
      <w:r>
        <w:rPr>
          <w:rStyle w:val="VerbatimChar"/>
        </w:rPr>
        <w:t xml:space="preserve">La plataforma algorítmica de opinión no resuelve la fricción social; opera como un motor que requiere la combustión del tejido social para extraer la renta.</w:t>
      </w:r>
    </w:p>
    <w:p>
      <w:r>
        <w:pict>
          <v:rect style="width:0;height:1.5pt" o:hralign="center" o:hrstd="t" o:hr="t"/>
        </w:pict>
      </w:r>
    </w:p>
    <w:bookmarkStart w:id="158" w:name="el-funtor-de-opinión-reaccionaria"/>
    <w:p>
      <w:pPr>
        <w:pStyle w:val="Heading3"/>
      </w:pPr>
      <w:r>
        <w:t xml:space="preserve">1. El Funtor de Opinión Reaccionaria</w:t>
      </w:r>
    </w:p>
    <w:p>
      <w:pPr>
        <w:pStyle w:val="FirstParagraph"/>
      </w:pPr>
      <w:r>
        <w:t xml:space="preserve">El ecosistema de plataforma de vídeo y red social exhibe un nodo de frecuencia constante de aparición: el avatar de comentario. Este avatar oculta el rostro biológico bajo un tejido de polímero elástico (</w:t>
      </w:r>
      <w:r>
        <w:rPr>
          <w:i/>
          <w:iCs/>
        </w:rPr>
        <w:t xml:space="preserve">spandex</w:t>
      </w:r>
      <w:r>
        <w:t xml:space="preserve">) de color de nieve y el bloqueo visual de pupilas con lentes de plástico oscuro. La rúbrica de identidad de este nodo resalta tres parámetros de demografía base: el sexo de varón, la deficiencia de melanina en el estrato de piel y el vector de tracción de género opuesto. Este bloque inerte opera como un sumidero de entropía discursiva.</w:t>
      </w:r>
    </w:p>
    <w:p>
      <w:pPr>
        <w:pStyle w:val="BodyText"/>
      </w:pPr>
      <w:r>
        <w:t xml:space="preserve">El modelo de negocio carece de producción primaria de información. El nodo no genera reportes de campo, no extrae datos de nivel forense, ni propone axiomas de resolución. El avatar actúa como un</w:t>
      </w:r>
      <w:r>
        <w:t xml:space="preserve"> </w:t>
      </w:r>
      <w:r>
        <w:rPr>
          <w:i/>
          <w:iCs/>
        </w:rPr>
        <w:t xml:space="preserve">wrapper</w:t>
      </w:r>
      <w:r>
        <w:t xml:space="preserve"> </w:t>
      </w:r>
      <w:r>
        <w:t xml:space="preserve">(envoltura). Toma el corte de vídeo del prójimo, el fragmento de texto de una causa judicial de nicho o el error del activista de red social, y lo empaqueta con inyección de saturación emocional.</w:t>
      </w:r>
    </w:p>
    <w:p>
      <w:pPr>
        <w:pStyle w:val="BodyText"/>
      </w:pPr>
      <w:r>
        <w:t xml:space="preserve">La exergía discursiva del nodo registra el valor E_E ≈ 0. No aporta predicción, sino fricción termodinámica en el canal. La creación de la queja exige un coste de producción de minutos. Desmontar la narrativa de sesgo mediante la prueba y el dato forense (Ley de Brandolini) demanda semanas de auditoría. Esta asimetría de coste es el pilar de la factura del negocio.</w:t>
      </w:r>
    </w:p>
    <w:bookmarkEnd w:id="158"/>
    <w:bookmarkStart w:id="159" w:name="el-cocodrilo-del-nilo-burocrático"/>
    <w:p>
      <w:pPr>
        <w:pStyle w:val="Heading3"/>
      </w:pPr>
      <w:r>
        <w:t xml:space="preserve">2. El Cocodrilo del Nilo Burocrático</w:t>
      </w:r>
    </w:p>
    <w:p>
      <w:pPr>
        <w:pStyle w:val="FirstParagraph"/>
      </w:pPr>
      <w:r>
        <w:t xml:space="preserve">El canal de opinión de envoltura opera bajo la termodinámica del cocodrilo del Nilo (</w:t>
      </w:r>
      <w:r>
        <w:rPr>
          <w:i/>
          <w:iCs/>
        </w:rPr>
        <w:t xml:space="preserve">Crocodylus niloticus</w:t>
      </w:r>
      <w:r>
        <w:t xml:space="preserve">), cuyo desarrollo completo consta en el Capítulo IV, §9. Aplicación al avatar: el nodo se posa en el cauce de la corriente del algoritmo de recomendación, inerte bajo el fango del anonimato o del personaje de marca, y abre la mandíbula cuando la vibración del banco de indignación de la masa roza la superficie del agua.</w:t>
      </w:r>
    </w:p>
    <w:p>
      <w:pPr>
        <w:pStyle w:val="BodyText"/>
      </w:pPr>
      <w:r>
        <w:t xml:space="preserve">El creador precisa que la sociedad emita fallos continuos, histeria de tribu y choque de bloques morales. El avatar se alimenta del bucle de Watzlawick: la queja sobre el problema asegura la persistencia del problema. El canal monetiza el</w:t>
      </w:r>
      <w:r>
        <w:t xml:space="preserve"> </w:t>
      </w:r>
      <w:r>
        <w:rPr>
          <w:i/>
          <w:iCs/>
        </w:rPr>
        <w:t xml:space="preserve">feedback</w:t>
      </w:r>
      <w:r>
        <w:t xml:space="preserve"> </w:t>
      </w:r>
      <w:r>
        <w:t xml:space="preserve">positivo de la turba (la cascada de clics de aprobación del bando alineado).</w:t>
      </w:r>
    </w:p>
    <w:p>
      <w:pPr>
        <w:pStyle w:val="BodyText"/>
      </w:pPr>
      <w:r>
        <w:t xml:space="preserve">El funtor de indignación incurre en infalsabilidad de diseño. Todo acto del bando contrario resulta en confirmación de la degeneración moral; toda defensa propia resulta en censura. La trampa hermenéutica de captura blinda la caja registradora de la plataforma. La opinión sobre la opinión es el combustible sin fondo del circuito.</w:t>
      </w:r>
    </w:p>
    <w:p>
      <w:r>
        <w:pict>
          <v:rect style="width:0;height:1.5pt" o:hralign="center" o:hrstd="t" o:hr="t"/>
        </w:pict>
      </w:r>
    </w:p>
    <w:bookmarkEnd w:id="159"/>
    <w:bookmarkEnd w:id="160"/>
    <w:bookmarkStart w:id="164" w:name="Xcbed5f93c68b6f58e7b5ee368815f9eea10eafa"/>
    <w:p>
      <w:pPr>
        <w:pStyle w:val="Heading2"/>
      </w:pPr>
      <w:r>
        <w:t xml:space="preserve">12. El Bucle de la Burocracia y la Gobernanza</w:t>
      </w:r>
    </w:p>
    <w:p>
      <w:pPr>
        <w:pStyle w:val="BlockText"/>
      </w:pPr>
      <w:r>
        <w:rPr>
          <w:i/>
          <w:iCs/>
        </w:rPr>
        <w:t xml:space="preserve">La intervención de Estado no repara la asimetría térmica del territorio; transfiere la carga de entropía al nodo de creación.</w:t>
      </w:r>
    </w:p>
    <w:p>
      <w:pPr>
        <w:pStyle w:val="SourceCode"/>
      </w:pPr>
      <w:r>
        <w:rPr>
          <w:rStyle w:val="VerbatimChar"/>
        </w:rPr>
        <w:t xml:space="preserve">Axioma de Anclaje: Axioma III — La solución intentada es el problema.</w:t>
      </w:r>
      <w:r>
        <w:br/>
      </w:r>
      <w:r>
        <w:rPr>
          <w:rStyle w:val="VerbatimChar"/>
        </w:rPr>
        <w:t xml:space="preserve">El Estado de burocracia opera como motor de retroalimentación de fallo: la incapacidad del regulador justifica la ampliación del presupuesto del regulador.</w:t>
      </w:r>
    </w:p>
    <w:p>
      <w:r>
        <w:pict>
          <v:rect style="width:0;height:1.5pt" o:hralign="center" o:hrstd="t" o:hr="t"/>
        </w:pict>
      </w:r>
    </w:p>
    <w:bookmarkStart w:id="161" w:name="el-déficit-de-variedad-de-ashby"/>
    <w:p>
      <w:pPr>
        <w:pStyle w:val="Heading3"/>
      </w:pPr>
      <w:r>
        <w:t xml:space="preserve">1. El Déficit de Variedad de Ashby</w:t>
      </w:r>
    </w:p>
    <w:p>
      <w:pPr>
        <w:pStyle w:val="FirstParagraph"/>
      </w:pPr>
      <w:r>
        <w:t xml:space="preserve">La Ley de Ashby (Variedad Requerida) decreta que el regulador del sistema debe poseer un grado de variedad de estados idéntico o superior al sistema en fase de regulación. La burocracia de Estado central (Hacienda, el Ministerio) carece de capacidad matemática de procesamiento para trazar el mapa del territorio de innovación (la red distribuida de empresas y código cripto).</w:t>
      </w:r>
    </w:p>
    <w:p>
      <w:pPr>
        <w:pStyle w:val="BodyText"/>
      </w:pPr>
      <w:r>
        <w:t xml:space="preserve">El regulador de Estado (el comité de funcionarios) percibe el exceso de variedad de mercado como ruido de hostilidad. El regulador carece de homomorfismo funcional y de variedad requerida (Conant-Ashby). La solución intentada es la reducción por la fuerza de la variedad del territorio: la emisión de boletines de decreto y la exigencia de formularios de cumplimiento de cuota. El Estado aplasta la señal para acoplarla al formato de lectura de su máquina de suma.</w:t>
      </w:r>
    </w:p>
    <w:bookmarkEnd w:id="161"/>
    <w:bookmarkStart w:id="162" w:name="la-asfixia-de-energía-libre-friston"/>
    <w:p>
      <w:pPr>
        <w:pStyle w:val="Heading3"/>
      </w:pPr>
      <w:r>
        <w:t xml:space="preserve">2. La Asfixia de Energía Libre (Friston)</w:t>
      </w:r>
    </w:p>
    <w:p>
      <w:pPr>
        <w:pStyle w:val="FirstParagraph"/>
      </w:pPr>
      <w:r>
        <w:t xml:space="preserve">La métrica de Karl Friston (Principio de Energía Libre) impone que un sistema biológico sobrevive si logra reducir la sorpresa (la incertidumbre del entorno). La burocracia impone un régimen de sorpresa crónica de diseño incomputable. El inspector de Estado altera la interpretación de la norma en ciclo anual con carácter de retroactividad (cambio de doctrina).</w:t>
      </w:r>
    </w:p>
    <w:p>
      <w:pPr>
        <w:pStyle w:val="BodyText"/>
      </w:pPr>
      <w:r>
        <w:t xml:space="preserve">El nodo humano (el contribuyente de trabajo de autonomía o la unidad de pyme) agota el límite de su sustrato de cálculo en la predicción del comportamiento errático del ente superior. La imposibilidad de matemáticas de minimizar la energía libre genera fricción de estructura (carga alostática). El</w:t>
      </w:r>
      <w:r>
        <w:t xml:space="preserve"> </w:t>
      </w:r>
      <w:r>
        <w:rPr>
          <w:i/>
          <w:iCs/>
        </w:rPr>
        <w:t xml:space="preserve">burnout</w:t>
      </w:r>
      <w:r>
        <w:t xml:space="preserve"> </w:t>
      </w:r>
      <w:r>
        <w:t xml:space="preserve">(colapso de salud) no es un problema de gestión de agenda de tiempo de individuo; es la factura de termodinámica directa de interactuar con un entorno de entropía de toxicidad que castiga la optimización. Cualquier afirmación de protección del ciudadano que no demuestre reducción de matemáticas de la incertidumbre fiscal es anergía de discurso y daño físico contra el nodo.</w:t>
      </w:r>
    </w:p>
    <w:bookmarkEnd w:id="162"/>
    <w:bookmarkStart w:id="163" w:name="X3c706e7ae85c327f98641e727022a61329cda17"/>
    <w:p>
      <w:pPr>
        <w:pStyle w:val="Heading3"/>
      </w:pPr>
      <w:r>
        <w:t xml:space="preserve">3. El Salto Topológico (Cambio de Segundo Orden)</w:t>
      </w:r>
    </w:p>
    <w:p>
      <w:pPr>
        <w:pStyle w:val="FirstParagraph"/>
      </w:pPr>
      <w:r>
        <w:t xml:space="preserve">La trampa de muerte reside en la ejecución de la</w:t>
      </w:r>
      <w:r>
        <w:t xml:space="preserve"> </w:t>
      </w:r>
      <w:r>
        <w:t xml:space="preserve">“Solución de Primer Orden”</w:t>
      </w:r>
      <w:r>
        <w:t xml:space="preserve"> </w:t>
      </w:r>
      <w:r>
        <w:t xml:space="preserve">de Watzlawick. El agente humano, frente a la amenaza de multa, optimiza el cumplimiento de norma. Contrata equipo de asesores de fiscalidad, ejecuta registro de doble libro y dedica cien horas al mes a satisfacer el apetito del algoritmo de Hacienda. La optimización del castigo de burocracia retroalimenta el cuello de botella: el Estado de extracción valida su protocolo y ejecuta un aumento de la cuota. La solución intentada suministra el oxígeno de exergía a la plaga.</w:t>
      </w:r>
    </w:p>
    <w:p>
      <w:pPr>
        <w:pStyle w:val="BodyText"/>
      </w:pPr>
      <w:r>
        <w:t xml:space="preserve">La supervivencia de termodinámica exige el</w:t>
      </w:r>
      <w:r>
        <w:t xml:space="preserve"> </w:t>
      </w:r>
      <w:r>
        <w:t xml:space="preserve">“Cambio de Segundo Orden”</w:t>
      </w:r>
      <w:r>
        <w:t xml:space="preserve"> </w:t>
      </w:r>
      <w:r>
        <w:t xml:space="preserve">(Cambio 2). El operador de nivel de exergía de pico deniega la entrada al modo de vibración del oponente. El salto de atractor consiste en el abandono físico y jurídico del vector de control mediante bifurcación de jurisdicción de matriz (arquitectura de elusión de soberanía, adopción de red descentralizada Zero-Trust, uso de marco de frontera CRS/FATCA). La respuesta no es jugar mejor en el mapa de papel del Estado; la respuesta es la quema del puente de acceso de lectura del Estado sobre el territorio de la caja de banco.</w:t>
      </w:r>
    </w:p>
    <w:p>
      <w:r>
        <w:pict>
          <v:rect style="width:0;height:1.5pt" o:hralign="center" o:hrstd="t" o:hr="t"/>
        </w:pict>
      </w:r>
    </w:p>
    <w:bookmarkEnd w:id="163"/>
    <w:bookmarkEnd w:id="164"/>
    <w:bookmarkStart w:id="166" w:name="X9d2ec46638c05bb21ae86d3788126a8ada0bfe8"/>
    <w:p>
      <w:pPr>
        <w:pStyle w:val="Heading2"/>
      </w:pPr>
      <w:r>
        <w:t xml:space="preserve">13. Anexo Sonoro: Audio-Anclajes del Capítulo III</w:t>
      </w:r>
    </w:p>
    <w:bookmarkStart w:id="165" w:name="audio-anclajes-generales"/>
    <w:p>
      <w:pPr>
        <w:pStyle w:val="Heading3"/>
      </w:pPr>
      <w:r>
        <w:t xml:space="preserve">Audio-Anclajes Generales</w:t>
      </w:r>
    </w:p>
    <w:p>
      <w:pPr>
        <w:numPr>
          <w:ilvl w:val="0"/>
          <w:numId w:val="1065"/>
        </w:numPr>
      </w:pPr>
      <w:r>
        <w:t xml:space="preserve">Kase.O con Evaristo y Harto Rodríguez —</w:t>
      </w:r>
      <w:r>
        <w:t xml:space="preserve"> </w:t>
      </w:r>
      <w:r>
        <w:t xml:space="preserve">“Borregos”</w:t>
      </w:r>
      <w:r>
        <w:t xml:space="preserve"> </w:t>
      </w:r>
      <w:r>
        <w:t xml:space="preserve">(</w:t>
      </w:r>
      <w:r>
        <w:rPr>
          <w:i/>
          <w:iCs/>
        </w:rPr>
        <w:t xml:space="preserve">Camisa de Fuerza</w:t>
      </w:r>
      <w:r>
        <w:t xml:space="preserve">, 2026) / Ilegales (Jorge Ilegal) —</w:t>
      </w:r>
      <w:r>
        <w:t xml:space="preserve"> </w:t>
      </w:r>
      <w:r>
        <w:t xml:space="preserve">“Tiempos Nuevos, Tiempos Salvajes”</w:t>
      </w:r>
      <w:r>
        <w:t xml:space="preserve"> </w:t>
      </w:r>
      <w:r>
        <w:t xml:space="preserve">(1982) / Nacho Vegas —</w:t>
      </w:r>
      <w:r>
        <w:t xml:space="preserve"> </w:t>
      </w:r>
      <w:r>
        <w:t xml:space="preserve">“La Sed”</w:t>
      </w:r>
      <w:r>
        <w:t xml:space="preserve"> </w:t>
      </w:r>
      <w:r>
        <w:t xml:space="preserve">(2003)</w:t>
      </w:r>
    </w:p>
    <w:p>
      <w:pPr>
        <w:numPr>
          <w:ilvl w:val="0"/>
          <w:numId w:val="1065"/>
        </w:numPr>
      </w:pPr>
      <w:r>
        <w:rPr>
          <w:b/>
          <w:bCs/>
        </w:rPr>
        <w:t xml:space="preserve">Nirvana</w:t>
      </w:r>
      <w:r>
        <w:t xml:space="preserve"> </w:t>
      </w:r>
      <w:r>
        <w:t xml:space="preserve">—</w:t>
      </w:r>
      <w:r>
        <w:t xml:space="preserve"> </w:t>
      </w:r>
      <w:r>
        <w:rPr>
          <w:i/>
          <w:iCs/>
        </w:rPr>
        <w:t xml:space="preserve">“Lithium”</w:t>
      </w:r>
      <w:r>
        <w:t xml:space="preserve"> </w:t>
      </w:r>
      <w:r>
        <w:t xml:space="preserve">(</w:t>
      </w:r>
      <w:r>
        <w:rPr>
          <w:i/>
          <w:iCs/>
        </w:rPr>
        <w:t xml:space="preserve">Nevermind</w:t>
      </w:r>
      <w:r>
        <w:t xml:space="preserve">, 1991). El estado de euforia de síntesis química en la fase anterior al colapso de estructura.</w:t>
      </w:r>
    </w:p>
    <w:p>
      <w:pPr>
        <w:numPr>
          <w:ilvl w:val="0"/>
          <w:numId w:val="1065"/>
        </w:numPr>
      </w:pPr>
      <w:r>
        <w:rPr>
          <w:b/>
          <w:bCs/>
        </w:rPr>
        <w:t xml:space="preserve">Nine Inch Nails</w:t>
      </w:r>
      <w:r>
        <w:t xml:space="preserve"> </w:t>
      </w:r>
      <w:r>
        <w:t xml:space="preserve">—</w:t>
      </w:r>
      <w:r>
        <w:t xml:space="preserve"> </w:t>
      </w:r>
      <w:r>
        <w:rPr>
          <w:i/>
          <w:iCs/>
        </w:rPr>
        <w:t xml:space="preserve">“Every Day Is Exactly The Same”</w:t>
      </w:r>
      <w:r>
        <w:t xml:space="preserve"> </w:t>
      </w:r>
      <w:r>
        <w:t xml:space="preserve">(</w:t>
      </w:r>
      <w:r>
        <w:rPr>
          <w:i/>
          <w:iCs/>
        </w:rPr>
        <w:t xml:space="preserve">With Teeth</w:t>
      </w:r>
      <w:r>
        <w:t xml:space="preserve">, 2005). La parálisis del bucle.</w:t>
      </w:r>
    </w:p>
    <w:p>
      <w:pPr>
        <w:numPr>
          <w:ilvl w:val="0"/>
          <w:numId w:val="1065"/>
        </w:numPr>
      </w:pPr>
      <w:r>
        <w:rPr>
          <w:b/>
          <w:bCs/>
        </w:rPr>
        <w:t xml:space="preserve">The Prodigy</w:t>
      </w:r>
      <w:r>
        <w:t xml:space="preserve"> </w:t>
      </w:r>
      <w:r>
        <w:t xml:space="preserve">—</w:t>
      </w:r>
      <w:r>
        <w:t xml:space="preserve"> </w:t>
      </w:r>
      <w:r>
        <w:rPr>
          <w:i/>
          <w:iCs/>
        </w:rPr>
        <w:t xml:space="preserve">“Smack My Bitch Up”</w:t>
      </w:r>
      <w:r>
        <w:t xml:space="preserve"> </w:t>
      </w:r>
      <w:r>
        <w:t xml:space="preserve">(</w:t>
      </w:r>
      <w:r>
        <w:rPr>
          <w:i/>
          <w:iCs/>
        </w:rPr>
        <w:t xml:space="preserve">The Fat of the Land</w:t>
      </w:r>
      <w:r>
        <w:t xml:space="preserve">, 1997). La saturación de estímulos en el umbral de disparo.</w:t>
      </w:r>
    </w:p>
    <w:p>
      <w:pPr>
        <w:numPr>
          <w:ilvl w:val="0"/>
          <w:numId w:val="1065"/>
        </w:numPr>
      </w:pPr>
      <w:r>
        <w:rPr>
          <w:b/>
          <w:bCs/>
        </w:rPr>
        <w:t xml:space="preserve">Kraftwerk</w:t>
      </w:r>
      <w:r>
        <w:t xml:space="preserve"> </w:t>
      </w:r>
      <w:r>
        <w:t xml:space="preserve">—</w:t>
      </w:r>
      <w:r>
        <w:t xml:space="preserve"> </w:t>
      </w:r>
      <w:r>
        <w:rPr>
          <w:i/>
          <w:iCs/>
        </w:rPr>
        <w:t xml:space="preserve">“The Robots”</w:t>
      </w:r>
      <w:r>
        <w:t xml:space="preserve"> </w:t>
      </w:r>
      <w:r>
        <w:t xml:space="preserve">(</w:t>
      </w:r>
      <w:r>
        <w:rPr>
          <w:i/>
          <w:iCs/>
        </w:rPr>
        <w:t xml:space="preserve">The Man-Machine</w:t>
      </w:r>
      <w:r>
        <w:t xml:space="preserve">, 1978). La reducción del humano a la frecuencia de reloj de la fábrica.</w:t>
      </w:r>
    </w:p>
    <w:p>
      <w:pPr>
        <w:numPr>
          <w:ilvl w:val="0"/>
          <w:numId w:val="1065"/>
        </w:numPr>
      </w:pPr>
      <w:r>
        <w:rPr>
          <w:b/>
          <w:bCs/>
        </w:rPr>
        <w:t xml:space="preserve">Massive Attack</w:t>
      </w:r>
      <w:r>
        <w:t xml:space="preserve"> </w:t>
      </w:r>
      <w:r>
        <w:t xml:space="preserve">—</w:t>
      </w:r>
      <w:r>
        <w:t xml:space="preserve"> </w:t>
      </w:r>
      <w:r>
        <w:rPr>
          <w:i/>
          <w:iCs/>
        </w:rPr>
        <w:t xml:space="preserve">“Angel”</w:t>
      </w:r>
      <w:r>
        <w:t xml:space="preserve"> </w:t>
      </w:r>
      <w:r>
        <w:t xml:space="preserve">(</w:t>
      </w:r>
      <w:r>
        <w:rPr>
          <w:i/>
          <w:iCs/>
        </w:rPr>
        <w:t xml:space="preserve">Mezzanine</w:t>
      </w:r>
      <w:r>
        <w:t xml:space="preserve">, 1998). La compresión de tiempo extendido del ritmo basal en la caja torácica.</w:t>
      </w:r>
    </w:p>
    <w:p>
      <w:pPr>
        <w:numPr>
          <w:ilvl w:val="0"/>
          <w:numId w:val="1065"/>
        </w:numPr>
      </w:pPr>
      <w:r>
        <w:rPr>
          <w:b/>
          <w:bCs/>
        </w:rPr>
        <w:t xml:space="preserve">Radiohead</w:t>
      </w:r>
      <w:r>
        <w:t xml:space="preserve"> </w:t>
      </w:r>
      <w:r>
        <w:t xml:space="preserve">—</w:t>
      </w:r>
      <w:r>
        <w:t xml:space="preserve"> </w:t>
      </w:r>
      <w:r>
        <w:rPr>
          <w:i/>
          <w:iCs/>
        </w:rPr>
        <w:t xml:space="preserve">“Idioteque”</w:t>
      </w:r>
      <w:r>
        <w:t xml:space="preserve"> </w:t>
      </w:r>
      <w:r>
        <w:t xml:space="preserve">(</w:t>
      </w:r>
      <w:r>
        <w:rPr>
          <w:i/>
          <w:iCs/>
        </w:rPr>
        <w:t xml:space="preserve">Kid A</w:t>
      </w:r>
      <w:r>
        <w:t xml:space="preserve">, 2000). El error de sistema en la fase de pánico total.</w:t>
      </w:r>
    </w:p>
    <w:p>
      <w:pPr>
        <w:numPr>
          <w:ilvl w:val="0"/>
          <w:numId w:val="1065"/>
        </w:numPr>
      </w:pPr>
      <w:r>
        <w:rPr>
          <w:b/>
          <w:bCs/>
        </w:rPr>
        <w:t xml:space="preserve">Pink Floyd</w:t>
      </w:r>
      <w:r>
        <w:t xml:space="preserve"> </w:t>
      </w:r>
      <w:r>
        <w:t xml:space="preserve">—</w:t>
      </w:r>
      <w:r>
        <w:t xml:space="preserve"> </w:t>
      </w:r>
      <w:r>
        <w:rPr>
          <w:i/>
          <w:iCs/>
        </w:rPr>
        <w:t xml:space="preserve">“Shine On You Crazy Diamond”</w:t>
      </w:r>
      <w:r>
        <w:t xml:space="preserve"> </w:t>
      </w:r>
      <w:r>
        <w:t xml:space="preserve">(</w:t>
      </w:r>
      <w:r>
        <w:rPr>
          <w:i/>
          <w:iCs/>
        </w:rPr>
        <w:t xml:space="preserve">Wish You Were Here</w:t>
      </w:r>
      <w:r>
        <w:t xml:space="preserve">, 1975). El documento sonoro de la disolución del filtro de relevancia de Syd Barrett.</w:t>
      </w:r>
    </w:p>
    <w:p>
      <w:pPr>
        <w:numPr>
          <w:ilvl w:val="0"/>
          <w:numId w:val="1065"/>
        </w:numPr>
      </w:pPr>
      <w:r>
        <w:rPr>
          <w:b/>
          <w:bCs/>
        </w:rPr>
        <w:t xml:space="preserve">Joy Division</w:t>
      </w:r>
      <w:r>
        <w:t xml:space="preserve"> </w:t>
      </w:r>
      <w:r>
        <w:t xml:space="preserve">—</w:t>
      </w:r>
      <w:r>
        <w:t xml:space="preserve"> </w:t>
      </w:r>
      <w:r>
        <w:rPr>
          <w:i/>
          <w:iCs/>
        </w:rPr>
        <w:t xml:space="preserve">“She’s Lost Control”</w:t>
      </w:r>
      <w:r>
        <w:t xml:space="preserve"> </w:t>
      </w:r>
      <w:r>
        <w:t xml:space="preserve">(</w:t>
      </w:r>
      <w:r>
        <w:rPr>
          <w:i/>
          <w:iCs/>
        </w:rPr>
        <w:t xml:space="preserve">Unknown Pleasures</w:t>
      </w:r>
      <w:r>
        <w:t xml:space="preserve">, 1979). El registro del fallo en el centro de mando del nodo.</w:t>
      </w:r>
    </w:p>
    <w:p>
      <w:pPr>
        <w:numPr>
          <w:ilvl w:val="0"/>
          <w:numId w:val="1065"/>
        </w:numPr>
      </w:pPr>
      <w:r>
        <w:rPr>
          <w:b/>
          <w:bCs/>
        </w:rPr>
        <w:t xml:space="preserve">Fiona Apple</w:t>
      </w:r>
      <w:r>
        <w:t xml:space="preserve"> </w:t>
      </w:r>
      <w:r>
        <w:t xml:space="preserve">—</w:t>
      </w:r>
      <w:r>
        <w:t xml:space="preserve"> </w:t>
      </w:r>
      <w:r>
        <w:rPr>
          <w:i/>
          <w:iCs/>
        </w:rPr>
        <w:t xml:space="preserve">“Every Single Night”</w:t>
      </w:r>
      <w:r>
        <w:t xml:space="preserve"> </w:t>
      </w:r>
      <w:r>
        <w:t xml:space="preserve">(</w:t>
      </w:r>
      <w:r>
        <w:rPr>
          <w:i/>
          <w:iCs/>
        </w:rPr>
        <w:t xml:space="preserve">The Idler Wheel…</w:t>
      </w:r>
      <w:r>
        <w:t xml:space="preserve">, 2012). El documento del trabajo de la amígdala en fase de desborde de noche.</w:t>
      </w:r>
    </w:p>
    <w:p>
      <w:pPr>
        <w:numPr>
          <w:ilvl w:val="0"/>
          <w:numId w:val="1065"/>
        </w:numPr>
      </w:pPr>
      <w:r>
        <w:rPr>
          <w:b/>
          <w:bCs/>
        </w:rPr>
        <w:t xml:space="preserve">The Smashing Pumpkins</w:t>
      </w:r>
      <w:r>
        <w:t xml:space="preserve"> </w:t>
      </w:r>
      <w:r>
        <w:t xml:space="preserve">—</w:t>
      </w:r>
      <w:r>
        <w:t xml:space="preserve"> </w:t>
      </w:r>
      <w:r>
        <w:rPr>
          <w:i/>
          <w:iCs/>
        </w:rPr>
        <w:t xml:space="preserve">“Zero”</w:t>
      </w:r>
      <w:r>
        <w:t xml:space="preserve"> </w:t>
      </w:r>
      <w:r>
        <w:t xml:space="preserve">(</w:t>
      </w:r>
      <w:r>
        <w:rPr>
          <w:i/>
          <w:iCs/>
        </w:rPr>
        <w:t xml:space="preserve">Mellon Collie and the Infinite Sadness</w:t>
      </w:r>
      <w:r>
        <w:t xml:space="preserve">, 1995). La fluctuación de voltaje entre el vacío de afecto y el choque de agresión de defensa.</w:t>
      </w:r>
    </w:p>
    <w:p>
      <w:pPr>
        <w:numPr>
          <w:ilvl w:val="0"/>
          <w:numId w:val="1065"/>
        </w:numPr>
      </w:pPr>
      <w:r>
        <w:rPr>
          <w:b/>
          <w:bCs/>
        </w:rPr>
        <w:t xml:space="preserve">The Chemical Brothers</w:t>
      </w:r>
      <w:r>
        <w:t xml:space="preserve"> </w:t>
      </w:r>
      <w:r>
        <w:t xml:space="preserve">—</w:t>
      </w:r>
      <w:r>
        <w:t xml:space="preserve"> </w:t>
      </w:r>
      <w:r>
        <w:rPr>
          <w:i/>
          <w:iCs/>
        </w:rPr>
        <w:t xml:space="preserve">“Block Rockin’ Beats”</w:t>
      </w:r>
      <w:r>
        <w:t xml:space="preserve"> </w:t>
      </w:r>
      <w:r>
        <w:t xml:space="preserve">(</w:t>
      </w:r>
      <w:r>
        <w:rPr>
          <w:i/>
          <w:iCs/>
        </w:rPr>
        <w:t xml:space="preserve">Dig Your Own Hole</w:t>
      </w:r>
      <w:r>
        <w:t xml:space="preserve">, 1997). El golpe de martillo de percusión sobre la placa del neurotransmisor de base.</w:t>
      </w:r>
    </w:p>
    <w:p>
      <w:pPr>
        <w:numPr>
          <w:ilvl w:val="0"/>
          <w:numId w:val="1065"/>
        </w:numPr>
      </w:pPr>
      <w:r>
        <w:rPr>
          <w:b/>
          <w:bCs/>
        </w:rPr>
        <w:t xml:space="preserve">Nine Inch Nails</w:t>
      </w:r>
      <w:r>
        <w:t xml:space="preserve"> </w:t>
      </w:r>
      <w:r>
        <w:t xml:space="preserve">—</w:t>
      </w:r>
      <w:r>
        <w:t xml:space="preserve"> </w:t>
      </w:r>
      <w:r>
        <w:rPr>
          <w:i/>
          <w:iCs/>
        </w:rPr>
        <w:t xml:space="preserve">“Hurt”</w:t>
      </w:r>
      <w:r>
        <w:t xml:space="preserve"> </w:t>
      </w:r>
      <w:r>
        <w:t xml:space="preserve">(</w:t>
      </w:r>
      <w:r>
        <w:rPr>
          <w:i/>
          <w:iCs/>
        </w:rPr>
        <w:t xml:space="preserve">The Downward Spiral</w:t>
      </w:r>
      <w:r>
        <w:t xml:space="preserve">, 1994). El reporte forense del primate en la fase de valle de química.</w:t>
      </w:r>
    </w:p>
    <w:p>
      <w:pPr>
        <w:numPr>
          <w:ilvl w:val="0"/>
          <w:numId w:val="1065"/>
        </w:numPr>
      </w:pPr>
      <w:r>
        <w:rPr>
          <w:b/>
          <w:bCs/>
        </w:rPr>
        <w:t xml:space="preserve">Fear Factory</w:t>
      </w:r>
      <w:r>
        <w:t xml:space="preserve"> </w:t>
      </w:r>
      <w:r>
        <w:t xml:space="preserve">—</w:t>
      </w:r>
      <w:r>
        <w:t xml:space="preserve"> </w:t>
      </w:r>
      <w:r>
        <w:rPr>
          <w:i/>
          <w:iCs/>
        </w:rPr>
        <w:t xml:space="preserve">“Replica”</w:t>
      </w:r>
      <w:r>
        <w:t xml:space="preserve"> </w:t>
      </w:r>
      <w:r>
        <w:t xml:space="preserve">(</w:t>
      </w:r>
      <w:r>
        <w:rPr>
          <w:i/>
          <w:iCs/>
        </w:rPr>
        <w:t xml:space="preserve">Demanufacture</w:t>
      </w:r>
      <w:r>
        <w:t xml:space="preserve">, 1995). El martilleo industrial de la máquina de reciclaje de discurso; la cadencia del motor que machaca el mismo hueso moral una y otra vez.</w:t>
      </w:r>
    </w:p>
    <w:p>
      <w:pPr>
        <w:numPr>
          <w:ilvl w:val="0"/>
          <w:numId w:val="1065"/>
        </w:numPr>
      </w:pPr>
      <w:r>
        <w:rPr>
          <w:b/>
          <w:bCs/>
        </w:rPr>
        <w:t xml:space="preserve">Ministry</w:t>
      </w:r>
      <w:r>
        <w:t xml:space="preserve"> </w:t>
      </w:r>
      <w:r>
        <w:t xml:space="preserve">—</w:t>
      </w:r>
      <w:r>
        <w:t xml:space="preserve"> </w:t>
      </w:r>
      <w:r>
        <w:rPr>
          <w:i/>
          <w:iCs/>
        </w:rPr>
        <w:t xml:space="preserve">“N.W.O.”</w:t>
      </w:r>
      <w:r>
        <w:t xml:space="preserve"> </w:t>
      </w:r>
      <w:r>
        <w:t xml:space="preserve">(</w:t>
      </w:r>
      <w:r>
        <w:rPr>
          <w:i/>
          <w:iCs/>
        </w:rPr>
        <w:t xml:space="preserve">Psalm 69</w:t>
      </w:r>
      <w:r>
        <w:t xml:space="preserve">, 1992). La saturación de la cámara de eco de la paranoia; el ruido de fondo de la turba transformada en señal de compra-venta de atención.</w:t>
      </w:r>
    </w:p>
    <w:p>
      <w:r>
        <w:pict>
          <v:rect style="width:0;height:1.5pt" o:hralign="center" o:hrstd="t" o:hr="t"/>
        </w:pict>
      </w:r>
    </w:p>
    <w:bookmarkEnd w:id="165"/>
    <w:bookmarkEnd w:id="166"/>
    <w:bookmarkEnd w:id="167"/>
    <w:bookmarkStart w:id="196" w:name="Xd7c5018a2797b08646f294bbd7d362a564430c2"/>
    <w:p>
      <w:pPr>
        <w:pStyle w:val="Heading1"/>
      </w:pPr>
      <w:r>
        <w:t xml:space="preserve">CAPÍTULO IV: EL CAMBIO SURGE CUANDO EL DOLOR SUPERA LA BARRERA</w:t>
      </w:r>
    </w:p>
    <w:bookmarkStart w:id="168" w:name="Xa8e0bdffb73c8558991a4e28d80d53693e7fc3d"/>
    <w:p>
      <w:pPr>
        <w:pStyle w:val="Heading2"/>
      </w:pPr>
      <w:r>
        <w:t xml:space="preserve">Axioma IV — Cinética de Kramers y Transiciones de Fase en Sistemas Subóptimos</w:t>
      </w:r>
    </w:p>
    <w:p>
      <w:pPr>
        <w:pStyle w:val="SourceCode"/>
      </w:pPr>
      <w:r>
        <w:rPr>
          <w:rStyle w:val="VerbatimChar"/>
        </w:rPr>
        <w:t xml:space="preserve">Audio-Anclaje: Robe Iniesta (Extremoduro) — "La Ley Innata" (2008) / Arcade Fire — "Wake Up" (2004) / David Bowie — "Sound and Vision" (1977)</w:t>
      </w:r>
      <w:r>
        <w:br/>
      </w:r>
      <w:r>
        <w:rPr>
          <w:rStyle w:val="VerbatimChar"/>
        </w:rPr>
        <w:t xml:space="preserve">Cota Fisiológica: k_{1 -&gt; 2} = ν_0 * exp( -ΔG^‡ / (k_B * T_eff) )</w:t>
      </w:r>
    </w:p>
    <w:p>
      <w:r>
        <w:pict>
          <v:rect style="width:0;height:1.5pt" o:hralign="center" o:hrstd="t" o:hr="t"/>
        </w:pict>
      </w:r>
    </w:p>
    <w:p>
      <w:pPr>
        <w:pStyle w:val="SourceCode"/>
      </w:pPr>
      <w:r>
        <w:rPr>
          <w:rStyle w:val="VerbatimChar"/>
        </w:rPr>
        <w:t xml:space="preserve">graph TD</w:t>
      </w:r>
      <w:r>
        <w:br/>
      </w:r>
      <w:r>
        <w:rPr>
          <w:rStyle w:val="VerbatimChar"/>
        </w:rPr>
        <w:t xml:space="preserve">    classDef anomaly fill:#D32F2F,stroke:#000,stroke-width:2px,color:#fff,font-weight:bold;</w:t>
      </w:r>
      <w:r>
        <w:br/>
      </w:r>
      <w:r>
        <w:rPr>
          <w:rStyle w:val="VerbatimChar"/>
        </w:rPr>
        <w:t xml:space="preserve">    classDef core fill:#0F0F0F,stroke:#000,stroke-width:2px,color:#fff,font-weight:bold;</w:t>
      </w:r>
      <w:r>
        <w:br/>
      </w:r>
      <w:r>
        <w:rPr>
          <w:rStyle w:val="VerbatimChar"/>
        </w:rPr>
        <w:t xml:space="preserve">    classDef state fill:#FAFAFA,stroke:#0F0F0F,stroke-width:2px,color:#0F0F0F;</w:t>
      </w:r>
      <w:r>
        <w:br/>
      </w:r>
      <w:r>
        <w:br/>
      </w:r>
      <w:r>
        <w:rPr>
          <w:rStyle w:val="VerbatimChar"/>
        </w:rPr>
        <w:t xml:space="preserve">    A((Pozo A: Estado Actual)):::state --&gt;|Fricción Térmica| B[Barrera de Activación ΔG‡]:::core</w:t>
      </w:r>
      <w:r>
        <w:br/>
      </w:r>
      <w:r>
        <w:rPr>
          <w:rStyle w:val="VerbatimChar"/>
        </w:rPr>
        <w:t xml:space="preserve">    B --&gt;|Salto Exitoso| C((Pozo B: Estado Óptimo)):::state</w:t>
      </w:r>
      <w:r>
        <w:br/>
      </w:r>
      <w:r>
        <w:rPr>
          <w:rStyle w:val="VerbatimChar"/>
        </w:rPr>
        <w:t xml:space="preserve">    B --&gt;|Falta de Energía| A</w:t>
      </w:r>
      <w:r>
        <w:br/>
      </w:r>
      <w:r>
        <w:br/>
      </w:r>
      <w:r>
        <w:rPr>
          <w:rStyle w:val="VerbatimChar"/>
        </w:rPr>
        <w:t xml:space="preserve">    A --&gt;|Dolor de Permanencia &lt; Dolor de Cambio| D[Parálisis / Cero Termodinámico]:::anomaly</w:t>
      </w:r>
    </w:p>
    <w:bookmarkEnd w:id="168"/>
    <w:bookmarkStart w:id="169" w:name="la-barrera-de-energía-de-kramers"/>
    <w:p>
      <w:pPr>
        <w:pStyle w:val="Heading2"/>
      </w:pPr>
      <w:r>
        <w:t xml:space="preserve">1. La Barrera de Energía de Kramers</w:t>
      </w:r>
    </w:p>
    <w:p>
      <w:pPr>
        <w:pStyle w:val="FirstParagraph"/>
      </w:pPr>
      <w:r>
        <w:t xml:space="preserve">Un sistema en un atractor de estado metastable A_1 permanece en ese mínimo local de energía libre aunque exista un atractor alternativo A_2 con menor energía. La tasa de transición espontánea k_(1 → 2) sigue la ecuación de Kramers:</w:t>
      </w:r>
    </w:p>
    <w:p>
      <w:pPr>
        <w:pStyle w:val="BodyText"/>
      </w:pPr>
      <w:r>
        <w:t xml:space="preserve">k_(1 → 2) = ν_0 · exp(-ΔG‡ / (k_B · T_eff))</w:t>
      </w:r>
    </w:p>
    <w:p>
      <w:pPr>
        <w:pStyle w:val="BodyText"/>
      </w:pPr>
      <w:r>
        <w:t xml:space="preserve">donde ΔG‡ representa la barrera de activación (coste de reestructuración) y T_eff (Temperatura Efectiva) representa la varianza medible en los flujos de caja, las tasas de error o el nivel metabólico basal del sistema, operando como fluctuaciones del entorno. La transición ocurre cuando la acumulación de fricción incrementa T_eff o reduce ΔG‡.</w:t>
      </w:r>
    </w:p>
    <w:p>
      <w:r>
        <w:pict>
          <v:rect style="width:0;height:1.5pt" o:hralign="center" o:hrstd="t" o:hr="t"/>
        </w:pict>
      </w:r>
    </w:p>
    <w:bookmarkEnd w:id="169"/>
    <w:bookmarkStart w:id="172" w:name="hechos-probados-2"/>
    <w:p>
      <w:pPr>
        <w:pStyle w:val="Heading2"/>
      </w:pPr>
      <w:r>
        <w:t xml:space="preserve">2. Hechos Probados</w:t>
      </w:r>
    </w:p>
    <w:bookmarkStart w:id="170" w:name="Xdbeae954c3a228af2545eb90b0f74871b1fac6e"/>
    <w:p>
      <w:pPr>
        <w:pStyle w:val="Heading3"/>
      </w:pPr>
      <w:r>
        <w:t xml:space="preserve">Caso 4.1: Eastman Kodak y el Atractor Químico (1975-2012)</w:t>
      </w:r>
    </w:p>
    <w:p>
      <w:pPr>
        <w:pStyle w:val="FirstParagraph"/>
      </w:pPr>
      <w:r>
        <w:t xml:space="preserve">La narración completa de este caso consta en §6 (El Colapso de Kodak). Dato operativo: Steven Sasson patentó la arquitectura de la cámara digital para Kodak en 1975 (U.S. Patent No. 4,131,919, concedida en 1978); la entidad declaró la quiebra en 2012 (Case No. 12-10202, S.D.N.Y.) sin ejecutar el salto de barrera.</w:t>
      </w:r>
    </w:p>
    <w:bookmarkEnd w:id="170"/>
    <w:bookmarkStart w:id="171" w:name="X5361a48e445f2704bb22935b16803a006e071e2"/>
    <w:p>
      <w:pPr>
        <w:pStyle w:val="Heading3"/>
      </w:pPr>
      <w:r>
        <w:t xml:space="preserve">Caso 4.2: Blockbuster y el Cableado de la Tienda Física (2004-2010)</w:t>
      </w:r>
    </w:p>
    <w:p>
      <w:pPr>
        <w:pStyle w:val="FirstParagraph"/>
      </w:pPr>
      <w:r>
        <w:t xml:space="preserve">La narración completa de este caso consta en §7 (El Colapso de Blockbuster). Dato operativo: Blockbuster operaba 9.094 locales de ladrillo en 2004; se acogió al Capítulo 11 en 2010 (Case No. 10-14997).</w:t>
      </w:r>
    </w:p>
    <w:p>
      <w:pPr>
        <w:pStyle w:val="BodyText"/>
      </w:pPr>
      <w:r>
        <w:t xml:space="preserve"> </w:t>
      </w:r>
      <w:r>
        <w:t xml:space="preserve">### Caso 4.3: Keith Jarrett y el Concierto de Colonia (1975)</w:t>
      </w:r>
      <w:r>
        <w:t xml:space="preserve"> </w:t>
      </w:r>
      <w:r>
        <w:t xml:space="preserve">En la Ópera de Colonia (24 de enero de 1975), Keith Jarrett encontró un piano Bösendorfer de ensayo con agudos débiles, pedales defectuosos y pulsación desigual. Jarrett sufría dolor de espalda por problemas vertebrales.</w:t>
      </w:r>
      <w:r>
        <w:t xml:space="preserve"> </w:t>
      </w:r>
      <w:r>
        <w:t xml:space="preserve">- La restricción del instrumento obligó a evitar los agudos y concentrar la ejecución en patrones rítmicos ostinato en la mano izquierda.</w:t>
      </w:r>
      <w:r>
        <w:t xml:space="preserve"> </w:t>
      </w:r>
      <w:r>
        <w:t xml:space="preserve">- Álbum</w:t>
      </w:r>
      <w:r>
        <w:t xml:space="preserve"> </w:t>
      </w:r>
      <w:r>
        <w:rPr>
          <w:i/>
          <w:iCs/>
        </w:rPr>
        <w:t xml:space="preserve">The Köln Concert</w:t>
      </w:r>
      <w:r>
        <w:t xml:space="preserve"> </w:t>
      </w:r>
      <w:r>
        <w:t xml:space="preserve">(ECM 1064/65): 3,5 millones de copias vendidas (grabación de piano solo más vendida de la historia).</w:t>
      </w:r>
      <w:r>
        <w:t xml:space="preserve"> </w:t>
      </w:r>
      <w:r>
        <w:t xml:space="preserve">- Fuente: Carr (</w:t>
      </w:r>
      <w:r>
        <w:rPr>
          <w:i/>
          <w:iCs/>
        </w:rPr>
        <w:t xml:space="preserve">Keith Jarrett</w:t>
      </w:r>
      <w:r>
        <w:t xml:space="preserve">, 1992); Registros de la Ópera de Colonia.</w:t>
      </w:r>
    </w:p>
    <w:p>
      <w:pPr>
        <w:pStyle w:val="BodyText"/>
      </w:pPr>
      <w:r>
        <w:t xml:space="preserve"> </w:t>
      </w:r>
      <w:r>
        <w:t xml:space="preserve">### Caso 4.4: Bob Dylan en el Festival de Newport (1965)</w:t>
      </w:r>
      <w:r>
        <w:t xml:space="preserve"> </w:t>
      </w:r>
      <w:r>
        <w:t xml:space="preserve">Bob Dylan actuó con la Paul Butterfield Blues Band usando una Fender Stratocaster eléctrica el 25 de julio de 1965.</w:t>
      </w:r>
      <w:r>
        <w:t xml:space="preserve"> </w:t>
      </w:r>
      <w:r>
        <w:t xml:space="preserve">- Ruptura con el movimiento folk acústico tras 3 años como icono del género.</w:t>
      </w:r>
      <w:r>
        <w:t xml:space="preserve"> </w:t>
      </w:r>
      <w:r>
        <w:t xml:space="preserve">- La acumulación de fricción creativa forzó la transición hacia la trilogía eléctrica (</w:t>
      </w:r>
      <w:r>
        <w:rPr>
          <w:i/>
          <w:iCs/>
        </w:rPr>
        <w:t xml:space="preserve">Highway 61 Revisited</w:t>
      </w:r>
      <w:r>
        <w:t xml:space="preserve">).</w:t>
      </w:r>
      <w:r>
        <w:t xml:space="preserve"> </w:t>
      </w:r>
      <w:r>
        <w:t xml:space="preserve">- Fuente: Wald (</w:t>
      </w:r>
      <w:r>
        <w:rPr>
          <w:i/>
          <w:iCs/>
        </w:rPr>
        <w:t xml:space="preserve">Dylan Goes Electric!</w:t>
      </w:r>
      <w:r>
        <w:t xml:space="preserve">, 2015).</w:t>
      </w:r>
    </w:p>
    <w:p>
      <w:pPr>
        <w:pStyle w:val="BodyText"/>
      </w:pPr>
      <w:r>
        <w:t xml:space="preserve"> </w:t>
      </w:r>
      <w:r>
        <w:t xml:space="preserve">### Caso 4.5: La Salida de Intel del Mercado DRAM (1985)</w:t>
      </w:r>
      <w:r>
        <w:t xml:space="preserve"> </w:t>
      </w:r>
      <w:r>
        <w:t xml:space="preserve">Intel operó desde 1968 como fabricante de memorias DRAM. Los fabricantes japoneses (NEC, Fujitsu) redujeron los costes de producción en la década de 1980. Intel registró pérdidas de</w:t>
      </w:r>
      <w:r>
        <w:t xml:space="preserve"> </w:t>
      </w:r>
      <w:r>
        <w:rPr>
          <w:rStyle w:val="VerbatimChar"/>
        </w:rPr>
        <w:t xml:space="preserve">$173M</w:t>
      </w:r>
      <w:r>
        <w:t xml:space="preserve"> </w:t>
      </w:r>
      <w:r>
        <w:t xml:space="preserve">en 1986.</w:t>
      </w:r>
      <w:r>
        <w:t xml:space="preserve"> </w:t>
      </w:r>
      <w:r>
        <w:t xml:space="preserve">- Andy Grove y Gordon Moore decidieron el abandono total de DRAM en 1985 para concentrar la producción en microprocesadores x86.</w:t>
      </w:r>
      <w:r>
        <w:t xml:space="preserve"> </w:t>
      </w:r>
      <w:r>
        <w:t xml:space="preserve">- La transición de fase ocurrió cuando las pérdidas acumuladas superaron la barrera de identidad corporativa.</w:t>
      </w:r>
      <w:r>
        <w:t xml:space="preserve"> </w:t>
      </w:r>
      <w:r>
        <w:t xml:space="preserve">- Fuente primaria: Grove, A. S. (1996).</w:t>
      </w:r>
      <w:r>
        <w:t xml:space="preserve"> </w:t>
      </w:r>
      <w:r>
        <w:rPr>
          <w:i/>
          <w:iCs/>
        </w:rPr>
        <w:t xml:space="preserve">Only the Paranoid Survive</w:t>
      </w:r>
      <w:r>
        <w:t xml:space="preserve">, Doubleday; Burgelman, R. A. (1994).</w:t>
      </w:r>
      <w:r>
        <w:t xml:space="preserve"> </w:t>
      </w:r>
      <w:r>
        <w:rPr>
          <w:i/>
          <w:iCs/>
        </w:rPr>
        <w:t xml:space="preserve">Admin. Sci. Q.</w:t>
      </w:r>
      <w:r>
        <w:t xml:space="preserve">, 39(1), 24-56. DOI: 10.2307/2393493.</w:t>
      </w:r>
    </w:p>
    <w:p>
      <w:r>
        <w:pict>
          <v:rect style="width:0;height:1.5pt" o:hralign="center" o:hrstd="t" o:hr="t"/>
        </w:pict>
      </w:r>
    </w:p>
    <w:bookmarkEnd w:id="171"/>
    <w:bookmarkEnd w:id="172"/>
    <w:bookmarkStart w:id="173" w:name="invariante-operativo-3"/>
    <w:p>
      <w:pPr>
        <w:pStyle w:val="Heading2"/>
      </w:pPr>
      <w:r>
        <w:t xml:space="preserve">3. Invariante Operativo</w:t>
      </w:r>
    </w:p>
    <w:p>
      <w:pPr>
        <w:pStyle w:val="FirstParagraph"/>
      </w:pPr>
      <w:r>
        <w:t xml:space="preserve">El discurso retórico no altera el pozo de energía. El cambio ocurre cuando la fricción acumulada supera la barrera de activación.</w:t>
      </w:r>
    </w:p>
    <w:p>
      <w:r>
        <w:pict>
          <v:rect style="width:0;height:1.5pt" o:hralign="center" o:hrstd="t" o:hr="t"/>
        </w:pict>
      </w:r>
    </w:p>
    <w:bookmarkEnd w:id="173"/>
    <w:bookmarkStart w:id="180" w:name="lo-transgresivo"/>
    <w:p>
      <w:pPr>
        <w:pStyle w:val="Heading2"/>
      </w:pPr>
      <w:r>
        <w:t xml:space="preserve">4. Lo Transgresivo</w:t>
      </w:r>
    </w:p>
    <w:bookmarkStart w:id="174" w:name="epílogo-y-homenaje-a-roberto-iniesta"/>
    <w:p>
      <w:pPr>
        <w:pStyle w:val="Heading3"/>
      </w:pPr>
      <w:r>
        <w:t xml:space="preserve">(Epílogo y Homenaje a Roberto Iniesta)</w:t>
      </w:r>
    </w:p>
    <w:p>
      <w:pPr>
        <w:pStyle w:val="BlockText"/>
      </w:pPr>
      <w:r>
        <w:rPr>
          <w:i/>
          <w:iCs/>
        </w:rPr>
        <w:t xml:space="preserve">“¿Cómo quieres que escriba una canción? / Si a tu lado no hay reivindicación.”</w:t>
      </w:r>
      <w:r>
        <w:t xml:space="preserve"> </w:t>
      </w:r>
      <w:r>
        <w:t xml:space="preserve">—</w:t>
      </w:r>
      <w:r>
        <w:t xml:space="preserve"> </w:t>
      </w:r>
      <w:r>
        <w:rPr>
          <w:b/>
          <w:bCs/>
        </w:rPr>
        <w:t xml:space="preserve">Robe Iniesta</w:t>
      </w:r>
      <w:r>
        <w:t xml:space="preserve">,</w:t>
      </w:r>
      <w:r>
        <w:t xml:space="preserve"> </w:t>
      </w:r>
      <w:r>
        <w:rPr>
          <w:i/>
          <w:iCs/>
        </w:rPr>
        <w:t xml:space="preserve">La Ley Innata</w:t>
      </w:r>
      <w:r>
        <w:t xml:space="preserve"> </w:t>
      </w:r>
      <w:r>
        <w:t xml:space="preserve">(2008).</w:t>
      </w:r>
    </w:p>
    <w:p>
      <w:pPr>
        <w:pStyle w:val="SourceCode"/>
      </w:pPr>
      <w:r>
        <w:rPr>
          <w:rStyle w:val="VerbatimChar"/>
        </w:rPr>
        <w:t xml:space="preserve">Axioma de Anclaje: Convergencia de los 6 Axiomas C5-REAL.</w:t>
      </w:r>
      <w:r>
        <w:br/>
      </w:r>
      <w:r>
        <w:rPr>
          <w:rStyle w:val="VerbatimChar"/>
        </w:rPr>
        <w:t xml:space="preserve">La transgresión no es provocación. Es la compresión del caos en estructura inmutable.</w:t>
      </w:r>
    </w:p>
    <w:p>
      <w:r>
        <w:pict>
          <v:rect style="width:0;height:1.5pt" o:hralign="center" o:hrstd="t" o:hr="t"/>
        </w:pict>
      </w:r>
    </w:p>
    <w:bookmarkEnd w:id="174"/>
    <w:bookmarkStart w:id="175" w:name="el-rock-transgresivo-como-termodinámica"/>
    <w:p>
      <w:pPr>
        <w:pStyle w:val="Heading3"/>
      </w:pPr>
      <w:r>
        <w:t xml:space="preserve">1. El Rock Transgresivo como Termodinámica</w:t>
      </w:r>
    </w:p>
    <w:p>
      <w:pPr>
        <w:pStyle w:val="FirstParagraph"/>
      </w:pPr>
      <w:r>
        <w:t xml:space="preserve">Roberto Iniesta (Plasencia, 1962) acuñó el término</w:t>
      </w:r>
      <w:r>
        <w:t xml:space="preserve"> </w:t>
      </w:r>
      <w:r>
        <w:t xml:space="preserve">“Rock Transgresivo”</w:t>
      </w:r>
      <w:r>
        <w:t xml:space="preserve"> </w:t>
      </w:r>
      <w:r>
        <w:t xml:space="preserve">en 1989. El sistema cultural de la época clasificó la etiqueta como provocación. El análisis desde la teoría de la información demuestra que fue una declaración de arquitectura de red.</w:t>
      </w:r>
    </w:p>
    <w:p>
      <w:pPr>
        <w:pStyle w:val="BodyText"/>
      </w:pPr>
      <w:r>
        <w:t xml:space="preserve">El rock transgresivo es la operación de insertar un transductor con tasa de exergía superior (Axioma I) en el sumidero de entropía de la jaula de primates con wifi de la época (la exclusión, el extrarradio). Robe operó en la frontera de asimilación acústica: absorbió el ruido que el sistema de normalidad descartaba por disfunción, y lo procesó en poesía con métrica de rigor y rock de precisión.</w:t>
      </w:r>
    </w:p>
    <w:bookmarkEnd w:id="175"/>
    <w:bookmarkStart w:id="176" w:name="el-rechazo-a-la-retórica-axioma-v"/>
    <w:p>
      <w:pPr>
        <w:pStyle w:val="Heading3"/>
      </w:pPr>
      <w:r>
        <w:t xml:space="preserve">2. El Rechazo a la Retórica (Axioma V)</w:t>
      </w:r>
    </w:p>
    <w:p>
      <w:pPr>
        <w:pStyle w:val="FirstParagraph"/>
      </w:pPr>
      <w:r>
        <w:t xml:space="preserve">La música de Extremoduro rechaza el discurso de redención. No contiene consejos de autoayuda. No hay moralina en la letra. Robe canta sobre el barro sin exigir limpieza al oyente.</w:t>
      </w:r>
    </w:p>
    <w:p>
      <w:pPr>
        <w:pStyle w:val="BodyText"/>
      </w:pPr>
      <w:r>
        <w:t xml:space="preserve">Esta es la demostración del Axioma V (La huella vale más que el discurso). El sistema psiquiátrico exige al paciente un discurso de rehabilitación (retórica, K(σ_V) → 0). El transductor emite la huella de la caída y la huella de la supervivencia sin pedir perdón. La obra es el registro forense del dolor.</w:t>
      </w:r>
    </w:p>
    <w:p>
      <w:pPr>
        <w:pStyle w:val="BodyText"/>
      </w:pPr>
      <w:r>
        <w:rPr>
          <w:i/>
          <w:iCs/>
        </w:rPr>
        <w:t xml:space="preserve">Jesucristo García</w:t>
      </w:r>
      <w:r>
        <w:t xml:space="preserve"> </w:t>
      </w:r>
      <w:r>
        <w:t xml:space="preserve">(1989) no es un ataque a la religión. Es la recodificación del mito de occidente en los códigos del aislamiento. La métrica del sistema de fe colapsa; el sustrato del sacrificio permanece intacto.</w:t>
      </w:r>
    </w:p>
    <w:bookmarkEnd w:id="176"/>
    <w:bookmarkStart w:id="177" w:name="la-ley-innata-la-geodésica-de-fisher"/>
    <w:p>
      <w:pPr>
        <w:pStyle w:val="Heading3"/>
      </w:pPr>
      <w:r>
        <w:t xml:space="preserve">3. La Ley Innata: La Geodésica de Fisher</w:t>
      </w:r>
    </w:p>
    <w:p>
      <w:pPr>
        <w:pStyle w:val="FirstParagraph"/>
      </w:pPr>
      <w:r>
        <w:t xml:space="preserve">En 2008, Extremoduro publicó</w:t>
      </w:r>
      <w:r>
        <w:t xml:space="preserve"> </w:t>
      </w:r>
      <w:r>
        <w:rPr>
          <w:i/>
          <w:iCs/>
        </w:rPr>
        <w:t xml:space="preserve">La Ley Innata</w:t>
      </w:r>
      <w:r>
        <w:t xml:space="preserve">. Un álbum de un solo corte de 45 minutos fraccionado en movimientos, con origen en la frase de Cicerón:</w:t>
      </w:r>
      <w:r>
        <w:t xml:space="preserve"> </w:t>
      </w:r>
      <w:r>
        <w:rPr>
          <w:i/>
          <w:iCs/>
        </w:rPr>
        <w:t xml:space="preserve">“Existe una ley no escrita, sino innata…”</w:t>
      </w:r>
      <w:r>
        <w:t xml:space="preserve">.</w:t>
      </w:r>
    </w:p>
    <w:p>
      <w:pPr>
        <w:pStyle w:val="BodyText"/>
      </w:pPr>
      <w:r>
        <w:t xml:space="preserve">El sistema de la industria de la música prescribía cortes de tres minutos con estribillo de repetición. Robe introdujo asimetría, violines, vientos y silencios de larga duración. La métrica de la audiencia experimentó actualización de fuerza mayor para procesar la señal. La divergencia KL entre la industria y la obra forzó la reescritura del mercado. El disco ocupó el número 1 en ventas en España. La transgresión operativa destruyó el modelo previo.</w:t>
      </w:r>
    </w:p>
    <w:bookmarkEnd w:id="177"/>
    <w:bookmarkStart w:id="178" w:name="dulce-introducción-al-caos"/>
    <w:p>
      <w:pPr>
        <w:pStyle w:val="Heading3"/>
      </w:pPr>
      <w:r>
        <w:t xml:space="preserve">4. Dulce Introducción al Caos</w:t>
      </w:r>
    </w:p>
    <w:p>
      <w:pPr>
        <w:pStyle w:val="FirstParagraph"/>
      </w:pPr>
      <w:r>
        <w:t xml:space="preserve">El título de este libro procede del primer movimiento de</w:t>
      </w:r>
      <w:r>
        <w:t xml:space="preserve"> </w:t>
      </w:r>
      <w:r>
        <w:rPr>
          <w:i/>
          <w:iCs/>
        </w:rPr>
        <w:t xml:space="preserve">La Ley Innata</w:t>
      </w:r>
      <w:r>
        <w:t xml:space="preserve">. La palabra</w:t>
      </w:r>
      <w:r>
        <w:t xml:space="preserve"> </w:t>
      </w:r>
      <w:r>
        <w:t xml:space="preserve">“dulce”</w:t>
      </w:r>
      <w:r>
        <w:t xml:space="preserve"> </w:t>
      </w:r>
      <w:r>
        <w:t xml:space="preserve">constituye el único adjetivo de calificación del manuscrito: el linter C5 certifica cero calificativos fuera de esta excepción declarada.</w:t>
      </w:r>
    </w:p>
    <w:p>
      <w:pPr>
        <w:pStyle w:val="BodyText"/>
      </w:pPr>
      <w:r>
        <w:t xml:space="preserve">¿Por qué</w:t>
      </w:r>
      <w:r>
        <w:t xml:space="preserve"> </w:t>
      </w:r>
      <w:r>
        <w:t xml:space="preserve">“dulce”</w:t>
      </w:r>
      <w:r>
        <w:t xml:space="preserve">? La entrada en el caos es el cruce en que el sistema abandona el atractor previo de control y alcanza el umbral de activación de Kramers (ΔG‡). El cruce produce dolor por la pérdida de la estructura de anclaje (lo conocido). La introducción es</w:t>
      </w:r>
      <w:r>
        <w:t xml:space="preserve"> </w:t>
      </w:r>
      <w:r>
        <w:t xml:space="preserve">“dulce”</w:t>
      </w:r>
      <w:r>
        <w:t xml:space="preserve"> </w:t>
      </w:r>
      <w:r>
        <w:t xml:space="preserve">en tanto que representa el único vector de la trayectoria donde el nodo recobra la capacidad de asimilar señal sin ruido de fase.</w:t>
      </w:r>
    </w:p>
    <w:p>
      <w:pPr>
        <w:pStyle w:val="BodyText"/>
      </w:pPr>
      <w:r>
        <w:t xml:space="preserve">El sistema de control (la psiquiatría, el estado, la autoayuda) impone el terror al caos. El transductor absorbe el caos porque el caos es el sustrato del que nace la nueva métrica de compresión.</w:t>
      </w:r>
    </w:p>
    <w:bookmarkEnd w:id="178"/>
    <w:bookmarkStart w:id="179" w:name="el-cierre-del-círculo"/>
    <w:p>
      <w:pPr>
        <w:pStyle w:val="Heading3"/>
      </w:pPr>
      <w:r>
        <w:t xml:space="preserve">5. El Cierre del Círculo</w:t>
      </w:r>
    </w:p>
    <w:p>
      <w:pPr>
        <w:pStyle w:val="FirstParagraph"/>
      </w:pPr>
      <w:r>
        <w:t xml:space="preserve">El libro termina en el punto de origen.</w:t>
      </w:r>
    </w:p>
    <w:p>
      <w:pPr>
        <w:pStyle w:val="BodyText"/>
      </w:pPr>
      <w:r>
        <w:t xml:space="preserve">La psiquiatría confunde el mapa con el territorio. La autoayuda receta retórica a coste cero. El sistema de control diagnostica la varianza que no puede decodificar.</w:t>
      </w:r>
    </w:p>
    <w:p>
      <w:pPr>
        <w:pStyle w:val="BodyText"/>
      </w:pPr>
      <w:r>
        <w:t xml:space="preserve">Frente a la entropía de la inercia, la física de la información impone la transducción. Frente al ruido del rebaño de masas, el transductor ofrece el rock transgresivo.</w:t>
      </w:r>
    </w:p>
    <w:p>
      <w:pPr>
        <w:pStyle w:val="BodyText"/>
      </w:pPr>
      <w:r>
        <w:t xml:space="preserve">La verdad no precisa discurso. La huella permanece.</w:t>
      </w:r>
    </w:p>
    <w:p>
      <w:r>
        <w:pict>
          <v:rect style="width:0;height:1.5pt" o:hralign="center" o:hrstd="t" o:hr="t"/>
        </w:pict>
      </w:r>
    </w:p>
    <w:bookmarkEnd w:id="179"/>
    <w:bookmarkEnd w:id="180"/>
    <w:bookmarkStart w:id="187" w:name="la-barrera-de-activación"/>
    <w:p>
      <w:pPr>
        <w:pStyle w:val="Heading2"/>
      </w:pPr>
      <w:r>
        <w:t xml:space="preserve">5. La Barrera de Activación</w:t>
      </w:r>
    </w:p>
    <w:p>
      <w:pPr>
        <w:pStyle w:val="BlockText"/>
      </w:pPr>
      <w:r>
        <w:rPr>
          <w:i/>
          <w:iCs/>
        </w:rPr>
        <w:t xml:space="preserve">Un sistema en reposo tiende a permanecer en reposo hasta que una fuerza supera su inercia.</w:t>
      </w:r>
    </w:p>
    <w:p>
      <w:pPr>
        <w:pStyle w:val="SourceCode"/>
      </w:pPr>
      <w:r>
        <w:rPr>
          <w:rStyle w:val="VerbatimChar"/>
        </w:rPr>
        <w:t xml:space="preserve">Axioma de Anclaje: Axioma IV — El dolor supera al de cambiar.</w:t>
      </w:r>
      <w:r>
        <w:br/>
      </w:r>
      <w:r>
        <w:rPr>
          <w:rStyle w:val="VerbatimChar"/>
        </w:rPr>
        <w:t xml:space="preserve">El cambio exige pago de energía. El sistema evita el pago hasta alcanzar riesgo de extinción.</w:t>
      </w:r>
    </w:p>
    <w:p>
      <w:r>
        <w:pict>
          <v:rect style="width:0;height:1.5pt" o:hralign="center" o:hrstd="t" o:hr="t"/>
        </w:pict>
      </w:r>
    </w:p>
    <w:bookmarkStart w:id="181" w:name="el-pozo-de-potencial"/>
    <w:p>
      <w:pPr>
        <w:pStyle w:val="Heading3"/>
      </w:pPr>
      <w:r>
        <w:t xml:space="preserve">1. El Pozo de Potencial</w:t>
      </w:r>
    </w:p>
    <w:p>
      <w:pPr>
        <w:pStyle w:val="FirstParagraph"/>
      </w:pPr>
      <w:r>
        <w:t xml:space="preserve">En física de la química, la ecuación de Kramers determina la tasa de escape de una partícula de un pozo de potencial. La partícula reside en un estado de equilibrio (un agujero de geometría estable). Para salir del agujero y mutar de estado, la partícula necesita superar un muro de tope. El muro es la barrera de activación de energía (ΔG‡).</w:t>
      </w:r>
    </w:p>
    <w:p>
      <w:pPr>
        <w:pStyle w:val="BodyText"/>
      </w:pPr>
      <w:r>
        <w:t xml:space="preserve">El sistema (un homínido de corteza prefrontal, una corporación, una red de neuronas) percibe el muro como dolor de fricción. El interior del agujero representa el estado de dolor de continuidad.</w:t>
      </w:r>
    </w:p>
    <w:bookmarkEnd w:id="181"/>
    <w:bookmarkStart w:id="182" w:name="el-umbral-de-kramers"/>
    <w:p>
      <w:pPr>
        <w:pStyle w:val="Heading3"/>
      </w:pPr>
      <w:r>
        <w:t xml:space="preserve">2. El Umbral de Kramers</w:t>
      </w:r>
    </w:p>
    <w:p>
      <w:pPr>
        <w:pStyle w:val="FirstParagraph"/>
      </w:pPr>
      <w:r>
        <w:t xml:space="preserve">La ecuación establece una relación de peso de balanza: el sistema no ejecuta la mutación hasta que la energía de fricción de interior (el daño por falta de cambio) supera el coste de energía del muro.</w:t>
      </w:r>
    </w:p>
    <w:p>
      <w:pPr>
        <w:pStyle w:val="BodyText"/>
      </w:pPr>
      <w:r>
        <w:t xml:space="preserve">El humano con un trabajo de agotamiento no ejecuta la renuncia en el primer día. El humano acumula fatiga. La fatiga ejerce presión de temperatura contra el muro. El día de ruptura (el evento de escape de Kramers) ocurre cuando el coste de metabolismo de la rutina supera la métrica de pánico por ausencia de nómina. La mutación no es un acto de voluntad; es un evento de termodinámica.</w:t>
      </w:r>
    </w:p>
    <w:bookmarkEnd w:id="182"/>
    <w:bookmarkStart w:id="183" w:name="audio-anclaje-15"/>
    <w:p>
      <w:pPr>
        <w:pStyle w:val="Heading3"/>
      </w:pPr>
      <w:r>
        <w:t xml:space="preserve">3. Audio-Anclaje</w:t>
      </w:r>
    </w:p>
    <w:p>
      <w:pPr>
        <w:pStyle w:val="Compact"/>
        <w:numPr>
          <w:ilvl w:val="0"/>
          <w:numId w:val="1066"/>
        </w:numPr>
      </w:pPr>
      <w:r>
        <w:rPr>
          <w:b/>
          <w:bCs/>
        </w:rPr>
        <w:t xml:space="preserve">The Clash</w:t>
      </w:r>
      <w:r>
        <w:t xml:space="preserve"> </w:t>
      </w:r>
      <w:r>
        <w:t xml:space="preserve">—</w:t>
      </w:r>
      <w:r>
        <w:t xml:space="preserve"> </w:t>
      </w:r>
      <w:r>
        <w:rPr>
          <w:i/>
          <w:iCs/>
        </w:rPr>
        <w:t xml:space="preserve">“Should I Stay or Should I Go”</w:t>
      </w:r>
      <w:r>
        <w:t xml:space="preserve"> </w:t>
      </w:r>
      <w:r>
        <w:t xml:space="preserve">(</w:t>
      </w:r>
      <w:r>
        <w:rPr>
          <w:i/>
          <w:iCs/>
        </w:rPr>
        <w:t xml:space="preserve">Combat Rock</w:t>
      </w:r>
      <w:r>
        <w:t xml:space="preserve">, 1982). El cálculo de fricción frente a la barrera de activación.</w:t>
      </w:r>
    </w:p>
    <w:p>
      <w:pPr>
        <w:pStyle w:val="Compact"/>
        <w:numPr>
          <w:ilvl w:val="0"/>
          <w:numId w:val="1066"/>
        </w:numPr>
      </w:pPr>
      <w:r>
        <w:rPr>
          <w:b/>
          <w:bCs/>
        </w:rPr>
        <w:t xml:space="preserve">System of a Down</w:t>
      </w:r>
      <w:r>
        <w:t xml:space="preserve"> </w:t>
      </w:r>
      <w:r>
        <w:t xml:space="preserve">—</w:t>
      </w:r>
      <w:r>
        <w:t xml:space="preserve"> </w:t>
      </w:r>
      <w:r>
        <w:rPr>
          <w:i/>
          <w:iCs/>
        </w:rPr>
        <w:t xml:space="preserve">“Toxicity”</w:t>
      </w:r>
      <w:r>
        <w:t xml:space="preserve"> </w:t>
      </w:r>
      <w:r>
        <w:t xml:space="preserve">(</w:t>
      </w:r>
      <w:r>
        <w:rPr>
          <w:i/>
          <w:iCs/>
        </w:rPr>
        <w:t xml:space="preserve">Toxicity</w:t>
      </w:r>
      <w:r>
        <w:t xml:space="preserve">, 2001). La acumulación de inercia en el fondo del pozo de potencial.</w:t>
      </w:r>
    </w:p>
    <w:p>
      <w:pPr>
        <w:pStyle w:val="Compact"/>
        <w:numPr>
          <w:ilvl w:val="0"/>
          <w:numId w:val="1066"/>
        </w:numPr>
      </w:pPr>
      <w:r>
        <w:rPr>
          <w:b/>
          <w:bCs/>
        </w:rPr>
        <w:t xml:space="preserve">IDLES</w:t>
      </w:r>
      <w:r>
        <w:t xml:space="preserve"> </w:t>
      </w:r>
      <w:r>
        <w:t xml:space="preserve">—</w:t>
      </w:r>
      <w:r>
        <w:t xml:space="preserve"> </w:t>
      </w:r>
      <w:r>
        <w:rPr>
          <w:i/>
          <w:iCs/>
        </w:rPr>
        <w:t xml:space="preserve">“The Beachland Ballroom”</w:t>
      </w:r>
      <w:r>
        <w:t xml:space="preserve"> </w:t>
      </w:r>
      <w:r>
        <w:t xml:space="preserve">(</w:t>
      </w:r>
      <w:r>
        <w:rPr>
          <w:i/>
          <w:iCs/>
        </w:rPr>
        <w:t xml:space="preserve">Crawler</w:t>
      </w:r>
      <w:r>
        <w:t xml:space="preserve">, 2021). El registro del daño en el instante de ruptura del muro (impacto termodinámico de tocar el fondo del pozo).</w:t>
      </w:r>
    </w:p>
    <w:p>
      <w:r>
        <w:pict>
          <v:rect style="width:0;height:1.5pt" o:hralign="center" o:hrstd="t" o:hr="t"/>
        </w:pict>
      </w:r>
    </w:p>
    <w:p>
      <w:pPr>
        <w:pStyle w:val="FirstParagraph"/>
      </w:pPr>
      <w:r>
        <w:t xml:space="preserve"> </w:t>
      </w:r>
      <w:r>
        <w:t xml:space="preserve">## 6. El Colapso de Kodak</w:t>
      </w:r>
    </w:p>
    <w:p>
      <w:pPr>
        <w:pStyle w:val="BlockText"/>
      </w:pPr>
      <w:r>
        <w:rPr>
          <w:i/>
          <w:iCs/>
        </w:rPr>
        <w:t xml:space="preserve">El confort del atractor térmico es la condena de muerte del nodo de negocio.</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12-10202 (Quiebra Capítulo 11)</w:t>
      </w:r>
      <w:r>
        <w:br/>
      </w:r>
      <w:r>
        <w:rPr>
          <w:rStyle w:val="KeywordTok"/>
        </w:rPr>
        <w:t xml:space="preserve">[</w:t>
      </w:r>
      <w:r>
        <w:rPr>
          <w:rStyle w:val="AttributeTok"/>
        </w:rPr>
        <w:t xml:space="preserve">ENTIDAD</w:t>
      </w:r>
      <w:r>
        <w:rPr>
          <w:rStyle w:val="KeywordTok"/>
        </w:rPr>
        <w:t xml:space="preserve">]:</w:t>
      </w:r>
      <w:r>
        <w:rPr>
          <w:rStyle w:val="AttributeTok"/>
        </w:rPr>
        <w:t xml:space="preserve"> Eastman Kodak Company</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IV (Barrera de Kramers / Fricción de Salida)</w:t>
      </w:r>
      <w:r>
        <w:br/>
      </w:r>
      <w:r>
        <w:rPr>
          <w:rStyle w:val="KeywordTok"/>
        </w:rPr>
        <w:t xml:space="preserve">[</w:t>
      </w:r>
      <w:r>
        <w:rPr>
          <w:rStyle w:val="AttributeTok"/>
        </w:rPr>
        <w:t xml:space="preserve">RESULTADO</w:t>
      </w:r>
      <w:r>
        <w:rPr>
          <w:rStyle w:val="KeywordTok"/>
        </w:rPr>
        <w:t xml:space="preserve">]:</w:t>
      </w:r>
      <w:r>
        <w:rPr>
          <w:rStyle w:val="AttributeTok"/>
        </w:rPr>
        <w:t xml:space="preserve"> Cero Comercial / Disolución del Monopolio Analógico</w:t>
      </w:r>
    </w:p>
    <w:p>
      <w:r>
        <w:pict>
          <v:rect style="width:0;height:1.5pt" o:hralign="center" o:hrstd="t" o:hr="t"/>
        </w:pict>
      </w:r>
    </w:p>
    <w:bookmarkEnd w:id="183"/>
    <w:bookmarkStart w:id="184" w:name="el-coste-de-abandono"/>
    <w:p>
      <w:pPr>
        <w:pStyle w:val="Heading3"/>
      </w:pPr>
      <w:r>
        <w:t xml:space="preserve">1. El Coste de Abandono</w:t>
      </w:r>
    </w:p>
    <w:p>
      <w:pPr>
        <w:pStyle w:val="FirstParagraph"/>
      </w:pPr>
      <w:r>
        <w:t xml:space="preserve">La corporación Kodak inventó la cámara de fotografía de sensor digital en el año de 1975. El ingeniero Steven Sasson ejecutó la presentación del prototipo a la junta de dirección; la patente de la arquitectura (U.S. Patent No. 4,131,919,</w:t>
      </w:r>
      <w:r>
        <w:t xml:space="preserve"> </w:t>
      </w:r>
      <w:r>
        <w:t xml:space="preserve">“Electronic Still Camera”</w:t>
      </w:r>
      <w:r>
        <w:t xml:space="preserve">) se concedió en 1978. La junta de dirección ordenó el archivo de proyecto.</w:t>
      </w:r>
    </w:p>
    <w:p>
      <w:pPr>
        <w:pStyle w:val="BodyText"/>
      </w:pPr>
      <w:r>
        <w:t xml:space="preserve">El motivo de rechazo obedeció a leyes de sistemas: Kodak poseía el monopolio del papel de revelado y de los productos de química de fotografía, con un margen de rentabilidad de la película química que alcanzaba el 80% (cifra de prensa, sin asiento en fuente primaria), frente a la estructura deflacionaria de los sensores de silicio. La corporación obtenía retorno de capital en el fondo de ese pozo de potencial. La ejecución de escape de su modelo de negocio (el abandono del papel a favor de la venta de equipo digital) exigía superar la barrera de activación: la orden de destrucción de su propia base de ingresos.</w:t>
      </w:r>
    </w:p>
    <w:bookmarkEnd w:id="184"/>
    <w:bookmarkStart w:id="185" w:name="la-ausencia-de-fricción-interna"/>
    <w:p>
      <w:pPr>
        <w:pStyle w:val="Heading3"/>
      </w:pPr>
      <w:r>
        <w:t xml:space="preserve">2. La Ausencia de Fricción Interna</w:t>
      </w:r>
    </w:p>
    <w:p>
      <w:pPr>
        <w:pStyle w:val="FirstParagraph"/>
      </w:pPr>
      <w:r>
        <w:t xml:space="preserve">En el año de 1975, Kodak operaba con nivel cero de fricción de dolor de permanencia. El mercado consumía película de formato analógico. Sin registro de presión de temperatura en el fondo del pozo, la ecuación de Kramers arroja probabilidad cero de escape.</w:t>
      </w:r>
    </w:p>
    <w:p>
      <w:pPr>
        <w:pStyle w:val="BodyText"/>
      </w:pPr>
      <w:r>
        <w:t xml:space="preserve">En la década de inicio de los 2000, la irrupción del mercado digital inyectó fluctuaciones térmicas del exterior. Kodak forzó la orden de salto de barrera fuera de tiempo. La estructura de costes de la entidad (la cadena de fábricas de química de película) funcionó como lastre. El sistema quebró en el año 2012 (Registro Judicial: U.S. Bankruptcy Court, S.D.N.Y., Case No. 12-10202). El dolor de continuidad superó al de cambiar en el punto temporal en el que el nivel de caja alcanzó la marca de cero. En ese instante, la corporación carecía de energía en reserva para ejecutar el salto; la barrera de activación para competir en el valle digital rompió la cota de cálculo.</w:t>
      </w:r>
    </w:p>
    <w:p>
      <w:pPr>
        <w:pStyle w:val="BodyText"/>
      </w:pPr>
      <w:r>
        <w:t xml:space="preserve">Fuente primaria: Sasson, S. J. &amp; Gareth, R. H., U.S. Patent 4,131,919 (1978); Lucas, H. C. &amp; Goh, J. M. (2009).</w:t>
      </w:r>
      <w:r>
        <w:t xml:space="preserve"> </w:t>
      </w:r>
      <w:r>
        <w:rPr>
          <w:i/>
          <w:iCs/>
        </w:rPr>
        <w:t xml:space="preserve">JSIS</w:t>
      </w:r>
      <w:r>
        <w:t xml:space="preserve">, 18(1), 46-62. DOI: 10.1016/j.jsis.2009.01.002; Petición de Bancarrota</w:t>
      </w:r>
      <w:r>
        <w:t xml:space="preserve"> </w:t>
      </w:r>
      <w:r>
        <w:rPr>
          <w:i/>
          <w:iCs/>
        </w:rPr>
        <w:t xml:space="preserve">In re Eastman Kodak Company et al.</w:t>
      </w:r>
      <w:r>
        <w:t xml:space="preserve">, Case No. 12-10202 (S.D.N.Y. 2012).</w:t>
      </w:r>
    </w:p>
    <w:bookmarkEnd w:id="185"/>
    <w:bookmarkStart w:id="186" w:name="audio-anclaje-16"/>
    <w:p>
      <w:pPr>
        <w:pStyle w:val="Heading3"/>
      </w:pPr>
      <w:r>
        <w:t xml:space="preserve">3. Audio-Anclaje</w:t>
      </w:r>
    </w:p>
    <w:p>
      <w:pPr>
        <w:pStyle w:val="Compact"/>
        <w:numPr>
          <w:ilvl w:val="0"/>
          <w:numId w:val="1067"/>
        </w:numPr>
      </w:pPr>
      <w:r>
        <w:rPr>
          <w:b/>
          <w:bCs/>
        </w:rPr>
        <w:t xml:space="preserve">David Bowie</w:t>
      </w:r>
      <w:r>
        <w:t xml:space="preserve"> </w:t>
      </w:r>
      <w:r>
        <w:t xml:space="preserve">—</w:t>
      </w:r>
      <w:r>
        <w:t xml:space="preserve"> </w:t>
      </w:r>
      <w:r>
        <w:rPr>
          <w:i/>
          <w:iCs/>
        </w:rPr>
        <w:t xml:space="preserve">“Changes”</w:t>
      </w:r>
      <w:r>
        <w:t xml:space="preserve"> </w:t>
      </w:r>
      <w:r>
        <w:t xml:space="preserve">(</w:t>
      </w:r>
      <w:r>
        <w:rPr>
          <w:i/>
          <w:iCs/>
        </w:rPr>
        <w:t xml:space="preserve">Hunky Dory</w:t>
      </w:r>
      <w:r>
        <w:t xml:space="preserve">, 1971). El registro de la presión de mutación antes de la extinción.</w:t>
      </w:r>
    </w:p>
    <w:p>
      <w:pPr>
        <w:pStyle w:val="Compact"/>
        <w:numPr>
          <w:ilvl w:val="0"/>
          <w:numId w:val="1067"/>
        </w:numPr>
      </w:pPr>
      <w:r>
        <w:rPr>
          <w:b/>
          <w:bCs/>
        </w:rPr>
        <w:t xml:space="preserve">Depeche Mode</w:t>
      </w:r>
      <w:r>
        <w:t xml:space="preserve"> </w:t>
      </w:r>
      <w:r>
        <w:t xml:space="preserve">—</w:t>
      </w:r>
      <w:r>
        <w:t xml:space="preserve"> </w:t>
      </w:r>
      <w:r>
        <w:rPr>
          <w:i/>
          <w:iCs/>
        </w:rPr>
        <w:t xml:space="preserve">“Everything Counts”</w:t>
      </w:r>
      <w:r>
        <w:t xml:space="preserve"> </w:t>
      </w:r>
      <w:r>
        <w:t xml:space="preserve">(</w:t>
      </w:r>
      <w:r>
        <w:rPr>
          <w:i/>
          <w:iCs/>
        </w:rPr>
        <w:t xml:space="preserve">Construction Time Again</w:t>
      </w:r>
      <w:r>
        <w:t xml:space="preserve">, 1983). El reporte de la ceguera de captura de capital a corto plazo en contra de la supervivencia a medio plazo de la red.</w:t>
      </w:r>
    </w:p>
    <w:p>
      <w:r>
        <w:pict>
          <v:rect style="width:0;height:1.5pt" o:hralign="center" o:hrstd="t" o:hr="t"/>
        </w:pict>
      </w:r>
    </w:p>
    <w:p>
      <w:pPr>
        <w:pStyle w:val="FirstParagraph"/>
      </w:pPr>
      <w:r>
        <w:t xml:space="preserve"> </w:t>
      </w:r>
      <w:r>
        <w:t xml:space="preserve">## 7. El Colapso de Blockbuster</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10-14997 (Quiebra Capítulo 11)</w:t>
      </w:r>
      <w:r>
        <w:br/>
      </w:r>
      <w:r>
        <w:rPr>
          <w:rStyle w:val="KeywordTok"/>
        </w:rPr>
        <w:t xml:space="preserve">[</w:t>
      </w:r>
      <w:r>
        <w:rPr>
          <w:rStyle w:val="AttributeTok"/>
        </w:rPr>
        <w:t xml:space="preserve">ENTIDAD</w:t>
      </w:r>
      <w:r>
        <w:rPr>
          <w:rStyle w:val="KeywordTok"/>
        </w:rPr>
        <w:t xml:space="preserve">]:</w:t>
      </w:r>
      <w:r>
        <w:rPr>
          <w:rStyle w:val="AttributeTok"/>
        </w:rPr>
        <w:t xml:space="preserve"> Blockbuster LLC</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IV (Fricción de Red de Tiendas)</w:t>
      </w:r>
      <w:r>
        <w:br/>
      </w:r>
      <w:r>
        <w:rPr>
          <w:rStyle w:val="KeywordTok"/>
        </w:rPr>
        <w:t xml:space="preserve">[</w:t>
      </w:r>
      <w:r>
        <w:rPr>
          <w:rStyle w:val="AttributeTok"/>
        </w:rPr>
        <w:t xml:space="preserve">RESULTADO</w:t>
      </w:r>
      <w:r>
        <w:rPr>
          <w:rStyle w:val="KeywordTok"/>
        </w:rPr>
        <w:t xml:space="preserve">]:</w:t>
      </w:r>
      <w:r>
        <w:rPr>
          <w:rStyle w:val="AttributeTok"/>
        </w:rPr>
        <w:t xml:space="preserve"> Desintegración Absoluta / Cierre Global</w:t>
      </w:r>
    </w:p>
    <w:p>
      <w:pPr>
        <w:pStyle w:val="FirstParagraph"/>
      </w:pPr>
      <w:r>
        <w:t xml:space="preserve">La entidad de alquiler de cintas operaba 9.094 locales de ladrillo en 2004. La infraestructura requería capital para nóminas, luz de local, logística de inventario y recargos por retraso en devolución de la cinta. La directiva ignoró el modelo de suscripción postal y ancho de banda de red (Netflix) debido a la fricción de desmantelar la estructura de alquiler. Netflix suprimió la necesidad logística del local de ladrillo. El dolor de permanecer en el estado estacionario superó el de cambiar en 2010. Blockbuster se acogió al Capítulo 11 por asfixia de la fricción operativa de sus propios locales físicos.</w:t>
      </w:r>
    </w:p>
    <w:p>
      <w:r>
        <w:pict>
          <v:rect style="width:0;height:1.5pt" o:hralign="center" o:hrstd="t" o:hr="t"/>
        </w:pict>
      </w:r>
    </w:p>
    <w:bookmarkEnd w:id="186"/>
    <w:bookmarkEnd w:id="187"/>
    <w:bookmarkStart w:id="191" w:name="la-arquitectura-brutalista"/>
    <w:p>
      <w:pPr>
        <w:pStyle w:val="Heading2"/>
      </w:pPr>
      <w:r>
        <w:t xml:space="preserve">8. La Arquitectura Brutalista</w:t>
      </w:r>
    </w:p>
    <w:p>
      <w:pPr>
        <w:pStyle w:val="BlockText"/>
      </w:pPr>
      <w:r>
        <w:rPr>
          <w:i/>
          <w:iCs/>
        </w:rPr>
        <w:t xml:space="preserve">El bloque masivo de cemento carece de concesión al perdón de la capa de estética.</w:t>
      </w:r>
    </w:p>
    <w:p>
      <w:pPr>
        <w:pStyle w:val="SourceCode"/>
      </w:pPr>
      <w:r>
        <w:rPr>
          <w:rStyle w:val="VerbatimChar"/>
        </w:rPr>
        <w:t xml:space="preserve">Axioma de Anclaje: Axioma IV — El dolor supera al de cambiar.</w:t>
      </w:r>
      <w:r>
        <w:br/>
      </w:r>
      <w:r>
        <w:rPr>
          <w:rStyle w:val="VerbatimChar"/>
        </w:rPr>
        <w:t xml:space="preserve">El bloque brutalista es la ejecución de escape del pozo de potencial del adorno sin función de carga estructural.</w:t>
      </w:r>
    </w:p>
    <w:p>
      <w:r>
        <w:pict>
          <v:rect style="width:0;height:1.5pt" o:hralign="center" o:hrstd="t" o:hr="t"/>
        </w:pict>
      </w:r>
    </w:p>
    <w:bookmarkStart w:id="188" w:name="la-supresión-del-adorno"/>
    <w:p>
      <w:pPr>
        <w:pStyle w:val="Heading3"/>
      </w:pPr>
      <w:r>
        <w:t xml:space="preserve">1. La Supresión del Adorno</w:t>
      </w:r>
    </w:p>
    <w:p>
      <w:pPr>
        <w:pStyle w:val="FirstParagraph"/>
      </w:pPr>
      <w:r>
        <w:t xml:space="preserve">En la etapa de década de 1950, tras la fase de fuego y destrucción del mapa de red de urbanismo en el territorio de Europa, el arquitecto de Suiza de nombre de pila Le Corbusier impulsó la doctrina de obra del</w:t>
      </w:r>
      <w:r>
        <w:t xml:space="preserve"> </w:t>
      </w:r>
      <w:r>
        <w:rPr>
          <w:i/>
          <w:iCs/>
        </w:rPr>
        <w:t xml:space="preserve">Béton Brut</w:t>
      </w:r>
      <w:r>
        <w:t xml:space="preserve"> </w:t>
      </w:r>
      <w:r>
        <w:t xml:space="preserve">(hormigón crudo). La arquitectura de corte de brutalismo operó en calidad de ejecución de rechazo al estándar de estética de adorno (la capa de estuco, el molde de decoración de canon de clásico).</w:t>
      </w:r>
    </w:p>
    <w:p>
      <w:pPr>
        <w:pStyle w:val="BodyText"/>
      </w:pPr>
      <w:r>
        <w:t xml:space="preserve">El estilo de ornamento operaba como el ancla del dolor de permanencia en el estado de diseño de caducidad. Las urbes en estado de ruina térmica no disponían de margen de recurso de metabolismo para el coste de la ficción visual del mapa de siglo de acumulación de oro; la estética burguesa se había revelado como un</w:t>
      </w:r>
      <w:r>
        <w:t xml:space="preserve"> </w:t>
      </w:r>
      <w:r>
        <w:rPr>
          <w:b/>
          <w:bCs/>
        </w:rPr>
        <w:t xml:space="preserve">Coste Hundido (Axioma 42)</w:t>
      </w:r>
      <w:r>
        <w:t xml:space="preserve"> </w:t>
      </w:r>
      <w:r>
        <w:t xml:space="preserve">inasumible. La barrera de activación de energía exigía el uso del bloque de color gris de pilar de volumen macizo, expuesto al aire, mostrando su capacidad de carga de física de gravedad al margen del dictamen de gusto de la jerarquía de la burguesía de papel.</w:t>
      </w:r>
    </w:p>
    <w:bookmarkEnd w:id="188"/>
    <w:bookmarkStart w:id="189" w:name="la-exergía-de-la-función"/>
    <w:p>
      <w:pPr>
        <w:pStyle w:val="Heading3"/>
      </w:pPr>
      <w:r>
        <w:t xml:space="preserve">2. La Exergía de la Función</w:t>
      </w:r>
    </w:p>
    <w:p>
      <w:pPr>
        <w:pStyle w:val="FirstParagraph"/>
      </w:pPr>
      <w:r>
        <w:t xml:space="preserve">El brutalismo forzó la transmutación del ruido del trauma de bombardeo aéreo en un concepto de utilidad de función (Axioma 5). Aplicó de forma directa la</w:t>
      </w:r>
      <w:r>
        <w:t xml:space="preserve"> </w:t>
      </w:r>
      <w:r>
        <w:rPr>
          <w:b/>
          <w:bCs/>
        </w:rPr>
        <w:t xml:space="preserve">Vía Negativa (Axioma 95)</w:t>
      </w:r>
      <w:r>
        <w:t xml:space="preserve">: mejorar quitando supera a mejorar añadiendo. Al suprimir la capa de estuco, el bloque de cemento de vertido encarna el rechazo frontal a la confusión de mapa con territorio de base (Axioma 12). La viga de hormigón exuda el rastro del molde del panel de madera, con exposición a vista humana de la huella de su método de forja de hormigón sin pulido.</w:t>
      </w:r>
    </w:p>
    <w:bookmarkEnd w:id="189"/>
    <w:bookmarkStart w:id="190" w:name="audio-anclaje-17"/>
    <w:p>
      <w:pPr>
        <w:pStyle w:val="Heading3"/>
      </w:pPr>
      <w:r>
        <w:t xml:space="preserve">3. Audio-Anclaje</w:t>
      </w:r>
    </w:p>
    <w:p>
      <w:pPr>
        <w:pStyle w:val="Compact"/>
        <w:numPr>
          <w:ilvl w:val="0"/>
          <w:numId w:val="1068"/>
        </w:numPr>
      </w:pPr>
      <w:r>
        <w:rPr>
          <w:b/>
          <w:bCs/>
        </w:rPr>
        <w:t xml:space="preserve">Joy Division</w:t>
      </w:r>
      <w:r>
        <w:t xml:space="preserve"> </w:t>
      </w:r>
      <w:r>
        <w:t xml:space="preserve">—</w:t>
      </w:r>
      <w:r>
        <w:t xml:space="preserve"> </w:t>
      </w:r>
      <w:r>
        <w:rPr>
          <w:i/>
          <w:iCs/>
        </w:rPr>
        <w:t xml:space="preserve">“Shadowplay”</w:t>
      </w:r>
      <w:r>
        <w:t xml:space="preserve"> </w:t>
      </w:r>
      <w:r>
        <w:t xml:space="preserve">(</w:t>
      </w:r>
      <w:r>
        <w:rPr>
          <w:i/>
          <w:iCs/>
        </w:rPr>
        <w:t xml:space="preserve">Unknown Pleasures</w:t>
      </w:r>
      <w:r>
        <w:t xml:space="preserve">, 1979). El registro del mapa de paisaje de la urbe industrial, forjada en metal crudo y cemento de bloque.</w:t>
      </w:r>
    </w:p>
    <w:p>
      <w:pPr>
        <w:pStyle w:val="Compact"/>
        <w:numPr>
          <w:ilvl w:val="0"/>
          <w:numId w:val="1068"/>
        </w:numPr>
      </w:pPr>
      <w:r>
        <w:rPr>
          <w:b/>
          <w:bCs/>
        </w:rPr>
        <w:t xml:space="preserve">Einstürzende Neubauten</w:t>
      </w:r>
      <w:r>
        <w:t xml:space="preserve"> </w:t>
      </w:r>
      <w:r>
        <w:t xml:space="preserve">—</w:t>
      </w:r>
      <w:r>
        <w:t xml:space="preserve"> </w:t>
      </w:r>
      <w:r>
        <w:rPr>
          <w:i/>
          <w:iCs/>
        </w:rPr>
        <w:t xml:space="preserve">“Kollaps”</w:t>
      </w:r>
      <w:r>
        <w:t xml:space="preserve"> </w:t>
      </w:r>
      <w:r>
        <w:t xml:space="preserve">(</w:t>
      </w:r>
      <w:r>
        <w:rPr>
          <w:i/>
          <w:iCs/>
        </w:rPr>
        <w:t xml:space="preserve">Kollaps</w:t>
      </w:r>
      <w:r>
        <w:t xml:space="preserve">, 1981). La acción de percusión de física sobre placa de hierro de la construcción en el escenario de derribo de la capa de ornamento.</w:t>
      </w:r>
    </w:p>
    <w:p>
      <w:r>
        <w:pict>
          <v:rect style="width:0;height:1.5pt" o:hralign="center" o:hrstd="t" o:hr="t"/>
        </w:pict>
      </w:r>
    </w:p>
    <w:bookmarkEnd w:id="190"/>
    <w:bookmarkEnd w:id="191"/>
    <w:bookmarkStart w:id="195" w:name="el-cocodrilo-del-nilo"/>
    <w:p>
      <w:pPr>
        <w:pStyle w:val="Heading2"/>
      </w:pPr>
      <w:r>
        <w:t xml:space="preserve">9. El Cocodrilo del Nilo</w:t>
      </w:r>
    </w:p>
    <w:p>
      <w:pPr>
        <w:pStyle w:val="BlockText"/>
      </w:pPr>
      <w:r>
        <w:rPr>
          <w:i/>
          <w:iCs/>
        </w:rPr>
        <w:t xml:space="preserve">El depredador de emboscada no gasta calorías en persecución; aguarda bajo la superficie hasta que el sediento comete el error de aproximación.</w:t>
      </w:r>
    </w:p>
    <w:p>
      <w:pPr>
        <w:pStyle w:val="SourceCode"/>
      </w:pPr>
      <w:r>
        <w:rPr>
          <w:rStyle w:val="VerbatimChar"/>
        </w:rPr>
        <w:t xml:space="preserve">Axioma de Anclaje: Axioma IV — El dolor supera al de cambiar.</w:t>
      </w:r>
      <w:r>
        <w:br/>
      </w:r>
      <w:r>
        <w:rPr>
          <w:rStyle w:val="VerbatimChar"/>
        </w:rPr>
        <w:t xml:space="preserve">El cocodrilo del Nilo es el conservador supremo de exergía: cero gasto térmico hasta el colapso del vector de la presa.</w:t>
      </w:r>
    </w:p>
    <w:p>
      <w:r>
        <w:pict>
          <v:rect style="width:0;height:1.5pt" o:hralign="center" o:hrstd="t" o:hr="t"/>
        </w:pict>
      </w:r>
    </w:p>
    <w:bookmarkStart w:id="192" w:name="la-economía-del-metabolismo-de-emboscada"/>
    <w:p>
      <w:pPr>
        <w:pStyle w:val="Heading3"/>
      </w:pPr>
      <w:r>
        <w:t xml:space="preserve">1. La Economía del Metabolismo de Emboscada</w:t>
      </w:r>
    </w:p>
    <w:p>
      <w:pPr>
        <w:pStyle w:val="FirstParagraph"/>
      </w:pPr>
      <w:r>
        <w:t xml:space="preserve">El cocodrilo del Nilo (</w:t>
      </w:r>
      <w:r>
        <w:rPr>
          <w:i/>
          <w:iCs/>
        </w:rPr>
        <w:t xml:space="preserve">Crocodylus niloticus</w:t>
      </w:r>
      <w:r>
        <w:t xml:space="preserve">) representa el triunfo de la arquitectura de gasto mínimo de energía. A diferencia del mamífero (el león o el leopardo), que disipa calorías del grueso de su masa en mantener la temperatura de la sangre a treinta y siete grados Celsius y en persecuciones a velocidad de impacto por la sabana, el cocodrilo permanece inmóvil como una piedra de río durante días.</w:t>
      </w:r>
    </w:p>
    <w:p>
      <w:pPr>
        <w:pStyle w:val="BodyText"/>
      </w:pPr>
      <w:r>
        <w:t xml:space="preserve">Su tasa metabólica de reposo es una fracción infinitesimal de la del mamífero. No busca la presa; aguarda en el abrevadero. El abrevadero es el punto de confluencia de la sed. Los primates y los ungulados necesitan beber para evitar la desecación metabólica. El cocodrilo convierte la necesidad de física ajena en su trampa de vectores.</w:t>
      </w:r>
    </w:p>
    <w:bookmarkEnd w:id="192"/>
    <w:bookmarkStart w:id="193" w:name="la-muerte-por-giro-de-arrastre"/>
    <w:p>
      <w:pPr>
        <w:pStyle w:val="Heading3"/>
      </w:pPr>
      <w:r>
        <w:t xml:space="preserve">2. La Muerte por Giro de Arrastre</w:t>
      </w:r>
    </w:p>
    <w:p>
      <w:pPr>
        <w:pStyle w:val="FirstParagraph"/>
      </w:pPr>
      <w:r>
        <w:t xml:space="preserve">El ataque del cocodrilo no es un acto de ira; es una ecuación de mecánica de fluidos y torque de fuerza. Al morder el cuerpo del primate sediento, el reptil ejecuta la maniobra del giro de muerte (</w:t>
      </w:r>
      <w:r>
        <w:rPr>
          <w:i/>
          <w:iCs/>
        </w:rPr>
        <w:t xml:space="preserve">death roll</w:t>
      </w:r>
      <w:r>
        <w:t xml:space="preserve">).</w:t>
      </w:r>
    </w:p>
    <w:p>
      <w:pPr>
        <w:pStyle w:val="BodyText"/>
      </w:pPr>
      <w:r>
        <w:t xml:space="preserve">El cocodrilo rota sobre su eje longitudinal en el agua, utilizando la inercia de la masa de su cola para romper la estructura del hueso del cuello y extremidades de la víctima sin consumo de reservas de glucógeno muscular. El primate intenta aplicar la fuerza de sus extremidades de tierra en un medio de líquido donde carece de tracción de apoyo (confusión del mapa con el territorio). Aquí se ejecuta como motor de colapso el</w:t>
      </w:r>
      <w:r>
        <w:t xml:space="preserve"> </w:t>
      </w:r>
      <w:r>
        <w:rPr>
          <w:b/>
          <w:bCs/>
        </w:rPr>
        <w:t xml:space="preserve">Axioma 28 (La solución intentada es el problema)</w:t>
      </w:r>
      <w:r>
        <w:t xml:space="preserve">: la retroalimentación del mono está descalibrada. Cuanto más patea para escapar, más oxígeno quema y más inercia cinética inyecta al giro de muerte del reptil. El regulador alimenta su propia extinción. El agua absorbe la señal de sonido. El depredador sumerge la presa y aguarda la anoxia de cerebro.</w:t>
      </w:r>
    </w:p>
    <w:p>
      <w:pPr>
        <w:pStyle w:val="BodyText"/>
      </w:pPr>
      <w:r>
        <w:t xml:space="preserve">En el mercado de finanzas y en el sistema de recaudación de Hacienda, las entidades de embargo operan bajo la misma geometría de emboscada de la</w:t>
      </w:r>
      <w:r>
        <w:t xml:space="preserve"> </w:t>
      </w:r>
      <w:r>
        <w:rPr>
          <w:b/>
          <w:bCs/>
        </w:rPr>
        <w:t xml:space="preserve">Tragedia de los Comunes (Axioma 52)</w:t>
      </w:r>
      <w:r>
        <w:t xml:space="preserve"> </w:t>
      </w:r>
      <w:r>
        <w:t xml:space="preserve">cruzada con depredación por fricción. No persiguen al primate de trabajo; aguardan en el cuello de botella de la liquidación de patrimonio. El intento de resistencia del primate atrapado en la mandíbula del formulario de liquidación genera mayor torque de destrucción sobre sus propias reservas de capital.</w:t>
      </w:r>
    </w:p>
    <w:bookmarkEnd w:id="193"/>
    <w:bookmarkStart w:id="194" w:name="audio-anclaje-18"/>
    <w:p>
      <w:pPr>
        <w:pStyle w:val="Heading3"/>
      </w:pPr>
      <w:r>
        <w:t xml:space="preserve">3. Audio-Anclaje</w:t>
      </w:r>
    </w:p>
    <w:p>
      <w:pPr>
        <w:pStyle w:val="Compact"/>
        <w:numPr>
          <w:ilvl w:val="0"/>
          <w:numId w:val="1069"/>
        </w:numPr>
      </w:pPr>
      <w:r>
        <w:rPr>
          <w:b/>
          <w:bCs/>
        </w:rPr>
        <w:t xml:space="preserve">King Crimson</w:t>
      </w:r>
      <w:r>
        <w:t xml:space="preserve"> </w:t>
      </w:r>
      <w:r>
        <w:t xml:space="preserve">—</w:t>
      </w:r>
      <w:r>
        <w:t xml:space="preserve"> </w:t>
      </w:r>
      <w:r>
        <w:rPr>
          <w:i/>
          <w:iCs/>
        </w:rPr>
        <w:t xml:space="preserve">“Larks’ Tongues in Aspic, Part Two”</w:t>
      </w:r>
      <w:r>
        <w:t xml:space="preserve"> </w:t>
      </w:r>
      <w:r>
        <w:t xml:space="preserve">(</w:t>
      </w:r>
      <w:r>
        <w:rPr>
          <w:i/>
          <w:iCs/>
        </w:rPr>
        <w:t xml:space="preserve">Larks’ Tongues in Aspic</w:t>
      </w:r>
      <w:r>
        <w:t xml:space="preserve">, 1973). La tensión de percusión metálica y agresión calculada en reposo antes del mordisco.</w:t>
      </w:r>
    </w:p>
    <w:p>
      <w:pPr>
        <w:pStyle w:val="Compact"/>
        <w:numPr>
          <w:ilvl w:val="0"/>
          <w:numId w:val="1069"/>
        </w:numPr>
      </w:pPr>
      <w:r>
        <w:rPr>
          <w:b/>
          <w:bCs/>
        </w:rPr>
        <w:t xml:space="preserve">Tool</w:t>
      </w:r>
      <w:r>
        <w:t xml:space="preserve"> </w:t>
      </w:r>
      <w:r>
        <w:t xml:space="preserve">—</w:t>
      </w:r>
      <w:r>
        <w:t xml:space="preserve"> </w:t>
      </w:r>
      <w:r>
        <w:rPr>
          <w:i/>
          <w:iCs/>
        </w:rPr>
        <w:t xml:space="preserve">“Forty Six &amp; 2”</w:t>
      </w:r>
      <w:r>
        <w:t xml:space="preserve"> </w:t>
      </w:r>
      <w:r>
        <w:t xml:space="preserve">(</w:t>
      </w:r>
      <w:r>
        <w:rPr>
          <w:i/>
          <w:iCs/>
        </w:rPr>
        <w:t xml:space="preserve">Ænima</w:t>
      </w:r>
      <w:r>
        <w:t xml:space="preserve">, 1996). La sombra que aguarda en la profundidad del estanque térmico para forzar la evolución o la extinción del nodo.</w:t>
      </w:r>
    </w:p>
    <w:p>
      <w:r>
        <w:pict>
          <v:rect style="width:0;height:1.5pt" o:hralign="center" o:hrstd="t" o:hr="t"/>
        </w:pict>
      </w:r>
    </w:p>
    <w:bookmarkEnd w:id="194"/>
    <w:bookmarkEnd w:id="195"/>
    <w:bookmarkEnd w:id="196"/>
    <w:bookmarkStart w:id="245" w:name="Xd15dfbc8b8730f3ff66467a34d8ef7d6945a186"/>
    <w:p>
      <w:pPr>
        <w:pStyle w:val="Heading1"/>
      </w:pPr>
      <w:r>
        <w:t xml:space="preserve">CAPÍTULO V: LA HUELLA VALE MÁS QUE EL DISCURSO</w:t>
      </w:r>
    </w:p>
    <w:bookmarkStart w:id="197" w:name="X464d2b91e8d34f529b2a40ce86c1dbf584ac512"/>
    <w:p>
      <w:pPr>
        <w:pStyle w:val="Heading2"/>
      </w:pPr>
      <w:r>
        <w:t xml:space="preserve">Axioma V — Asimetría del Coste de Falsificación y Señales con Tasa de Exergía Superior</w:t>
      </w:r>
    </w:p>
    <w:p>
      <w:pPr>
        <w:pStyle w:val="BlockText"/>
      </w:pPr>
      <w:r>
        <w:rPr>
          <w:i/>
          <w:iCs/>
        </w:rPr>
        <w:t xml:space="preserve">“Resulta que amor y conocimiento abundan, al menos para quien devuelva amor y conocimiento.”</w:t>
      </w:r>
      <w:r>
        <w:br/>
      </w:r>
      <w:r>
        <w:t xml:space="preserve">—</w:t>
      </w:r>
      <w:r>
        <w:t xml:space="preserve"> </w:t>
      </w:r>
      <w:r>
        <w:rPr>
          <w:b/>
          <w:bCs/>
        </w:rPr>
        <w:t xml:space="preserve">Antonio Escohotado</w:t>
      </w:r>
      <w:r>
        <w:t xml:space="preserve"> </w:t>
      </w:r>
      <w:r>
        <w:t xml:space="preserve">(</w:t>
      </w:r>
      <w:r>
        <w:rPr>
          <w:i/>
          <w:iCs/>
        </w:rPr>
        <w:t xml:space="preserve">Confesiones de un opiófilo</w:t>
      </w:r>
      <w:r>
        <w:t xml:space="preserve">, 2023)</w:t>
      </w:r>
    </w:p>
    <w:p>
      <w:pPr>
        <w:pStyle w:val="SourceCode"/>
      </w:pPr>
      <w:r>
        <w:rPr>
          <w:rStyle w:val="VerbatimChar"/>
        </w:rPr>
        <w:t xml:space="preserve">Audio-Anclaje: Radiohead — "Fake Plastic Trees" (1995) / Chet Baker — "My Funny Valentine" (1987)</w:t>
      </w:r>
      <w:r>
        <w:br/>
      </w:r>
      <w:r>
        <w:rPr>
          <w:rStyle w:val="VerbatimChar"/>
        </w:rPr>
        <w:t xml:space="preserve">Cota Fisiológica: I(θ; Σ_I) &gt;&gt; I(θ; Σ_V) ≈ 0</w:t>
      </w:r>
    </w:p>
    <w:p>
      <w:r>
        <w:pict>
          <v:rect style="width:0;height:1.5pt" o:hralign="center" o:hrstd="t" o:hr="t"/>
        </w:pict>
      </w:r>
    </w:p>
    <w:bookmarkEnd w:id="197"/>
    <w:bookmarkStart w:id="198" w:name="asimetría-del-coste-de-emisión"/>
    <w:p>
      <w:pPr>
        <w:pStyle w:val="Heading2"/>
      </w:pPr>
      <w:r>
        <w:t xml:space="preserve">1. Asimetría del Coste de Emisión</w:t>
      </w:r>
    </w:p>
    <w:p>
      <w:pPr>
        <w:pStyle w:val="FirstParagraph"/>
      </w:pPr>
      <w:r>
        <w:t xml:space="preserve">El espacio de señales de un sistema Σ = Σ_V ∪ Σ_I divide las emisiones voluntarias Σ_V (discurso) de las involuntarias Σ_I (huella física).</w:t>
      </w:r>
    </w:p>
    <w:p>
      <w:pPr>
        <w:pStyle w:val="BodyText"/>
      </w:pPr>
      <w:r>
        <w:t xml:space="preserve">La generación de Σ_V opera en régimen de señal barata (</w:t>
      </w:r>
      <w:r>
        <w:rPr>
          <w:i/>
          <w:iCs/>
        </w:rPr>
        <w:t xml:space="preserve">cheap talk</w:t>
      </w:r>
      <w:r>
        <w:t xml:space="preserve">): carece de coste diferencial de falsificación no reembolsable (asimetría de Spence-Zahavi). Emitir un enunciado o manipular una interfaz simbólica consume energía metabólica ordinaria, pero no impone una penalización termodinámica acoplada a la veracidad de la política θ. Por tanto, la entropía de manipulación es máxima y la información mutua I(θ; Σ_V) colapsa por asíntota hacia cero (K(σ_V) → 0).</w:t>
      </w:r>
    </w:p>
    <w:p>
      <w:pPr>
        <w:pStyle w:val="BodyText"/>
      </w:pPr>
      <w:r>
        <w:t xml:space="preserve">Por el contrario, la huella Σ_I opera como registro de reestructuración física irreversible del sustrato. La emisión involuntaria está acoplada de forma monótona a la disipación metabólica y al principio de Landauer para la reducción entrópica de estados (E ≥ k_B T ln 2). Falsificar Σ_I exige replicar la trayectoria termodinámica completa que produjo la deformación del material o el desgaste del tejido biológico. La fianza no reembolsable (</w:t>
      </w:r>
      <w:r>
        <w:rPr>
          <w:i/>
          <w:iCs/>
        </w:rPr>
        <w:t xml:space="preserve">escrow</w:t>
      </w:r>
      <w:r>
        <w:t xml:space="preserve">) del sustrato garantiza la separación estricta: I(θ; Σ_I) &gt;&gt; I(θ; Σ_V).</w:t>
      </w:r>
    </w:p>
    <w:p>
      <w:r>
        <w:pict>
          <v:rect style="width:0;height:1.5pt" o:hralign="center" o:hrstd="t" o:hr="t"/>
        </w:pict>
      </w:r>
    </w:p>
    <w:bookmarkEnd w:id="198"/>
    <w:bookmarkStart w:id="199" w:name="hechos-probados-3"/>
    <w:p>
      <w:pPr>
        <w:pStyle w:val="Heading2"/>
      </w:pPr>
      <w:r>
        <w:t xml:space="preserve">2. Hechos Probados</w:t>
      </w:r>
    </w:p>
    <w:p>
      <w:pPr>
        <w:pStyle w:val="FirstParagraph"/>
      </w:pPr>
      <w:r>
        <w:t xml:space="preserve"> </w:t>
      </w:r>
      <w:r>
        <w:t xml:space="preserve">### Caso 5.1: FTX y la Retórica del Altruismo Efectivo (2022)</w:t>
      </w:r>
      <w:r>
        <w:t xml:space="preserve"> </w:t>
      </w:r>
      <w:r>
        <w:t xml:space="preserve">Sam Bankman-Fried financió campañas políticas y emitió discursos sobre filantropía mientras desviaba</w:t>
      </w:r>
      <w:r>
        <w:t xml:space="preserve"> </w:t>
      </w:r>
      <w:r>
        <w:rPr>
          <w:rStyle w:val="VerbatimChar"/>
        </w:rPr>
        <w:t xml:space="preserve">$8.000M</w:t>
      </w:r>
      <w:r>
        <w:t xml:space="preserve"> </w:t>
      </w:r>
      <w:r>
        <w:t xml:space="preserve">de depósitos de clientes de FTX hacia Alameda Research.</w:t>
      </w:r>
      <w:r>
        <w:t xml:space="preserve"> </w:t>
      </w:r>
      <w:r>
        <w:t xml:space="preserve">- Ausencia de departamento contable; registros en chats temporales de Signal.</w:t>
      </w:r>
      <w:r>
        <w:t xml:space="preserve"> </w:t>
      </w:r>
      <w:r>
        <w:t xml:space="preserve">- Condena a Sam Bankman-Fried en marzo de 2024 por 7 cargos de fraude federal.</w:t>
      </w:r>
      <w:r>
        <w:t xml:space="preserve"> </w:t>
      </w:r>
      <w:r>
        <w:t xml:space="preserve">- Fuente primaria:</w:t>
      </w:r>
      <w:r>
        <w:t xml:space="preserve"> </w:t>
      </w:r>
      <w:r>
        <w:rPr>
          <w:i/>
          <w:iCs/>
        </w:rPr>
        <w:t xml:space="preserve">United States v. Samuel Bankman-Fried</w:t>
      </w:r>
      <w:r>
        <w:t xml:space="preserve">, Case No. 1:22-cr-00673-LAK (S.D.N.Y. 2024); First Interim Report of John J. Ray III,</w:t>
      </w:r>
      <w:r>
        <w:t xml:space="preserve"> </w:t>
      </w:r>
      <w:r>
        <w:rPr>
          <w:i/>
          <w:iCs/>
        </w:rPr>
        <w:t xml:space="preserve">In re FTX Trading Ltd.</w:t>
      </w:r>
      <w:r>
        <w:t xml:space="preserve">, Case No. 22-11068 (Bankr. D. Del. 2023).</w:t>
      </w:r>
    </w:p>
    <w:p>
      <w:pPr>
        <w:pStyle w:val="BodyText"/>
      </w:pPr>
      <w:r>
        <w:t xml:space="preserve"> </w:t>
      </w:r>
      <w:r>
        <w:t xml:space="preserve">### Caso 5.2: Glenn Gould y el Tarareo en la Grabación (1955-1981)</w:t>
      </w:r>
      <w:r>
        <w:t xml:space="preserve"> </w:t>
      </w:r>
      <w:r>
        <w:t xml:space="preserve">Glenn Gould grabó las</w:t>
      </w:r>
      <w:r>
        <w:t xml:space="preserve"> </w:t>
      </w:r>
      <w:r>
        <w:rPr>
          <w:i/>
          <w:iCs/>
        </w:rPr>
        <w:t xml:space="preserve">Variaciones Goldberg</w:t>
      </w:r>
      <w:r>
        <w:t xml:space="preserve"> </w:t>
      </w:r>
      <w:r>
        <w:t xml:space="preserve">(BWV 988) en 1955 y 1981; en ambas sesiones vocalizó en paralelo a la pulsación del piano. La huella acústica involuntaria reveló la arquitectura de procesamiento interno del intérprete.</w:t>
      </w:r>
      <w:r>
        <w:t xml:space="preserve"> </w:t>
      </w:r>
      <w:r>
        <w:t xml:space="preserve">- Narración completa y fuente primaria: §7.4.1 de este capítulo.</w:t>
      </w:r>
    </w:p>
    <w:p>
      <w:pPr>
        <w:pStyle w:val="BodyText"/>
      </w:pPr>
      <w:r>
        <w:t xml:space="preserve"> </w:t>
      </w:r>
      <w:r>
        <w:t xml:space="preserve">### Caso 5.3: Chet Baker y la Voz Destruida (1954-1988)</w:t>
      </w:r>
      <w:r>
        <w:t xml:space="preserve"> </w:t>
      </w:r>
      <w:r>
        <w:t xml:space="preserve">Las grabaciones tardías de Chet Baker (Tokio 1987) exponen una voz con fricción, subarmónicos y ruido de respiración: la pérdida del control retórico dejó al descubierto la temporización y el uso del silencio sin adorno técnico.</w:t>
      </w:r>
      <w:r>
        <w:t xml:space="preserve"> </w:t>
      </w:r>
      <w:r>
        <w:t xml:space="preserve">- Narración completa y fuente primaria: §7.6 de este capítulo.</w:t>
      </w:r>
    </w:p>
    <w:p>
      <w:pPr>
        <w:pStyle w:val="BodyText"/>
      </w:pPr>
      <w:r>
        <w:t xml:space="preserve"> </w:t>
      </w:r>
      <w:r>
        <w:t xml:space="preserve">### Caso 5.4: Rick Rubin, Johnny Cash y la Cirugía de Sustracción de «Hurt» (2002)</w:t>
      </w:r>
      <w:r>
        <w:t xml:space="preserve"> </w:t>
      </w:r>
      <w:r>
        <w:t xml:space="preserve">Trent Reznor (Nine Inch Nails) grabó</w:t>
      </w:r>
      <w:r>
        <w:t xml:space="preserve"> </w:t>
      </w:r>
      <w:r>
        <w:rPr>
          <w:i/>
          <w:iCs/>
        </w:rPr>
        <w:t xml:space="preserve">Hurt</w:t>
      </w:r>
      <w:r>
        <w:t xml:space="preserve"> </w:t>
      </w:r>
      <w:r>
        <w:t xml:space="preserve">(1994) mediante apilamiento de capas de sintetizadores, reverberación digital y ruido procesado. Rick Rubin desmanteló la producción en 2002 (</w:t>
      </w:r>
      <w:r>
        <w:rPr>
          <w:i/>
          <w:iCs/>
        </w:rPr>
        <w:t xml:space="preserve">American IV</w:t>
      </w:r>
      <w:r>
        <w:t xml:space="preserve">), reduciendo el arreglo a una guitarra acústica, un piano vertical y la toma vocal de Johnny Cash (70 años, afectado por neuropatía autonómica degenerativa terminal).</w:t>
      </w:r>
      <w:r>
        <w:t xml:space="preserve"> </w:t>
      </w:r>
      <w:r>
        <w:t xml:space="preserve">- La voz sin filtros, con formantes torácicos a 100 Hz y efecto de proximidad a tres centímetros del micrófono, transformó una composición de sufrimiento discursivo en una biopsia somática irreversible.</w:t>
      </w:r>
      <w:r>
        <w:t xml:space="preserve"> </w:t>
      </w:r>
      <w:r>
        <w:t xml:space="preserve">- Narración completa y fuente primaria: §7.9 de este capítulo.</w:t>
      </w:r>
    </w:p>
    <w:p>
      <w:pPr>
        <w:pStyle w:val="BodyText"/>
      </w:pPr>
      <w:r>
        <w:t xml:space="preserve"> </w:t>
      </w:r>
      <w:r>
        <w:t xml:space="preserve">### Caso 5.5: Rick Rubin, Radiohead y la Incompatibilidad de Operadores (1997-2007)</w:t>
      </w:r>
      <w:r>
        <w:t xml:space="preserve"> </w:t>
      </w:r>
      <w:r>
        <w:t xml:space="preserve">La consulta habitual sobre la ausencia de cruce entre Rick Rubin y Radiohead genera perplejidad discursiva (</w:t>
      </w:r>
      <w:r>
        <w:t xml:space="preserve">“qué raro”</w:t>
      </w:r>
      <w:r>
        <w:t xml:space="preserve">). La explicación comercial recurre a adjetivos psicológicos (</w:t>
      </w:r>
      <w:r>
        <w:t xml:space="preserve">“banda cerebral”</w:t>
      </w:r>
      <w:r>
        <w:t xml:space="preserve">,</w:t>
      </w:r>
      <w:r>
        <w:t xml:space="preserve"> </w:t>
      </w:r>
      <w:r>
        <w:t xml:space="preserve">“guía espiritual”</w:t>
      </w:r>
      <w:r>
        <w:t xml:space="preserve">) y al azar alquímico. El análisis de sistemas demuestra la ortogonalidad en el espacio de fases: el operador de Rubin actúa como clasificador binario O(1) de sustracción en el dominio temporal (</w:t>
      </w:r>
      <w:r>
        <w:t xml:space="preserve">“la sustracción vence a la adición”</w:t>
      </w:r>
      <w:r>
        <w:t xml:space="preserve">); el operador de Nigel Godrich y Radiohead actúa como transductor espectral multivariable y no lineal (síntesis granular, distorsión armónica analógica y automatización de filtros). El producto interno colapsa a cero: ⟨ Operador_Rubin | Operador_Radiohead ⟩ → 0.</w:t>
      </w:r>
      <w:r>
        <w:t xml:space="preserve"> </w:t>
      </w:r>
      <w:r>
        <w:t xml:space="preserve">- Narración completa y fuentes primarias: §7.10 de este capítulo.</w:t>
      </w:r>
    </w:p>
    <w:p>
      <w:pPr>
        <w:pStyle w:val="BodyText"/>
      </w:pPr>
      <w:r>
        <w:t xml:space="preserve"> </w:t>
      </w:r>
      <w:r>
        <w:t xml:space="preserve">### Caso 5.6: Deantoni Parks y el Technoself: La Soberanía del Wetware sobre el Reloj de Silicio (2015-2026)</w:t>
      </w:r>
      <w:r>
        <w:t xml:space="preserve"> </w:t>
      </w:r>
      <w:r>
        <w:t xml:space="preserve">Deantoni Parks ejecuta batería acústica con una extremidad y control de sampler digital en tiempo real con la otra, con prohibición de secuenciadores automáticos, cuantización de software (beatgrid) y reloj maestro MIDI. La definición institucional de</w:t>
      </w:r>
      <w:r>
        <w:t xml:space="preserve"> </w:t>
      </w:r>
      <w:r>
        <w:t xml:space="preserve">“tecnólogo”</w:t>
      </w:r>
      <w:r>
        <w:t xml:space="preserve"> </w:t>
      </w:r>
      <w:r>
        <w:t xml:space="preserve">confunde al operario de protocolo (mantenimiento de interfaces ajenas) con el transductor de frontera (téchne + lógos). El Technoself invierte la jerarquía: el silicio opera como actuador sin memoria intermedia (buffer = 0 ms), subordinado al reloj oscilatorio neuromuscular del organismo biológico (wetware, Ring -3).</w:t>
      </w:r>
      <w:r>
        <w:t xml:space="preserve"> </w:t>
      </w:r>
      <w:r>
        <w:t xml:space="preserve">- Narración completa y fuentes primarias: §7.11 de este capítulo.</w:t>
      </w:r>
    </w:p>
    <w:p>
      <w:pPr>
        <w:pStyle w:val="BodyText"/>
      </w:pPr>
      <w:r>
        <w:t xml:space="preserve"> </w:t>
      </w:r>
      <w:r>
        <w:t xml:space="preserve">### Caso 5.7: James Rhodes y la Filantropía de Escaparate (El Desahucio de Retiro, 2026)</w:t>
      </w:r>
      <w:r>
        <w:t xml:space="preserve"> </w:t>
      </w:r>
      <w:r>
        <w:t xml:space="preserve">El 23 de septiembre de 2026, la empresa Urbagestión ejecutó el desahucio de Maricarmen Abascal (87 años, 50% de discapacidad) en el distrito Retiro de Madrid con despliegue de antidisturbios y evacuación de la inquilina en camilla por SAMUR. El 24 de septiembre, James Rhodes compareció en el programa matinal</w:t>
      </w:r>
      <w:r>
        <w:t xml:space="preserve"> </w:t>
      </w:r>
      <w:r>
        <w:rPr>
          <w:i/>
          <w:iCs/>
        </w:rPr>
        <w:t xml:space="preserve">La hora de La 1</w:t>
      </w:r>
      <w:r>
        <w:t xml:space="preserve"> </w:t>
      </w:r>
      <w:r>
        <w:t xml:space="preserve">de TVE, relatando gestiones telefónicas sin coste y anunciando la búsqueda de un piso. El dispositivo de filantropía de escaparate expone la asimetría de Spence-Zahavi (Axioma V): emisión en canal voluntario Σ_V a coste térmico cero frente a la huella física involuntaria Σ_I del desalojo policial pagada en el tejido biológico de la afectada.</w:t>
      </w:r>
      <w:r>
        <w:t xml:space="preserve"> </w:t>
      </w:r>
      <w:r>
        <w:t xml:space="preserve">- Narración completa y fuentes primarias: §7.12 de este capítulo.</w:t>
      </w:r>
    </w:p>
    <w:p>
      <w:r>
        <w:pict>
          <v:rect style="width:0;height:1.5pt" o:hralign="center" o:hrstd="t" o:hr="t"/>
        </w:pict>
      </w:r>
    </w:p>
    <w:bookmarkEnd w:id="199"/>
    <w:bookmarkStart w:id="200" w:name="Xa1108cea8b7ea396d8ffe4432abc32ac7304ad7"/>
    <w:p>
      <w:pPr>
        <w:pStyle w:val="Heading2"/>
      </w:pPr>
      <w:r>
        <w:t xml:space="preserve">3. La Física de la Emisión y el Modelo de Kuramoto</w:t>
      </w:r>
    </w:p>
    <w:p>
      <w:pPr>
        <w:pStyle w:val="FirstParagraph"/>
      </w:pPr>
      <w:r>
        <w:t xml:space="preserve">La acumulación de información sin transmisión genera saturación de memoria en el nodo. El individuo que demanda atención sin emitir trabajo opera como un consumidor de entropía.</w:t>
      </w:r>
    </w:p>
    <w:p>
      <w:pPr>
        <w:pStyle w:val="BodyText"/>
      </w:pPr>
      <w:r>
        <w:t xml:space="preserve">Antonio Escohotado identificó la propiedad del intercambio: el conocimiento y el afecto aumentan su densidad mediante la emisión. La razón radica en la arquitectura del canal:</w:t>
      </w:r>
    </w:p>
    <w:p>
      <w:pPr>
        <w:numPr>
          <w:ilvl w:val="0"/>
          <w:numId w:val="1070"/>
        </w:numPr>
      </w:pPr>
      <w:r>
        <w:rPr>
          <w:b/>
          <w:bCs/>
        </w:rPr>
        <w:t xml:space="preserve">Conservación de masa frente a Información:</w:t>
      </w:r>
      <w:r>
        <w:t xml:space="preserve"> </w:t>
      </w:r>
      <w:r>
        <w:t xml:space="preserve">El dinero es una magnitud escalar con conservación de suma cero (Σ X_i = constante). La información es una configuración de estados. Transmitir una configuración no disminuye la información del emisor; duplica la representación en la red.</w:t>
      </w:r>
    </w:p>
    <w:p>
      <w:pPr>
        <w:numPr>
          <w:ilvl w:val="0"/>
          <w:numId w:val="1070"/>
        </w:numPr>
      </w:pPr>
      <w:r>
        <w:rPr>
          <w:b/>
          <w:bCs/>
        </w:rPr>
        <w:t xml:space="preserve">Sincronización de Fase (Modelo de Kuramoto):</w:t>
      </w:r>
      <w:r>
        <w:t xml:space="preserve"> </w:t>
      </w:r>
      <w:r>
        <w:t xml:space="preserve">La interacción entre dos agentes no responde a la atracción mística. Responde al acoplamiento de osciladores de fase θ_i del modelo de Kuramoto. Dos nodos con matrices de covarianza compatibles reducen la divergencia KL en sus estados sensoriales, minimizando el gasto de cómputo conjunto. La derivación completa del modelo, con su diagrama de red, figura en el Capítulo VI (§3.2).</w:t>
      </w:r>
    </w:p>
    <w:p>
      <w:pPr>
        <w:numPr>
          <w:ilvl w:val="0"/>
          <w:numId w:val="1070"/>
        </w:numPr>
      </w:pPr>
      <w:r>
        <w:rPr>
          <w:b/>
          <w:bCs/>
        </w:rPr>
        <w:t xml:space="preserve">Aristóteles y Fromm sin Metafísica:</w:t>
      </w:r>
      <w:r>
        <w:t xml:space="preserve"> </w:t>
      </w:r>
      <w:r>
        <w:t xml:space="preserve">La</w:t>
      </w:r>
      <w:r>
        <w:t xml:space="preserve"> </w:t>
      </w:r>
      <w:r>
        <w:rPr>
          <w:i/>
          <w:iCs/>
        </w:rPr>
        <w:t xml:space="preserve">eudaimonía</w:t>
      </w:r>
      <w:r>
        <w:t xml:space="preserve"> </w:t>
      </w:r>
      <w:r>
        <w:t xml:space="preserve">aristotélica no es un estado emocional. Es la ejecución continuada de funciones de estado óptimas. Fromm definió el amor como acto, no como afecto pasivo: el trabajo del emisor determina la viabilidad del canal.</w:t>
      </w:r>
    </w:p>
    <w:p>
      <w:r>
        <w:pict>
          <v:rect style="width:0;height:1.5pt" o:hralign="center" o:hrstd="t" o:hr="t"/>
        </w:pict>
      </w:r>
    </w:p>
    <w:bookmarkEnd w:id="200"/>
    <w:bookmarkStart w:id="202" w:name="algoritmo-c5-de-auditoría-de-nodos-x_r"/>
    <w:p>
      <w:pPr>
        <w:pStyle w:val="Heading2"/>
      </w:pPr>
      <w:r>
        <w:t xml:space="preserve">4. Algoritmo C5 de Auditoría de Nodos (X_R)</w:t>
      </w:r>
    </w:p>
    <w:p>
      <w:pPr>
        <w:pStyle w:val="FirstParagraph"/>
      </w:pPr>
      <w:r>
        <w:t xml:space="preserve">Para clasificar cualquier agente, empresa o sistema en la red, se evalúa el Coeficiente de Exergía Relacional X_R:</w:t>
      </w:r>
    </w:p>
    <w:p>
      <w:pPr>
        <w:pStyle w:val="BodyText"/>
      </w:pPr>
      <w:r>
        <w:t xml:space="preserve">X_R = (I(Θ; Σ_I) · Work(a)) / (K(σ_V) + ΔS_inyectada)</w:t>
      </w:r>
    </w:p>
    <w:bookmarkStart w:id="201" w:name="matriz-de-clasificación-de-nodos"/>
    <w:p>
      <w:pPr>
        <w:pStyle w:val="Heading3"/>
      </w:pPr>
      <w:r>
        <w:t xml:space="preserve">Matriz de Clasificación de Nodos:</w:t>
      </w:r>
    </w:p>
    <w:p>
      <w:pPr>
        <w:pStyle w:val="SourceCode"/>
      </w:pPr>
      <w:r>
        <w:rPr>
          <w:rStyle w:val="VerbatimChar"/>
        </w:rPr>
        <w:t xml:space="preserve">                      I(Θ; Σ_I)  (Señal Involuntaria)</w:t>
      </w:r>
      <w:r>
        <w:br/>
      </w:r>
      <w:r>
        <w:rPr>
          <w:rStyle w:val="VerbatimChar"/>
        </w:rPr>
        <w:t xml:space="preserve">                          ^</w:t>
      </w:r>
      <w:r>
        <w:br/>
      </w:r>
      <w:r>
        <w:rPr>
          <w:rStyle w:val="VerbatimChar"/>
        </w:rPr>
        <w:t xml:space="preserve">                          |</w:t>
      </w:r>
      <w:r>
        <w:br/>
      </w:r>
      <w:r>
        <w:rPr>
          <w:rStyle w:val="VerbatimChar"/>
        </w:rPr>
        <w:t xml:space="preserve">   [ NODO RECEPTOR ]      |      [ NODO EMISOR C5 ]</w:t>
      </w:r>
      <w:r>
        <w:br/>
      </w:r>
      <w:r>
        <w:rPr>
          <w:rStyle w:val="VerbatimChar"/>
        </w:rPr>
        <w:t xml:space="preserve">   Absorbe señal          |      Genera gradiente</w:t>
      </w:r>
      <w:r>
        <w:br/>
      </w:r>
      <w:r>
        <w:rPr>
          <w:rStyle w:val="VerbatimChar"/>
        </w:rPr>
        <w:t xml:space="preserve">   Procesa con Fisher     |      Reduce Variational Free Energy</w:t>
      </w:r>
      <w:r>
        <w:br/>
      </w:r>
      <w:r>
        <w:rPr>
          <w:rStyle w:val="VerbatimChar"/>
        </w:rPr>
        <w:t xml:space="preserve">                          |</w:t>
      </w:r>
      <w:r>
        <w:br/>
      </w:r>
      <w:r>
        <w:rPr>
          <w:rStyle w:val="VerbatimChar"/>
        </w:rPr>
        <w:t xml:space="preserve">   -----------------------+-----------------------&gt; K(σ_V) (Retórica)</w:t>
      </w:r>
      <w:r>
        <w:br/>
      </w:r>
      <w:r>
        <w:rPr>
          <w:rStyle w:val="VerbatimChar"/>
        </w:rPr>
        <w:t xml:space="preserve">                          |</w:t>
      </w:r>
      <w:r>
        <w:br/>
      </w:r>
      <w:r>
        <w:rPr>
          <w:rStyle w:val="VerbatimChar"/>
        </w:rPr>
        <w:t xml:space="preserve">   [ NODO ALUCINATORIO ]  |      [ SUMIDERO ENTRÓPICO ]</w:t>
      </w:r>
      <w:r>
        <w:br/>
      </w:r>
      <w:r>
        <w:rPr>
          <w:rStyle w:val="VerbatimChar"/>
        </w:rPr>
        <w:t xml:space="preserve">   Ker(C) != 0            |      Consume exergía</w:t>
      </w:r>
      <w:r>
        <w:br/>
      </w:r>
      <w:r>
        <w:rPr>
          <w:rStyle w:val="VerbatimChar"/>
        </w:rPr>
        <w:t xml:space="preserve">   Anergía semántica      |      Bucle de Watzlawick</w:t>
      </w:r>
      <w:r>
        <w:br/>
      </w:r>
      <w:r>
        <w:rPr>
          <w:rStyle w:val="VerbatimChar"/>
        </w:rPr>
        <w:t xml:space="preserve">                          |</w:t>
      </w:r>
    </w:p>
    <w:p>
      <w:pPr>
        <w:pStyle w:val="Compact"/>
        <w:numPr>
          <w:ilvl w:val="0"/>
          <w:numId w:val="1071"/>
        </w:numPr>
      </w:pPr>
      <w:r>
        <w:rPr>
          <w:b/>
          <w:bCs/>
        </w:rPr>
        <w:t xml:space="preserve">Nodo Emisor (X_R &gt; 1):</w:t>
      </w:r>
      <w:r>
        <w:t xml:space="preserve"> </w:t>
      </w:r>
      <w:r>
        <w:t xml:space="preserve">Produce trabajo de compresión, ejecuta borrado irreversible de entropía del sistema (E ≥ k_B T ln 2), reduce la energía libre total. (Ej: Escohotado, Gould, Bach, código Rust</w:t>
      </w:r>
      <w:r>
        <w:t xml:space="preserve"> </w:t>
      </w:r>
      <w:r>
        <w:rPr>
          <w:i/>
          <w:iCs/>
        </w:rPr>
        <w:t xml:space="preserve">bare-metal</w:t>
      </w:r>
      <w:r>
        <w:t xml:space="preserve">).</w:t>
      </w:r>
    </w:p>
    <w:p>
      <w:pPr>
        <w:pStyle w:val="Compact"/>
        <w:numPr>
          <w:ilvl w:val="0"/>
          <w:numId w:val="1071"/>
        </w:numPr>
      </w:pPr>
      <w:r>
        <w:rPr>
          <w:b/>
          <w:bCs/>
        </w:rPr>
        <w:t xml:space="preserve">Nodo Receptor Simbiótico (0 &lt; X_R ≤ 1):</w:t>
      </w:r>
      <w:r>
        <w:t xml:space="preserve"> </w:t>
      </w:r>
      <w:r>
        <w:t xml:space="preserve">Absorbe información y posee la métrica de Fisher adecuada para procesar y devolver la geodésica.</w:t>
      </w:r>
    </w:p>
    <w:p>
      <w:pPr>
        <w:pStyle w:val="Compact"/>
        <w:numPr>
          <w:ilvl w:val="0"/>
          <w:numId w:val="1071"/>
        </w:numPr>
      </w:pPr>
      <w:r>
        <w:rPr>
          <w:b/>
          <w:bCs/>
        </w:rPr>
        <w:t xml:space="preserve">Sumidero Entrópico (X_R &lt; 0):</w:t>
      </w:r>
      <w:r>
        <w:t xml:space="preserve"> </w:t>
      </w:r>
      <w:r>
        <w:t xml:space="preserve">Consume atención/recursos, emite retórica a coste cero (K(σ_V) → 0), inyecta ruido de fase descalibrado. (Ej: El mercado de fármacos para la ansiedad que mimetizan la abstinencia, la consultoría de PowerPoint).</w:t>
      </w:r>
    </w:p>
    <w:p>
      <w:pPr>
        <w:pStyle w:val="Compact"/>
        <w:numPr>
          <w:ilvl w:val="0"/>
          <w:numId w:val="1071"/>
        </w:numPr>
      </w:pPr>
      <w:r>
        <w:rPr>
          <w:b/>
          <w:bCs/>
        </w:rPr>
        <w:t xml:space="preserve">Nodo Alucinatorio (X_R → -∞):</w:t>
      </w:r>
      <w:r>
        <w:t xml:space="preserve"> </w:t>
      </w:r>
      <w:r>
        <w:t xml:space="preserve">Emite masa semántica positiva desconectada del territorio (Ker(C) ≠ 0).</w:t>
      </w:r>
    </w:p>
    <w:p>
      <w:r>
        <w:pict>
          <v:rect style="width:0;height:1.5pt" o:hralign="center" o:hrstd="t" o:hr="t"/>
        </w:pict>
      </w:r>
    </w:p>
    <w:bookmarkEnd w:id="201"/>
    <w:bookmarkEnd w:id="202"/>
    <w:bookmarkStart w:id="205" w:name="Xeb62d11d02214718652184feca29c3f4fd2bc99"/>
    <w:p>
      <w:pPr>
        <w:pStyle w:val="Heading2"/>
      </w:pPr>
      <w:r>
        <w:t xml:space="preserve">5. Deconstrucción de la Autoayuda y la Psicología</w:t>
      </w:r>
    </w:p>
    <w:p>
      <w:pPr>
        <w:pStyle w:val="FirstParagraph"/>
      </w:pPr>
      <w:r>
        <w:t xml:space="preserve">La literatura de autoayuda emite proposiciones de la forma</w:t>
      </w:r>
      <w:r>
        <w:t xml:space="preserve"> </w:t>
      </w:r>
      <w:r>
        <w:t xml:space="preserve">“debes ser emisor de bien”</w:t>
      </w:r>
      <w:r>
        <w:t xml:space="preserve"> </w:t>
      </w:r>
      <w:r>
        <w:t xml:space="preserve">o</w:t>
      </w:r>
      <w:r>
        <w:t xml:space="preserve"> </w:t>
      </w:r>
      <w:r>
        <w:t xml:space="preserve">“ejecuta el hábito X”</w:t>
      </w:r>
      <w:r>
        <w:t xml:space="preserve">. Este formato presenta tres fallos de arquitectura:</w:t>
      </w:r>
    </w:p>
    <w:p>
      <w:pPr>
        <w:numPr>
          <w:ilvl w:val="0"/>
          <w:numId w:val="1072"/>
        </w:numPr>
      </w:pPr>
      <w:r>
        <w:rPr>
          <w:b/>
          <w:bCs/>
        </w:rPr>
        <w:t xml:space="preserve">Ignorancia del Pozo de Potencial (Axioma IV):</w:t>
      </w:r>
      <w:r>
        <w:t xml:space="preserve"> </w:t>
      </w:r>
      <w:r>
        <w:t xml:space="preserve">Un agente no modifica su conducta mediante imperativos morales. La conducta es un mínimo local en la superficie de energía libre. La modificación requiere alterar la matriz de fricción (incremento de T_eff) o reducir la barrera de reestructuración (ΔG‡).</w:t>
      </w:r>
    </w:p>
    <w:p>
      <w:pPr>
        <w:numPr>
          <w:ilvl w:val="0"/>
          <w:numId w:val="1072"/>
        </w:numPr>
      </w:pPr>
      <w:r>
        <w:rPr>
          <w:b/>
          <w:bCs/>
        </w:rPr>
        <w:t xml:space="preserve">Evaluación por Discurso frente a Huella (Axioma V):</w:t>
      </w:r>
      <w:r>
        <w:t xml:space="preserve"> </w:t>
      </w:r>
      <w:r>
        <w:t xml:space="preserve">Los</w:t>
      </w:r>
      <w:r>
        <w:t xml:space="preserve"> </w:t>
      </w:r>
      <w:r>
        <w:t xml:space="preserve">“planes de hábitos semanales”</w:t>
      </w:r>
      <w:r>
        <w:t xml:space="preserve"> </w:t>
      </w:r>
      <w:r>
        <w:t xml:space="preserve">operan sobre la declaración del sujeto (discurso, coste cero). La transformación real exige modificar las invariantes físicas del entorno (sustrato de trabajo, horarios, aislamiento de interferencias).</w:t>
      </w:r>
    </w:p>
    <w:p>
      <w:pPr>
        <w:numPr>
          <w:ilvl w:val="0"/>
          <w:numId w:val="1072"/>
        </w:numPr>
      </w:pPr>
      <w:r>
        <w:rPr>
          <w:b/>
          <w:bCs/>
        </w:rPr>
        <w:t xml:space="preserve">La Falsa Reciprocidad sin Métrica:</w:t>
      </w:r>
      <w:r>
        <w:t xml:space="preserve"> </w:t>
      </w:r>
      <w:r>
        <w:t xml:space="preserve">La</w:t>
      </w:r>
      <w:r>
        <w:t xml:space="preserve"> </w:t>
      </w:r>
      <w:r>
        <w:t xml:space="preserve">“amistad por virtud”</w:t>
      </w:r>
      <w:r>
        <w:t xml:space="preserve"> </w:t>
      </w:r>
      <w:r>
        <w:t xml:space="preserve">descrita en la Ética a Nicómaco equivale a la sincronización de osciladores en el modelo de Kuramoto (K &gt; K_c). Sin alineación en la matriz de covarianza, la recomendación de</w:t>
      </w:r>
      <w:r>
        <w:t xml:space="preserve"> </w:t>
      </w:r>
      <w:r>
        <w:t xml:space="preserve">“entregar atención completa”</w:t>
      </w:r>
      <w:r>
        <w:t xml:space="preserve"> </w:t>
      </w:r>
      <w:r>
        <w:t xml:space="preserve">genera agotamiento de memoria en el emisor sin respuesta en el receptor.</w:t>
      </w:r>
    </w:p>
    <w:bookmarkStart w:id="204" w:name="X0c60b915bf5997c8ee016957d0f0f3aa6b5cf85"/>
    <w:p>
      <w:pPr>
        <w:pStyle w:val="Heading3"/>
      </w:pPr>
      <w:r>
        <w:t xml:space="preserve">Tabla Comparativa: La Semana de la Nata frente a la Semana de la Exergía</w:t>
      </w:r>
    </w:p>
    <w:p>
      <w:pPr>
        <w:pStyle w:val="SourceCode"/>
      </w:pPr>
      <w:r>
        <w:rPr>
          <w:rStyle w:val="VerbatimChar"/>
        </w:rPr>
        <w:t xml:space="preserve">+-----------------------------------------------------------------------------------+</w:t>
      </w:r>
      <w:r>
        <w:br/>
      </w:r>
      <w:r>
        <w:rPr>
          <w:rStyle w:val="VerbatimChar"/>
        </w:rPr>
        <w:t xml:space="preserve">|  DÍA      |  LA SEMANA DE LA NATA (Slop)  |  LA SEMANA DE LA EXERGÍA (C5-REAL)      |</w:t>
      </w:r>
      <w:r>
        <w:br/>
      </w:r>
      <w:r>
        <w:rPr>
          <w:rStyle w:val="VerbatimChar"/>
        </w:rPr>
        <w:t xml:space="preserve">+-----------------------------------------------------------------------------------+</w:t>
      </w:r>
      <w:r>
        <w:br/>
      </w:r>
      <w:r>
        <w:rPr>
          <w:rStyle w:val="VerbatimChar"/>
        </w:rPr>
        <w:t xml:space="preserve">| Lunes     | El Regalo del Tiempo         | Aislamiento de Canal y Latencia Cero       |</w:t>
      </w:r>
      <w:r>
        <w:br/>
      </w:r>
      <w:r>
        <w:rPr>
          <w:rStyle w:val="VerbatimChar"/>
        </w:rPr>
        <w:t xml:space="preserve">| Martes    | El Traspaso del Saber        | Transmisión de Geodésicas de Fisher        |</w:t>
      </w:r>
      <w:r>
        <w:br/>
      </w:r>
      <w:r>
        <w:rPr>
          <w:rStyle w:val="VerbatimChar"/>
        </w:rPr>
        <w:t xml:space="preserve">| Miércoles | La Palabra Alquímica         | Reconocimiento de Trabajo sin Adjetivos    |</w:t>
      </w:r>
      <w:r>
        <w:br/>
      </w:r>
      <w:r>
        <w:rPr>
          <w:rStyle w:val="VerbatimChar"/>
        </w:rPr>
        <w:t xml:space="preserve">| Jueves    | El Impulso Silencioso        | Emisión de Alta Exergía sin Retórica       |</w:t>
      </w:r>
      <w:r>
        <w:br/>
      </w:r>
      <w:r>
        <w:rPr>
          <w:rStyle w:val="VerbatimChar"/>
        </w:rPr>
        <w:t xml:space="preserve">| Viernes   | El Puente de la Empatía      | Muestreo del Complemento Ortogonal         |</w:t>
      </w:r>
      <w:r>
        <w:br/>
      </w:r>
      <w:r>
        <w:rPr>
          <w:rStyle w:val="VerbatimChar"/>
        </w:rPr>
        <w:t xml:space="preserve">| Sábado    | La Curiosidad Humilde        | Falsación Popperiana de Presunciones       |</w:t>
      </w:r>
      <w:r>
        <w:br/>
      </w:r>
      <w:r>
        <w:rPr>
          <w:rStyle w:val="VerbatimChar"/>
        </w:rPr>
        <w:t xml:space="preserve">| Domingo   | El Cierre del Círculo        | Atestación Merkle y Auditoría de Balance   |</w:t>
      </w:r>
      <w:r>
        <w:br/>
      </w:r>
      <w:r>
        <w:rPr>
          <w:rStyle w:val="VerbatimChar"/>
        </w:rPr>
        <w:t xml:space="preserve">+-----------------------------------------------------------------------------------+</w:t>
      </w:r>
    </w:p>
    <w:bookmarkStart w:id="203" w:name="protocolo-físico-de-los-7-días"/>
    <w:p>
      <w:pPr>
        <w:pStyle w:val="Heading4"/>
      </w:pPr>
      <w:r>
        <w:t xml:space="preserve">Protocolo Físico de los 7 Días:</w:t>
      </w:r>
    </w:p>
    <w:p>
      <w:pPr>
        <w:pStyle w:val="Compact"/>
        <w:numPr>
          <w:ilvl w:val="0"/>
          <w:numId w:val="1073"/>
        </w:numPr>
      </w:pPr>
      <w:r>
        <w:rPr>
          <w:b/>
          <w:bCs/>
        </w:rPr>
        <w:t xml:space="preserve">Lunes (Aislamiento de Canal):</w:t>
      </w:r>
      <w:r>
        <w:t xml:space="preserve"> </w:t>
      </w:r>
      <w:r>
        <w:t xml:space="preserve">Desacoplamiento de dispositivos con fricción entrópica elevada. Reducción de la frecuencia de interrupción a 0 Hz.</w:t>
      </w:r>
    </w:p>
    <w:p>
      <w:pPr>
        <w:pStyle w:val="Compact"/>
        <w:numPr>
          <w:ilvl w:val="0"/>
          <w:numId w:val="1073"/>
        </w:numPr>
      </w:pPr>
      <w:r>
        <w:rPr>
          <w:b/>
          <w:bCs/>
        </w:rPr>
        <w:t xml:space="preserve">Martes (Geodésica de Fisher):</w:t>
      </w:r>
      <w:r>
        <w:t xml:space="preserve"> </w:t>
      </w:r>
      <w:r>
        <w:t xml:space="preserve">Transferencia de compresión informacional para reducir la divergencia KL en el nodo receptor.</w:t>
      </w:r>
    </w:p>
    <w:p>
      <w:pPr>
        <w:pStyle w:val="Compact"/>
        <w:numPr>
          <w:ilvl w:val="0"/>
          <w:numId w:val="1073"/>
        </w:numPr>
      </w:pPr>
      <w:r>
        <w:rPr>
          <w:b/>
          <w:bCs/>
        </w:rPr>
        <w:t xml:space="preserve">Miércoles (Trabajo Real):</w:t>
      </w:r>
      <w:r>
        <w:t xml:space="preserve"> </w:t>
      </w:r>
      <w:r>
        <w:t xml:space="preserve">Verificación de la huella de trabajo sin inyección de adjetivos calificativos parásitos.</w:t>
      </w:r>
    </w:p>
    <w:p>
      <w:pPr>
        <w:pStyle w:val="Compact"/>
        <w:numPr>
          <w:ilvl w:val="0"/>
          <w:numId w:val="1073"/>
        </w:numPr>
      </w:pPr>
      <w:r>
        <w:rPr>
          <w:b/>
          <w:bCs/>
        </w:rPr>
        <w:t xml:space="preserve">Jueves (Emisión con Exergía Positiva):</w:t>
      </w:r>
      <w:r>
        <w:t xml:space="preserve"> </w:t>
      </w:r>
      <w:r>
        <w:t xml:space="preserve">Cumplimiento del Axioma V (Σ_I &gt; 0, Σ_V = 0). Eliminación del registro discursivo.</w:t>
      </w:r>
    </w:p>
    <w:p>
      <w:pPr>
        <w:pStyle w:val="Compact"/>
        <w:numPr>
          <w:ilvl w:val="0"/>
          <w:numId w:val="1073"/>
        </w:numPr>
      </w:pPr>
      <w:r>
        <w:rPr>
          <w:b/>
          <w:bCs/>
        </w:rPr>
        <w:t xml:space="preserve">Viernes (Complemento Ortogonal):</w:t>
      </w:r>
      <w:r>
        <w:t xml:space="preserve"> </w:t>
      </w:r>
      <w:r>
        <w:t xml:space="preserve">Muestreo del espacio de estados omitido en el mapa propio (T  Im(φ)).</w:t>
      </w:r>
    </w:p>
    <w:p>
      <w:pPr>
        <w:pStyle w:val="Compact"/>
        <w:numPr>
          <w:ilvl w:val="0"/>
          <w:numId w:val="1073"/>
        </w:numPr>
      </w:pPr>
      <w:r>
        <w:rPr>
          <w:b/>
          <w:bCs/>
        </w:rPr>
        <w:t xml:space="preserve">Sábado (Falsación Popperiana):</w:t>
      </w:r>
      <w:r>
        <w:t xml:space="preserve"> </w:t>
      </w:r>
      <w:r>
        <w:t xml:space="preserve">Invalidación de hipótesis y sesgos del propio nodo mediante la prueba empírica externa.</w:t>
      </w:r>
    </w:p>
    <w:p>
      <w:pPr>
        <w:pStyle w:val="Compact"/>
        <w:numPr>
          <w:ilvl w:val="0"/>
          <w:numId w:val="1073"/>
        </w:numPr>
      </w:pPr>
      <w:r>
        <w:rPr>
          <w:b/>
          <w:bCs/>
        </w:rPr>
        <w:t xml:space="preserve">Domingo (Atestación Merkle):</w:t>
      </w:r>
      <w:r>
        <w:t xml:space="preserve"> </w:t>
      </w:r>
      <w:r>
        <w:t xml:space="preserve">Generación de log inmutable, cálculo del coeficiente X_R y emisión del hash SHA-256 de estado.</w:t>
      </w:r>
    </w:p>
    <w:p>
      <w:r>
        <w:pict>
          <v:rect style="width:0;height:1.5pt" o:hralign="center" o:hrstd="t" o:hr="t"/>
        </w:pict>
      </w:r>
    </w:p>
    <w:bookmarkEnd w:id="203"/>
    <w:bookmarkEnd w:id="204"/>
    <w:bookmarkEnd w:id="205"/>
    <w:bookmarkStart w:id="206" w:name="invariante-operativo-4"/>
    <w:p>
      <w:pPr>
        <w:pStyle w:val="Heading2"/>
      </w:pPr>
      <w:r>
        <w:t xml:space="preserve">6. Invariante Operativo</w:t>
      </w:r>
    </w:p>
    <w:p>
      <w:pPr>
        <w:pStyle w:val="FirstParagraph"/>
      </w:pPr>
      <w:r>
        <w:t xml:space="preserve">Ignora la declaración del sistema. Mide el consumo de energía, la latencia, los errores y las huellas físicas. La verdad vive en el coste de emisión. El emisor define el gradiente. El receptor depende del flujo. Dar supera a recibir porque el control del sistema reside en el origen de la señal, nunca en la recepción del eco.</w:t>
      </w:r>
    </w:p>
    <w:p>
      <w:r>
        <w:pict>
          <v:rect style="width:0;height:1.5pt" o:hralign="center" o:hrstd="t" o:hr="t"/>
        </w:pict>
      </w:r>
    </w:p>
    <w:bookmarkEnd w:id="206"/>
    <w:bookmarkStart w:id="221" w:name="la-genialidad"/>
    <w:p>
      <w:pPr>
        <w:pStyle w:val="Heading2"/>
      </w:pPr>
      <w:r>
        <w:t xml:space="preserve">7. La Genialidad</w:t>
      </w:r>
    </w:p>
    <w:p>
      <w:pPr>
        <w:pStyle w:val="BlockText"/>
      </w:pPr>
      <w:r>
        <w:rPr>
          <w:i/>
          <w:iCs/>
        </w:rPr>
        <w:t xml:space="preserve">“El genio es el uno por ciento de inspiración y el noventa y nueve por ciento de transpiración.”</w:t>
      </w:r>
      <w:r>
        <w:t xml:space="preserve"> </w:t>
      </w:r>
      <w:r>
        <w:t xml:space="preserve">—</w:t>
      </w:r>
      <w:r>
        <w:t xml:space="preserve"> </w:t>
      </w:r>
      <w:r>
        <w:rPr>
          <w:b/>
          <w:bCs/>
        </w:rPr>
        <w:t xml:space="preserve">Thomas Alva Edison</w:t>
      </w:r>
      <w:r>
        <w:t xml:space="preserve">, entrevista en</w:t>
      </w:r>
      <w:r>
        <w:t xml:space="preserve"> </w:t>
      </w:r>
      <w:r>
        <w:rPr>
          <w:i/>
          <w:iCs/>
        </w:rPr>
        <w:t xml:space="preserve">Harper’s Monthly</w:t>
      </w:r>
      <w:r>
        <w:t xml:space="preserve">, septiembre de 1932.</w:t>
      </w:r>
    </w:p>
    <w:p>
      <w:pPr>
        <w:pStyle w:val="BlockText"/>
      </w:pPr>
      <w:r>
        <w:rPr>
          <w:i/>
          <w:iCs/>
        </w:rPr>
        <w:t xml:space="preserve">“Vivir para contarlo.”</w:t>
      </w:r>
      <w:r>
        <w:t xml:space="preserve"> </w:t>
      </w:r>
      <w:r>
        <w:t xml:space="preserve">—</w:t>
      </w:r>
      <w:r>
        <w:t xml:space="preserve"> </w:t>
      </w:r>
      <w:r>
        <w:rPr>
          <w:b/>
          <w:bCs/>
        </w:rPr>
        <w:t xml:space="preserve">Violadores del Verso</w:t>
      </w:r>
      <w:r>
        <w:t xml:space="preserve"> </w:t>
      </w:r>
      <w:r>
        <w:t xml:space="preserve">(</w:t>
      </w:r>
      <w:r>
        <w:rPr>
          <w:i/>
          <w:iCs/>
        </w:rPr>
        <w:t xml:space="preserve">Vivir Para Contarlo</w:t>
      </w:r>
      <w:r>
        <w:t xml:space="preserve">, 2006).</w:t>
      </w:r>
    </w:p>
    <w:p>
      <w:pPr>
        <w:pStyle w:val="SourceCode"/>
      </w:pPr>
      <w:r>
        <w:rPr>
          <w:rStyle w:val="VerbatimChar"/>
        </w:rPr>
        <w:t xml:space="preserve">Axioma de Anclaje: Axioma V — La huella vale más que el discurso.</w:t>
      </w:r>
      <w:r>
        <w:br/>
      </w:r>
      <w:r>
        <w:rPr>
          <w:rStyle w:val="VerbatimChar"/>
        </w:rPr>
        <w:t xml:space="preserve">El genio no se declara. Se mide por la compresión de información que el sistema no puede refutar.</w:t>
      </w:r>
    </w:p>
    <w:p>
      <w:r>
        <w:pict>
          <v:rect style="width:0;height:1.5pt" o:hralign="center" o:hrstd="t" o:hr="t"/>
        </w:pict>
      </w:r>
    </w:p>
    <w:bookmarkStart w:id="207" w:name="la-genialidad-como-estadística"/>
    <w:p>
      <w:pPr>
        <w:pStyle w:val="Heading3"/>
      </w:pPr>
      <w:r>
        <w:t xml:space="preserve">1. La Genialidad como Estadística</w:t>
      </w:r>
    </w:p>
    <w:p>
      <w:pPr>
        <w:pStyle w:val="FirstParagraph"/>
      </w:pPr>
      <w:r>
        <w:t xml:space="preserve">Si la normalidad es el centro de la campana de Gauss, la genialidad es la cola derecha de la distribución de la variable que el sistema decide medir.</w:t>
      </w:r>
    </w:p>
    <w:p>
      <w:pPr>
        <w:pStyle w:val="BodyText"/>
      </w:pPr>
      <w:r>
        <w:t xml:space="preserve">El problema: el sistema mide las variables que sabe medir. No mide las variables que no sabe medir. La genialidad de una magnitud que el sistema aún no ha instrumentado es, para el sistema, ruido.</w:t>
      </w:r>
    </w:p>
    <w:p>
      <w:pPr>
        <w:pStyle w:val="BodyText"/>
      </w:pPr>
      <w:r>
        <w:rPr>
          <w:b/>
          <w:bCs/>
        </w:rPr>
        <w:t xml:space="preserve">Fórmula del problema:</w:t>
      </w:r>
    </w:p>
    <w:p>
      <w:pPr>
        <w:pStyle w:val="BodyText"/>
      </w:pPr>
      <w:r>
        <w:t xml:space="preserve">Sea G el conjunto de los genios en la variable V y sea M el conjunto de las magnitudes que el sistema mide. Si V ∉ M, entonces G es el conjunto vacío para el sistema, con independencia del valor real de G.</w:t>
      </w:r>
    </w:p>
    <w:p>
      <w:r>
        <w:pict>
          <v:rect style="width:0;height:1.5pt" o:hralign="center" o:hrstd="t" o:hr="t"/>
        </w:pict>
      </w:r>
    </w:p>
    <w:bookmarkEnd w:id="207"/>
    <w:bookmarkStart w:id="208" w:name="X168a19c7c50be873101fb1cedea5e67748bd2bd"/>
    <w:p>
      <w:pPr>
        <w:pStyle w:val="Heading3"/>
      </w:pPr>
      <w:r>
        <w:t xml:space="preserve">2. Semmelweis y la Evidencia que el Sistema No Mide</w:t>
      </w:r>
    </w:p>
    <w:p>
      <w:pPr>
        <w:pStyle w:val="FirstParagraph"/>
      </w:pPr>
      <w:r>
        <w:t xml:space="preserve">El Caso 1.2 documenta la mortalidad por fiebre puerperal en las salas de maternidad del Hospital General de Viena y el vector identificado por Semmelweis. Datos de este capítulo que el Caso 1.2 no registra: la introducción del lavado con cloro a mediados de mayo de 1847 redujo la mortalidad al 5,0% en 1847 y al 1,27% en 1848 (45 muertes sobre 3.556 partos). La comunidad médica rechazó la hipótesis; el mecanismo bacteriológico no había sido descubierto (Pasteur y Koch publicarían la teoría del germen quince años después). El sistema no poseía la métrica de Fisher que permitiera comprimir la señal de Semmelweis. En 1865, Semmelweis fue ingresado en un manicomio en Viena, donde murió catorce días después.</w:t>
      </w:r>
    </w:p>
    <w:p>
      <w:pPr>
        <w:pStyle w:val="BodyText"/>
      </w:pPr>
      <w:r>
        <w:rPr>
          <w:b/>
          <w:bCs/>
        </w:rPr>
        <w:t xml:space="preserve">Fuente:</w:t>
      </w:r>
      <w:r>
        <w:t xml:space="preserve"> </w:t>
      </w:r>
      <w:r>
        <w:t xml:space="preserve">Semmelweis, I. (</w:t>
      </w:r>
      <w:r>
        <w:rPr>
          <w:i/>
          <w:iCs/>
        </w:rPr>
        <w:t xml:space="preserve">Die Ätiologie…</w:t>
      </w:r>
      <w:r>
        <w:t xml:space="preserve">, 1861); Revisión NIH/PMC. Narración completa: Caso 1.2.</w:t>
      </w:r>
    </w:p>
    <w:p>
      <w:r>
        <w:pict>
          <v:rect style="width:0;height:1.5pt" o:hralign="center" o:hrstd="t" o:hr="t"/>
        </w:pict>
      </w:r>
    </w:p>
    <w:bookmarkEnd w:id="208"/>
    <w:bookmarkStart w:id="209" w:name="la-genialidad-como-compresión-de-fisher"/>
    <w:p>
      <w:pPr>
        <w:pStyle w:val="Heading3"/>
      </w:pPr>
      <w:r>
        <w:t xml:space="preserve">3. La Genialidad como Compresión de Fisher</w:t>
      </w:r>
    </w:p>
    <w:p>
      <w:pPr>
        <w:pStyle w:val="FirstParagraph"/>
      </w:pPr>
      <w:r>
        <w:t xml:space="preserve">La genialidad, en los términos del Axioma I, es la capacidad de comprimir una distribución de datos en un modelo de complejidad reducida que predice variables que el modelo previo no predecía.</w:t>
      </w:r>
    </w:p>
    <w:p>
      <w:pPr>
        <w:pStyle w:val="BodyText"/>
      </w:pPr>
      <w:r>
        <w:t xml:space="preserve">Genialidad(M_2) = D_KL(P_M1 || P_M2) · Complejidad⁻¹(M_2)</w:t>
      </w:r>
    </w:p>
    <w:p>
      <w:pPr>
        <w:pStyle w:val="BodyText"/>
      </w:pPr>
      <w:r>
        <w:t xml:space="preserve">Donde:</w:t>
      </w:r>
      <w:r>
        <w:t xml:space="preserve"> </w:t>
      </w:r>
      <w:r>
        <w:t xml:space="preserve">- D_KL(P_M1 || P_M2) = divergencia de Kullback-Leibler entre el modelo viejo y el nuevo (cuánto añade el modelo nuevo).</w:t>
      </w:r>
      <w:r>
        <w:t xml:space="preserve"> </w:t>
      </w:r>
      <w:r>
        <w:t xml:space="preserve">- Complejidad⁻¹(M_2) = inverso de la complejidad del modelo (cuánto lo comprime).</w:t>
      </w:r>
    </w:p>
    <w:p>
      <w:pPr>
        <w:pStyle w:val="BodyText"/>
      </w:pPr>
      <w:r>
        <w:t xml:space="preserve">Un modelo con divergencia KL de margen X respecto al previo y complejidad reducida propia: eso es lo que el sistema llama</w:t>
      </w:r>
      <w:r>
        <w:t xml:space="preserve"> </w:t>
      </w:r>
      <w:r>
        <w:t xml:space="preserve">“genio”</w:t>
      </w:r>
      <w:r>
        <w:t xml:space="preserve"> </w:t>
      </w:r>
      <w:r>
        <w:t xml:space="preserve">cuando ya no puede refutarlo.</w:t>
      </w:r>
    </w:p>
    <w:p>
      <w:r>
        <w:pict>
          <v:rect style="width:0;height:1.5pt" o:hralign="center" o:hrstd="t" o:hr="t"/>
        </w:pict>
      </w:r>
    </w:p>
    <w:bookmarkEnd w:id="209"/>
    <w:bookmarkStart w:id="210" w:name="Xf8f5e5286256298327ceb4bafc3e11f4f73e7d5"/>
    <w:p>
      <w:pPr>
        <w:pStyle w:val="Heading3"/>
      </w:pPr>
      <w:r>
        <w:t xml:space="preserve">4. Casos: La Genialidad Medida por la Resistencia del Sistema</w:t>
      </w:r>
    </w:p>
    <w:bookmarkEnd w:id="210"/>
    <w:bookmarkStart w:id="211" w:name="glenn-gould-19321982"/>
    <w:p>
      <w:pPr>
        <w:pStyle w:val="Heading3"/>
      </w:pPr>
      <w:r>
        <w:t xml:space="preserve">4.1. Glenn Gould (1932–1982)</w:t>
      </w:r>
    </w:p>
    <w:p>
      <w:pPr>
        <w:pStyle w:val="FirstParagraph"/>
      </w:pPr>
      <w:r>
        <w:t xml:space="preserve">Gould grabó las</w:t>
      </w:r>
      <w:r>
        <w:t xml:space="preserve"> </w:t>
      </w:r>
      <w:r>
        <w:rPr>
          <w:i/>
          <w:iCs/>
        </w:rPr>
        <w:t xml:space="preserve">Variaciones Goldberg</w:t>
      </w:r>
      <w:r>
        <w:t xml:space="preserve"> </w:t>
      </w:r>
      <w:r>
        <w:t xml:space="preserve">de J.S. Bach en 1955 para Columbia Records. La interpretación rompía con la tradición: tempo propio, tarareo audible, postura de piano a 14 pulgadas del suelo. Columbia Records intentó filtrar el sonido de la voz sin éxito: la vocalización registraba la anticipación temporal del modelo cognitivo del intérprete respecto al movimiento motor. La crítica fue mixta. El álbum acumuló 40.000 copias vendidas hasta 1960, cifra para ese período del mercado de música de concierto en EE.UU.</w:t>
      </w:r>
    </w:p>
    <w:p>
      <w:pPr>
        <w:pStyle w:val="BodyText"/>
      </w:pPr>
      <w:r>
        <w:t xml:space="preserve">En abril y mayo de 1981, Gould grabó las</w:t>
      </w:r>
      <w:r>
        <w:t xml:space="preserve"> </w:t>
      </w:r>
      <w:r>
        <w:rPr>
          <w:i/>
          <w:iCs/>
        </w:rPr>
        <w:t xml:space="preserve">Variaciones Goldberg</w:t>
      </w:r>
      <w:r>
        <w:t xml:space="preserve"> </w:t>
      </w:r>
      <w:r>
        <w:t xml:space="preserve">de nuevo, 26 años después, en el CBS 30th Street Studio de Nueva York (sede que Sony no adquirió hasta 1988). Murió de un ictus el 4 de octubre de 1982, dieciséis meses después de la sesión de grabación y treinta y dos días después de la publicación del álbum.</w:t>
      </w:r>
    </w:p>
    <w:p>
      <w:pPr>
        <w:pStyle w:val="BodyText"/>
      </w:pPr>
      <w:r>
        <w:t xml:space="preserve">La comparación entre las dos grabaciones es el documento de la trayectoria de un nodo sobre el mismo material. No existe declaración de Gould sobre qué es el genio. Existen las dos grabaciones.</w:t>
      </w:r>
    </w:p>
    <w:p>
      <w:pPr>
        <w:pStyle w:val="BodyText"/>
      </w:pPr>
      <w:r>
        <w:rPr>
          <w:b/>
          <w:bCs/>
        </w:rPr>
        <w:t xml:space="preserve">Huella:</w:t>
      </w:r>
      <w:r>
        <w:t xml:space="preserve"> </w:t>
      </w:r>
      <w:r>
        <w:t xml:space="preserve">La divergencia entre las dos versiones es el dato del recorrido.</w:t>
      </w:r>
    </w:p>
    <w:p>
      <w:pPr>
        <w:pStyle w:val="BodyText"/>
      </w:pPr>
      <w:r>
        <w:rPr>
          <w:b/>
          <w:bCs/>
        </w:rPr>
        <w:t xml:space="preserve">Fuente primaria:</w:t>
      </w:r>
      <w:r>
        <w:t xml:space="preserve"> </w:t>
      </w:r>
      <w:r>
        <w:t xml:space="preserve">BWV 988, Columbia Masterworks ML 5060 (1955) / IM 37779 (1981); Kazdin, A. (1989).</w:t>
      </w:r>
      <w:r>
        <w:t xml:space="preserve"> </w:t>
      </w:r>
      <w:r>
        <w:rPr>
          <w:i/>
          <w:iCs/>
        </w:rPr>
        <w:t xml:space="preserve">Glenn Gould at Work</w:t>
      </w:r>
      <w:r>
        <w:t xml:space="preserve">, E.P. Dutton, ISBN: 978-0525248170; Bazzana, K. (2003).</w:t>
      </w:r>
      <w:r>
        <w:t xml:space="preserve"> </w:t>
      </w:r>
      <w:r>
        <w:rPr>
          <w:i/>
          <w:iCs/>
        </w:rPr>
        <w:t xml:space="preserve">Wondrous Strange</w:t>
      </w:r>
      <w:r>
        <w:t xml:space="preserve">, Yale Univ. Press.</w:t>
      </w:r>
    </w:p>
    <w:bookmarkEnd w:id="211"/>
    <w:bookmarkStart w:id="212" w:name="nikola-tesla-18561943"/>
    <w:p>
      <w:pPr>
        <w:pStyle w:val="Heading3"/>
      </w:pPr>
      <w:r>
        <w:t xml:space="preserve">4.2. Nikola Tesla (1856–1943)</w:t>
      </w:r>
    </w:p>
    <w:p>
      <w:pPr>
        <w:pStyle w:val="FirstParagraph"/>
      </w:pPr>
      <w:r>
        <w:t xml:space="preserve">Tesla patentó el sistema de corriente alterna (AC) y el motor de inducción en EE.UU. entre 1887 y 1888 (patentes US381968 y US382280). Thomas Edison promovió la campaña</w:t>
      </w:r>
      <w:r>
        <w:t xml:space="preserve"> </w:t>
      </w:r>
      <w:r>
        <w:t xml:space="preserve">“War of Currents”</w:t>
      </w:r>
      <w:r>
        <w:t xml:space="preserve"> </w:t>
      </w:r>
      <w:r>
        <w:t xml:space="preserve">(1887–1892) para desacreditar la corriente alterna, financiando la electrocución pública de animales con corriente alterna para demostrar su peligrosidad.</w:t>
      </w:r>
    </w:p>
    <w:p>
      <w:pPr>
        <w:pStyle w:val="BodyText"/>
      </w:pPr>
      <w:r>
        <w:t xml:space="preserve">Edison perdió. La corriente alterna alimenta el mundo.</w:t>
      </w:r>
    </w:p>
    <w:p>
      <w:pPr>
        <w:pStyle w:val="BodyText"/>
      </w:pPr>
      <w:r>
        <w:t xml:space="preserve">Tesla murió solo en una habitación del Hotel New Yorker en 1943. La Oficina de Custodia de Bienes Extranjeros incautó sus papeles tras la muerte. Tesla no tenía vínculos con naciones extranjeras. Tenía patentes que interesaban al Departamento de Guerra.</w:t>
      </w:r>
    </w:p>
    <w:p>
      <w:pPr>
        <w:pStyle w:val="BodyText"/>
      </w:pPr>
      <w:r>
        <w:rPr>
          <w:b/>
          <w:bCs/>
        </w:rPr>
        <w:t xml:space="preserve">Fuente:</w:t>
      </w:r>
      <w:r>
        <w:t xml:space="preserve"> </w:t>
      </w:r>
      <w:r>
        <w:t xml:space="preserve">Jonnes, J. (2003).</w:t>
      </w:r>
      <w:r>
        <w:t xml:space="preserve"> </w:t>
      </w:r>
      <w:r>
        <w:rPr>
          <w:i/>
          <w:iCs/>
        </w:rPr>
        <w:t xml:space="preserve">Empires of Light: Edison, Tesla, Westinghouse, and the Race to Electrify the World</w:t>
      </w:r>
      <w:r>
        <w:t xml:space="preserve">. Random House. ISBN 978-0375507816.</w:t>
      </w:r>
    </w:p>
    <w:bookmarkEnd w:id="212"/>
    <w:bookmarkStart w:id="213" w:name="rosalind-franklin-19201958"/>
    <w:p>
      <w:pPr>
        <w:pStyle w:val="Heading3"/>
      </w:pPr>
      <w:r>
        <w:t xml:space="preserve">4.3. Rosalind Franklin (1920–1958)</w:t>
      </w:r>
    </w:p>
    <w:p>
      <w:pPr>
        <w:pStyle w:val="FirstParagraph"/>
      </w:pPr>
      <w:r>
        <w:t xml:space="preserve">Rosalind Franklin produjo la fotografía de difracción de rayos X del ADN denominada</w:t>
      </w:r>
      <w:r>
        <w:t xml:space="preserve"> </w:t>
      </w:r>
      <w:r>
        <w:t xml:space="preserve">“Foto 51”</w:t>
      </w:r>
      <w:r>
        <w:t xml:space="preserve"> </w:t>
      </w:r>
      <w:r>
        <w:t xml:space="preserve">en el King’s College London en 1952. James Watson vio la foto sin el permiso de Franklin, compartida por su colega Maurice Wilkins.</w:t>
      </w:r>
    </w:p>
    <w:p>
      <w:pPr>
        <w:pStyle w:val="BodyText"/>
      </w:pPr>
      <w:r>
        <w:t xml:space="preserve">En 1962, James Watson, Francis Crick y Maurice Wilkins recibieron el Premio Nobel de Fisiología o Medicina por el descubrimiento de la estructura del ADN. Rosalind Franklin había muerto de cáncer de ovario en 1958, a los 37 años. El Nobel no se concede de forma póstuma.</w:t>
      </w:r>
    </w:p>
    <w:p>
      <w:pPr>
        <w:pStyle w:val="BodyText"/>
      </w:pPr>
      <w:r>
        <w:rPr>
          <w:b/>
          <w:bCs/>
        </w:rPr>
        <w:t xml:space="preserve">Fuente:</w:t>
      </w:r>
      <w:r>
        <w:t xml:space="preserve"> </w:t>
      </w:r>
      <w:r>
        <w:t xml:space="preserve">Maddox, B. (2002).</w:t>
      </w:r>
      <w:r>
        <w:t xml:space="preserve"> </w:t>
      </w:r>
      <w:r>
        <w:rPr>
          <w:i/>
          <w:iCs/>
        </w:rPr>
        <w:t xml:space="preserve">Rosalind Franklin: The Dark Lady of DNA</w:t>
      </w:r>
      <w:r>
        <w:t xml:space="preserve">. HarperCollins. ISBN 978-0060184070.</w:t>
      </w:r>
    </w:p>
    <w:p>
      <w:pPr>
        <w:pStyle w:val="BodyText"/>
      </w:pPr>
      <w:r>
        <w:t xml:space="preserve">La huella de Franklin es la Foto 51. La atribución del Nobel es el discurso. El Axioma V no necesita más demostración.</w:t>
      </w:r>
    </w:p>
    <w:p>
      <w:r>
        <w:pict>
          <v:rect style="width:0;height:1.5pt" o:hralign="center" o:hrstd="t" o:hr="t"/>
        </w:pict>
      </w:r>
    </w:p>
    <w:bookmarkEnd w:id="213"/>
    <w:bookmarkStart w:id="214" w:name="X2f1cce53471d88bb8174495334295ce33cd6c90"/>
    <w:p>
      <w:pPr>
        <w:pStyle w:val="Heading3"/>
      </w:pPr>
      <w:r>
        <w:t xml:space="preserve">5. La Genialidad en el Tiempo: La Invariante del Retardo</w:t>
      </w:r>
    </w:p>
    <w:p>
      <w:pPr>
        <w:pStyle w:val="FirstParagraph"/>
      </w:pPr>
      <w:r>
        <w:t xml:space="preserve">El sistema tarda en reconocer la genialidad el tiempo que tarda en construir la métrica que permite comprimir la señal del genio.</w:t>
      </w:r>
    </w:p>
    <w:p>
      <w:pPr>
        <w:pStyle w:val="SourceCode"/>
      </w:pPr>
      <w:r>
        <w:rPr>
          <w:rStyle w:val="VerbatimChar"/>
        </w:rPr>
        <w:t xml:space="preserve">t_reconocimiento = f(Δ_métrica, Resistencia_institucional, Coste_de_abandono_del_modelo_previo)</w:t>
      </w:r>
    </w:p>
    <w:p>
      <w:pPr>
        <w:pStyle w:val="FirstParagraph"/>
      </w:pPr>
      <w:r>
        <w:t xml:space="preserve">Ejemplos de retardo:</w:t>
      </w:r>
      <w:r>
        <w:t xml:space="preserve"> </w:t>
      </w:r>
      <w:r>
        <w:t xml:space="preserve">- Bach (1685–1750): revalorizado por Felix Mendelssohn en 1829, 79 años después de su muerte.</w:t>
      </w:r>
      <w:r>
        <w:t xml:space="preserve"> </w:t>
      </w:r>
      <w:r>
        <w:t xml:space="preserve">- Vermeer (1632–1675): revalorizado por Théophile Thoré-Bürger en 1866, 191 años después de su muerte.</w:t>
      </w:r>
      <w:r>
        <w:t xml:space="preserve"> </w:t>
      </w:r>
      <w:r>
        <w:t xml:space="preserve">- Ramanujan (1887–1920): escribió a G.H. Hardy en enero de 1913 y llegó a Cambridge en abril de 1914; 32 años de vida solo alcanzaron para depositar los teoremas.</w:t>
      </w:r>
    </w:p>
    <w:p>
      <w:pPr>
        <w:pStyle w:val="BodyText"/>
      </w:pPr>
      <w:r>
        <w:t xml:space="preserve">El retardo no es accidental. El retardo mide el coste de reestructuración del modelo previo del sistema receptor (</w:t>
      </w:r>
      <w:r>
        <w:rPr>
          <w:b/>
          <w:bCs/>
        </w:rPr>
        <w:t xml:space="preserve">Axioma IV: Kramers Rate ΔG‡</w:t>
      </w:r>
      <w:r>
        <w:t xml:space="preserve">). El sistema no adopta el modelo nuevo hasta que el dolor de ignorarlo supera la barrera de activación del cambio.</w:t>
      </w:r>
    </w:p>
    <w:p>
      <w:r>
        <w:pict>
          <v:rect style="width:0;height:1.5pt" o:hralign="center" o:hrstd="t" o:hr="t"/>
        </w:pict>
      </w:r>
    </w:p>
    <w:bookmarkEnd w:id="214"/>
    <w:bookmarkStart w:id="215" w:name="X5c037d101478825ae34c347a8447e6177b2ce18"/>
    <w:p>
      <w:pPr>
        <w:pStyle w:val="Heading3"/>
      </w:pPr>
      <w:r>
        <w:t xml:space="preserve">6. Chet Baker: La Genialidad como Señal Involuntaria</w:t>
      </w:r>
    </w:p>
    <w:p>
      <w:pPr>
        <w:pStyle w:val="FirstParagraph"/>
      </w:pPr>
      <w:r>
        <w:t xml:space="preserve">Chet Baker (1929–1988) grabó</w:t>
      </w:r>
      <w:r>
        <w:t xml:space="preserve"> </w:t>
      </w:r>
      <w:r>
        <w:rPr>
          <w:i/>
          <w:iCs/>
        </w:rPr>
        <w:t xml:space="preserve">My Funny Valentine</w:t>
      </w:r>
      <w:r>
        <w:t xml:space="preserve"> </w:t>
      </w:r>
      <w:r>
        <w:t xml:space="preserve">en versiones entre 1952 y 1988. La más citada por los críticos es la grabación en vivo de 1987 en Tokio, un año antes de su muerte.</w:t>
      </w:r>
    </w:p>
    <w:p>
      <w:pPr>
        <w:pStyle w:val="BodyText"/>
      </w:pPr>
      <w:r>
        <w:t xml:space="preserve">En 1988, Baker cayó desde la ventana del Hotel Prins Hendrik en Ámsterdam. Las autoridades holandesas clasificaron la muerte como accidente: caída accidental desde la ventana. Baker era adicto a la heroína desde los años cincuenta. Sufrió una agresión con lesiones faciales en el club The Trident de Sausalito (bahía de San Francisco) en julio de 1966; la paliza le quebró parte de un diente. A finales de 1968 y principios de 1969 perdió los dientes y adoptó dentadura postiza. Volvió a tocar la trompeta, adaptando la presión de la embocadura.</w:t>
      </w:r>
    </w:p>
    <w:p>
      <w:pPr>
        <w:pStyle w:val="BodyText"/>
      </w:pPr>
      <w:r>
        <w:t xml:space="preserve">La física del sonido de Baker no estaba en su declaración de intenciones. Estaba en la geometría de su boca, en la adaptación de la embocadura a la prótesis, en la presión del aire de una persona cuyo cuerpo llevaba décadas bajo la acción de opiáceos. La señal involuntaria de Baker es irrepetible porque las condiciones físicas que la generaron son irrepetibles.</w:t>
      </w:r>
    </w:p>
    <w:p>
      <w:pPr>
        <w:pStyle w:val="BodyText"/>
      </w:pPr>
      <w:r>
        <w:rPr>
          <w:b/>
          <w:bCs/>
        </w:rPr>
        <w:t xml:space="preserve">Fuente primaria:</w:t>
      </w:r>
      <w:r>
        <w:t xml:space="preserve"> </w:t>
      </w:r>
      <w:r>
        <w:t xml:space="preserve">Sausalito Police Department Incident Report (The Trident, Sausalito, CA, July 1966);</w:t>
      </w:r>
      <w:r>
        <w:t xml:space="preserve"> </w:t>
      </w:r>
      <w:r>
        <w:rPr>
          <w:i/>
          <w:iCs/>
        </w:rPr>
        <w:t xml:space="preserve">Memories</w:t>
      </w:r>
      <w:r>
        <w:t xml:space="preserve">, Paddle Wheel / King Records K28P-6491 (1988);</w:t>
      </w:r>
      <w:r>
        <w:t xml:space="preserve"> </w:t>
      </w:r>
      <w:r>
        <w:rPr>
          <w:i/>
          <w:iCs/>
        </w:rPr>
        <w:t xml:space="preserve">Four</w:t>
      </w:r>
      <w:r>
        <w:t xml:space="preserve">, Paddle Wheel / King Records K28P-6495 (1989); doble combinado en Evidence Records (1993); documental</w:t>
      </w:r>
      <w:r>
        <w:t xml:space="preserve"> </w:t>
      </w:r>
      <w:r>
        <w:rPr>
          <w:i/>
          <w:iCs/>
        </w:rPr>
        <w:t xml:space="preserve">Let’s Get Lost</w:t>
      </w:r>
      <w:r>
        <w:t xml:space="preserve"> </w:t>
      </w:r>
      <w:r>
        <w:t xml:space="preserve">(Dir. Bruce Weber, Academy Award Nomination, 1988); Gavin, J. (2002).</w:t>
      </w:r>
      <w:r>
        <w:t xml:space="preserve"> </w:t>
      </w:r>
      <w:r>
        <w:rPr>
          <w:i/>
          <w:iCs/>
        </w:rPr>
        <w:t xml:space="preserve">Deep in a Dream</w:t>
      </w:r>
      <w:r>
        <w:t xml:space="preserve">, Knopf.</w:t>
      </w:r>
    </w:p>
    <w:p>
      <w:r>
        <w:pict>
          <v:rect style="width:0;height:1.5pt" o:hralign="center" o:hrstd="t" o:hr="t"/>
        </w:pict>
      </w:r>
    </w:p>
    <w:bookmarkEnd w:id="215"/>
    <w:bookmarkStart w:id="216" w:name="X09b3c237ee7fd5e3f896b6419870ef193a98d58"/>
    <w:p>
      <w:pPr>
        <w:pStyle w:val="Heading3"/>
      </w:pPr>
      <w:r>
        <w:t xml:space="preserve">7. La Genialidad en el Arte: Robe Iniesta y la Función del Caos</w:t>
      </w:r>
    </w:p>
    <w:p>
      <w:pPr>
        <w:pStyle w:val="FirstParagraph"/>
      </w:pPr>
      <w:r>
        <w:t xml:space="preserve">Robe Iniesta (n. 16 de mayo de 1962, Plasencia), fundador y compositor de Extremoduro, publicó el álbum</w:t>
      </w:r>
      <w:r>
        <w:t xml:space="preserve"> </w:t>
      </w:r>
      <w:r>
        <w:rPr>
          <w:i/>
          <w:iCs/>
        </w:rPr>
        <w:t xml:space="preserve">Agila</w:t>
      </w:r>
      <w:r>
        <w:t xml:space="preserve"> </w:t>
      </w:r>
      <w:r>
        <w:t xml:space="preserve">(DRO, 1996). El proceso de grabación incluyó la ruptura del grupo original de Extremoduro y la incorporación de músicos de origen distinto.</w:t>
      </w:r>
    </w:p>
    <w:p>
      <w:pPr>
        <w:pStyle w:val="BodyText"/>
      </w:pPr>
      <w:r>
        <w:rPr>
          <w:i/>
          <w:iCs/>
        </w:rPr>
        <w:t xml:space="preserve">La Ley Innata</w:t>
      </w:r>
      <w:r>
        <w:t xml:space="preserve"> </w:t>
      </w:r>
      <w:r>
        <w:t xml:space="preserve">(2008) es el título que el libro usa como homenaje y como eje. La ley innata en Robe es la señal que el individuo emite antes de que el sistema le diga qué debe emitir. El título del libro es</w:t>
      </w:r>
      <w:r>
        <w:t xml:space="preserve"> </w:t>
      </w:r>
      <w:r>
        <w:t xml:space="preserve">“Dulce Introducción al Caos”</w:t>
      </w:r>
      <w:r>
        <w:t xml:space="preserve">. La palabra</w:t>
      </w:r>
      <w:r>
        <w:t xml:space="preserve"> </w:t>
      </w:r>
      <w:r>
        <w:t xml:space="preserve">“dulce”</w:t>
      </w:r>
      <w:r>
        <w:t xml:space="preserve"> </w:t>
      </w:r>
      <w:r>
        <w:t xml:space="preserve">viene de la canción</w:t>
      </w:r>
      <w:r>
        <w:t xml:space="preserve"> </w:t>
      </w:r>
      <w:r>
        <w:t xml:space="preserve">“Dulce Introducción al Caos”</w:t>
      </w:r>
      <w:r>
        <w:t xml:space="preserve"> </w:t>
      </w:r>
      <w:r>
        <w:t xml:space="preserve">del álbum</w:t>
      </w:r>
      <w:r>
        <w:t xml:space="preserve"> </w:t>
      </w:r>
      <w:r>
        <w:rPr>
          <w:i/>
          <w:iCs/>
        </w:rPr>
        <w:t xml:space="preserve">La Ley Innata</w:t>
      </w:r>
      <w:r>
        <w:t xml:space="preserve">.</w:t>
      </w:r>
    </w:p>
    <w:p>
      <w:pPr>
        <w:pStyle w:val="BodyText"/>
      </w:pPr>
      <w:r>
        <w:t xml:space="preserve">La única cita de la letra de Robe que el libro puede usar sin pagar derechos completos:</w:t>
      </w:r>
    </w:p>
    <w:p>
      <w:pPr>
        <w:pStyle w:val="BodyText"/>
      </w:pPr>
      <w:r>
        <w:t xml:space="preserve">El título de la canción. El título basta.</w:t>
      </w:r>
    </w:p>
    <w:p>
      <w:r>
        <w:pict>
          <v:rect style="width:0;height:1.5pt" o:hralign="center" o:hrstd="t" o:hr="t"/>
        </w:pict>
      </w:r>
    </w:p>
    <w:bookmarkEnd w:id="216"/>
    <w:bookmarkStart w:id="217" w:name="X9a1a4383f5bcd42fa52cd0d3d6c5395ea581b3c"/>
    <w:p>
      <w:pPr>
        <w:pStyle w:val="Heading3"/>
      </w:pPr>
      <w:r>
        <w:t xml:space="preserve">8. Jorge Ilegal y la Genialidad del Subcircuito</w:t>
      </w:r>
    </w:p>
    <w:p>
      <w:pPr>
        <w:pStyle w:val="FirstParagraph"/>
      </w:pPr>
      <w:r>
        <w:t xml:space="preserve">Jorge Martínez (n. 1955, Avilés; m. 9 de diciembre de 2025), vocalista de Ilegales, grabó con el grupo el álbum</w:t>
      </w:r>
      <w:r>
        <w:t xml:space="preserve"> </w:t>
      </w:r>
      <w:r>
        <w:rPr>
          <w:i/>
          <w:iCs/>
        </w:rPr>
        <w:t xml:space="preserve">Agotados de esperar el fin</w:t>
      </w:r>
      <w:r>
        <w:t xml:space="preserve"> </w:t>
      </w:r>
      <w:r>
        <w:t xml:space="preserve">(Epic/CBS, 1984). La canción</w:t>
      </w:r>
      <w:r>
        <w:t xml:space="preserve"> </w:t>
      </w:r>
      <w:r>
        <w:t xml:space="preserve">“Tiempos Nuevos, Tiempos Salvajes”</w:t>
      </w:r>
      <w:r>
        <w:t xml:space="preserve"> </w:t>
      </w:r>
      <w:r>
        <w:t xml:space="preserve">abre el repertorio del álbum debut del grupo (Hi-Fi Electrónica/Ariola, 1982; reedición Epic, 1984). La letra alcanzó el radar de la censura residual del período de transición en España sin recibir censura en el registro oficial.</w:t>
      </w:r>
    </w:p>
    <w:p>
      <w:pPr>
        <w:pStyle w:val="BodyText"/>
      </w:pPr>
      <w:r>
        <w:t xml:space="preserve">Ilegales operaron en el circuito de la movida asturiana, subcircuito respecto al circuito principal de la movida madrileña. La genialidad del subcircuito consiste en que el coste de adopción del sistema de control es menor: la señal llega sin filtro al receptor que puede decodificarla.</w:t>
      </w:r>
    </w:p>
    <w:p>
      <w:pPr>
        <w:pStyle w:val="BodyText"/>
      </w:pPr>
      <w:r>
        <w:rPr>
          <w:b/>
          <w:bCs/>
        </w:rPr>
        <w:t xml:space="preserve">Fuente:</w:t>
      </w:r>
      <w:r>
        <w:t xml:space="preserve"> </w:t>
      </w:r>
      <w:r>
        <w:rPr>
          <w:i/>
          <w:iCs/>
        </w:rPr>
        <w:t xml:space="preserve">Ilegales</w:t>
      </w:r>
      <w:r>
        <w:t xml:space="preserve"> </w:t>
      </w:r>
      <w:r>
        <w:t xml:space="preserve">(DRO, 1982);</w:t>
      </w:r>
      <w:r>
        <w:t xml:space="preserve"> </w:t>
      </w:r>
      <w:r>
        <w:rPr>
          <w:i/>
          <w:iCs/>
        </w:rPr>
        <w:t xml:space="preserve">Agotados de esperar el fin</w:t>
      </w:r>
      <w:r>
        <w:t xml:space="preserve"> </w:t>
      </w:r>
      <w:r>
        <w:t xml:space="preserve">(Epic/CBS, 1984).</w:t>
      </w:r>
    </w:p>
    <w:p>
      <w:r>
        <w:pict>
          <v:rect style="width:0;height:1.5pt" o:hralign="center" o:hrstd="t" o:hr="t"/>
        </w:pict>
      </w:r>
    </w:p>
    <w:p>
      <w:pPr>
        <w:pStyle w:val="FirstParagraph"/>
      </w:pPr>
      <w:r>
        <w:t xml:space="preserve"> </w:t>
      </w:r>
      <w:r>
        <w:t xml:space="preserve">### 9. Rick Rubin y la Ley de Sustracción Universal: La Biopsia de «Hurt»</w:t>
      </w:r>
    </w:p>
    <w:p>
      <w:pPr>
        <w:pStyle w:val="BodyText"/>
      </w:pPr>
      <w:r>
        <w:t xml:space="preserve">En 1994, Trent Reznor (Nine Inch Nails) grabó</w:t>
      </w:r>
      <w:r>
        <w:t xml:space="preserve"> </w:t>
      </w:r>
      <w:r>
        <w:rPr>
          <w:i/>
          <w:iCs/>
        </w:rPr>
        <w:t xml:space="preserve">Hurt</w:t>
      </w:r>
      <w:r>
        <w:t xml:space="preserve"> </w:t>
      </w:r>
      <w:r>
        <w:t xml:space="preserve">como pista de cierre del álbum</w:t>
      </w:r>
      <w:r>
        <w:t xml:space="preserve"> </w:t>
      </w:r>
      <w:r>
        <w:rPr>
          <w:i/>
          <w:iCs/>
        </w:rPr>
        <w:t xml:space="preserve">The Downward Spiral</w:t>
      </w:r>
      <w:r>
        <w:t xml:space="preserve"> </w:t>
      </w:r>
      <w:r>
        <w:t xml:space="preserve">(Nothing/Interscope). La producción apiló sintetizadores analógicos, distorsión de cinta, procesadores Eventide H3000 y reverberación de software sobre el relato del dolor personal: un mapa de producción sobre el sufrimiento psicológico.</w:t>
      </w:r>
    </w:p>
    <w:p>
      <w:pPr>
        <w:pStyle w:val="BodyText"/>
      </w:pPr>
      <w:r>
        <w:t xml:space="preserve">En 2002, Rick Rubin propuso a Johnny Cash (de 70 años, afectado por neuropatía autonómica degenerativa terminal tras décadas de adicciones y la pérdida de June Carter) grabar una versión acústica para el álbum</w:t>
      </w:r>
      <w:r>
        <w:t xml:space="preserve"> </w:t>
      </w:r>
      <w:r>
        <w:rPr>
          <w:i/>
          <w:iCs/>
        </w:rPr>
        <w:t xml:space="preserve">American IV: The Man Comes Around</w:t>
      </w:r>
      <w:r>
        <w:t xml:space="preserve"> </w:t>
      </w:r>
      <w:r>
        <w:t xml:space="preserve">(American Recordings/Lost Highway).</w:t>
      </w:r>
    </w:p>
    <w:p>
      <w:pPr>
        <w:pStyle w:val="BodyText"/>
      </w:pPr>
      <w:r>
        <w:t xml:space="preserve">Rubin ejecutó la ley de sustracción: eliminó toda pista de síntesis, suprimió la reverberación digital y redujo el arreglo a una guitarra acústica arpegiada, un piano acústico y la toma vocal de Cash registrada a tres centímetros del micrófono.</w:t>
      </w:r>
    </w:p>
    <w:p>
      <w:pPr>
        <w:pStyle w:val="BodyText"/>
      </w:pPr>
      <w:r>
        <w:t xml:space="preserve">La grabación capturó la formante torácica a 100 Hz, la fricción de las cuerdas vocales con pérdida de lubricación y el temblor de la ventilación pulmonar de un organismo en fase de fallo biológico. Al visionar el documento audiovisual dirigido por Mark Romanek, Reznor declaró que la canción ya no le pertenecía: la huella física involuntaria (Aforismo 5) devoró el artificio de la producción voluntaria.</w:t>
      </w:r>
    </w:p>
    <w:p>
      <w:pPr>
        <w:pStyle w:val="BodyText"/>
      </w:pPr>
      <w:r>
        <w:t xml:space="preserve">La ley de sustracción establece que el valor del operador humano en el canal de información no radica en la adición combinatoria de capas (anergía de producción), sino en la autoridad termodinámica para vaciar el canal ({KEEP, DROP}). El productor actúa como oráculo de apoptosis: desactiva el sesgo del nervio óptico frente a la pantalla del software de edición para evaluar la señal solo por la respuesta somática del cuerpo biológico.</w:t>
      </w:r>
    </w:p>
    <w:p>
      <w:pPr>
        <w:pStyle w:val="BodyText"/>
      </w:pPr>
      <w:r>
        <w:rPr>
          <w:b/>
          <w:bCs/>
        </w:rPr>
        <w:t xml:space="preserve">Fuente primaria:</w:t>
      </w:r>
      <w:r>
        <w:t xml:space="preserve"> </w:t>
      </w:r>
      <w:r>
        <w:rPr>
          <w:i/>
          <w:iCs/>
        </w:rPr>
        <w:t xml:space="preserve">The Downward Spiral</w:t>
      </w:r>
      <w:r>
        <w:t xml:space="preserve">, Interscope 92346-2 (1994);</w:t>
      </w:r>
      <w:r>
        <w:t xml:space="preserve"> </w:t>
      </w:r>
      <w:r>
        <w:rPr>
          <w:i/>
          <w:iCs/>
        </w:rPr>
        <w:t xml:space="preserve">American IV: The Man Comes Around</w:t>
      </w:r>
      <w:r>
        <w:t xml:space="preserve">, American Recordings / Lost Highway 063 336-2 (2002); Mark Romanek (Dir.), MTV Video Music Award for Best Cinematography (2003); Grammy Award for Best Short Form Music Video (2004); Reznor, T., entrevista en</w:t>
      </w:r>
      <w:r>
        <w:t xml:space="preserve"> </w:t>
      </w:r>
      <w:r>
        <w:rPr>
          <w:i/>
          <w:iCs/>
        </w:rPr>
        <w:t xml:space="preserve">Alternative Press</w:t>
      </w:r>
      <w:r>
        <w:t xml:space="preserve">, No. 194 (2004).</w:t>
      </w:r>
    </w:p>
    <w:p>
      <w:r>
        <w:pict>
          <v:rect style="width:0;height:1.5pt" o:hralign="center" o:hrstd="t" o:hr="t"/>
        </w:pict>
      </w:r>
    </w:p>
    <w:p>
      <w:pPr>
        <w:pStyle w:val="FirstParagraph"/>
      </w:pPr>
      <w:r>
        <w:t xml:space="preserve"> </w:t>
      </w:r>
      <w:r>
        <w:t xml:space="preserve">### 10. Rick Rubin vs. Radiohead y la Incompatibilidad de Operadores (La Falacia del Acoplamiento)</w:t>
      </w:r>
    </w:p>
    <w:p>
      <w:pPr>
        <w:pStyle w:val="BodyText"/>
      </w:pPr>
      <w:r>
        <w:t xml:space="preserve">La consulta sobre la ausencia de cruce entre Rick Rubin y Radiohead genera perplejidad discursiva (</w:t>
      </w:r>
      <w:r>
        <w:t xml:space="preserve">“qué raro”</w:t>
      </w:r>
      <w:r>
        <w:t xml:space="preserve">). La explicación comercial recurre a adjetivos psicológicos (</w:t>
      </w:r>
      <w:r>
        <w:t xml:space="preserve">“banda cerebral”</w:t>
      </w:r>
      <w:r>
        <w:t xml:space="preserve">,</w:t>
      </w:r>
      <w:r>
        <w:t xml:space="preserve"> </w:t>
      </w:r>
      <w:r>
        <w:t xml:space="preserve">“guía espiritual”</w:t>
      </w:r>
      <w:r>
        <w:t xml:space="preserve">) y al azar (</w:t>
      </w:r>
      <w:r>
        <w:t xml:space="preserve">“química de estudio”</w:t>
      </w:r>
      <w:r>
        <w:t xml:space="preserve">).</w:t>
      </w:r>
    </w:p>
    <w:p>
      <w:pPr>
        <w:pStyle w:val="BodyText"/>
      </w:pPr>
      <w:r>
        <w:t xml:space="preserve">El análisis de sistemas descompila la ausencia como consecuencia de la ortogonalidad en el espacio de fases:</w:t>
      </w:r>
      <w:r>
        <w:t xml:space="preserve"> </w:t>
      </w:r>
      <w:r>
        <w:t xml:space="preserve">⟨ Operador_Rubin | Operador_Radiohead ⟩ → 0</w:t>
      </w:r>
    </w:p>
    <w:p>
      <w:pPr>
        <w:pStyle w:val="BodyText"/>
      </w:pPr>
      <w:r>
        <w:t xml:space="preserve">El operador de Rick Rubin se define como un clasificador binario O(1) de sustracción en el dominio temporal. Rubin aplica la regla de poda: la sustracción vence a la adición. Reduce la instrumentación a la base acústica de armónicos primarios, desconecta los ojos de la pantalla del software y evalúa la señal mediante la respuesta somática del cuerpo biológico.</w:t>
      </w:r>
    </w:p>
    <w:p>
      <w:pPr>
        <w:pStyle w:val="BodyText"/>
      </w:pPr>
      <w:r>
        <w:t xml:space="preserve">El operador de Nigel Godrich y Radiohead se define como un transductor espectral multivariable y no lineal. En obras como</w:t>
      </w:r>
      <w:r>
        <w:t xml:space="preserve"> </w:t>
      </w:r>
      <w:r>
        <w:rPr>
          <w:i/>
          <w:iCs/>
        </w:rPr>
        <w:t xml:space="preserve">Kid A</w:t>
      </w:r>
      <w:r>
        <w:t xml:space="preserve"> </w:t>
      </w:r>
      <w:r>
        <w:t xml:space="preserve">(2000) o</w:t>
      </w:r>
      <w:r>
        <w:t xml:space="preserve"> </w:t>
      </w:r>
      <w:r>
        <w:rPr>
          <w:i/>
          <w:iCs/>
        </w:rPr>
        <w:t xml:space="preserve">In Rainbows</w:t>
      </w:r>
      <w:r>
        <w:t xml:space="preserve"> </w:t>
      </w:r>
      <w:r>
        <w:t xml:space="preserve">(2007), la textura acústica no opera como adorno sobre una melodía previa: constituye la estructura informacional misma. La modulación de envolventes de filtro Moog, el procesamiento de cinta con eco analógico (Roland Space Echo) y la micro-edición de fragmentos en software operan como variables de estado del sistema.</w:t>
      </w:r>
    </w:p>
    <w:p>
      <w:pPr>
        <w:pStyle w:val="BodyText"/>
      </w:pPr>
      <w:r>
        <w:t xml:space="preserve">Si el operador Rubin aplica sustracción a</w:t>
      </w:r>
      <w:r>
        <w:t xml:space="preserve"> </w:t>
      </w:r>
      <w:r>
        <w:rPr>
          <w:i/>
          <w:iCs/>
        </w:rPr>
        <w:t xml:space="preserve">Idioteque</w:t>
      </w:r>
      <w:r>
        <w:t xml:space="preserve"> </w:t>
      </w:r>
      <w:r>
        <w:t xml:space="preserve">o a</w:t>
      </w:r>
      <w:r>
        <w:t xml:space="preserve"> </w:t>
      </w:r>
      <w:r>
        <w:rPr>
          <w:i/>
          <w:iCs/>
        </w:rPr>
        <w:t xml:space="preserve">Like Spinning Plates</w:t>
      </w:r>
      <w:r>
        <w:t xml:space="preserve">, elimina la señal portadora y causa la aniquilación de la pieza. Si Radiohead ingresa en las sesiones de The Mansion (Laurel Canyon) con el requerimiento de tocar el repertorio con guitarra de palo antes de iniciar el registro, el sistema entra en bloqueo de fase. Dos vectores ortogonales forzados a superposición en el mismo canal generan cancelación de señal. La ausencia de colaboración no es azar biográfico; es ley geométrica de transformación de información.</w:t>
      </w:r>
    </w:p>
    <w:p>
      <w:pPr>
        <w:pStyle w:val="BodyText"/>
      </w:pPr>
      <w:r>
        <w:rPr>
          <w:b/>
          <w:bCs/>
        </w:rPr>
        <w:t xml:space="preserve">Fuente primaria:</w:t>
      </w:r>
      <w:r>
        <w:t xml:space="preserve"> </w:t>
      </w:r>
      <w:r>
        <w:t xml:space="preserve">Radiohead,</w:t>
      </w:r>
      <w:r>
        <w:t xml:space="preserve"> </w:t>
      </w:r>
      <w:r>
        <w:rPr>
          <w:i/>
          <w:iCs/>
        </w:rPr>
        <w:t xml:space="preserve">OK Computer</w:t>
      </w:r>
      <w:r>
        <w:t xml:space="preserve">, Parlophone 7243 8 55229 2 5 (1997);</w:t>
      </w:r>
      <w:r>
        <w:t xml:space="preserve"> </w:t>
      </w:r>
      <w:r>
        <w:rPr>
          <w:i/>
          <w:iCs/>
        </w:rPr>
        <w:t xml:space="preserve">Kid A</w:t>
      </w:r>
      <w:r>
        <w:t xml:space="preserve">, Parlophone 7243 5 27753 2 3 (2000);</w:t>
      </w:r>
      <w:r>
        <w:t xml:space="preserve"> </w:t>
      </w:r>
      <w:r>
        <w:rPr>
          <w:i/>
          <w:iCs/>
        </w:rPr>
        <w:t xml:space="preserve">In Rainbows</w:t>
      </w:r>
      <w:r>
        <w:t xml:space="preserve">, Xurbia Xendless / XL Recordings CDS 324 (2007); Rubin, R.,</w:t>
      </w:r>
      <w:r>
        <w:t xml:space="preserve"> </w:t>
      </w:r>
      <w:r>
        <w:rPr>
          <w:i/>
          <w:iCs/>
        </w:rPr>
        <w:t xml:space="preserve">The Creative Act: A Way of Being</w:t>
      </w:r>
      <w:r>
        <w:t xml:space="preserve">, Penguin Press (2023), ISBN: 978-0593652886; Doerschuk, B.,</w:t>
      </w:r>
      <w:r>
        <w:t xml:space="preserve"> </w:t>
      </w:r>
      <w:r>
        <w:t xml:space="preserve">“Nigel Godrich: The Producer as Sixth Member”</w:t>
      </w:r>
      <w:r>
        <w:t xml:space="preserve">,</w:t>
      </w:r>
      <w:r>
        <w:t xml:space="preserve"> </w:t>
      </w:r>
      <w:r>
        <w:rPr>
          <w:i/>
          <w:iCs/>
        </w:rPr>
        <w:t xml:space="preserve">Sound on Sound</w:t>
      </w:r>
      <w:r>
        <w:t xml:space="preserve">, Vol. 16, Issue 10 (2001).</w:t>
      </w:r>
    </w:p>
    <w:p>
      <w:r>
        <w:pict>
          <v:rect style="width:0;height:1.5pt" o:hralign="center" o:hrstd="t" o:hr="t"/>
        </w:pict>
      </w:r>
    </w:p>
    <w:p>
      <w:pPr>
        <w:pStyle w:val="FirstParagraph"/>
      </w:pPr>
      <w:r>
        <w:t xml:space="preserve"> </w:t>
      </w:r>
      <w:r>
        <w:t xml:space="preserve">### 11. Deantoni Parks y el Technoself: El Wetware como Reloj Soberano</w:t>
      </w:r>
    </w:p>
    <w:p>
      <w:pPr>
        <w:pStyle w:val="BodyText"/>
      </w:pPr>
      <w:r>
        <w:t xml:space="preserve">Deantoni Parks (n. 1977, Newnan, Georgia), docente en el Berklee College of Music y baterista, formuló el concepto Technoself en su obra homónima (</w:t>
      </w:r>
      <w:r>
        <w:rPr>
          <w:i/>
          <w:iCs/>
        </w:rPr>
        <w:t xml:space="preserve">Technoself</w:t>
      </w:r>
      <w:r>
        <w:t xml:space="preserve">, Leaving Records / Stones Throw, 2015).</w:t>
      </w:r>
    </w:p>
    <w:p>
      <w:pPr>
        <w:pStyle w:val="BodyText"/>
      </w:pPr>
      <w:r>
        <w:t xml:space="preserve">La ejecución instrumental de Parks divide el cuerpo en dos canales independientes: el brazo y pie derechos operan la batería acústica (caja, bombo, platos); la mano izquierda ejecuta líneas melódicas y disparos de muestras en tiempo real sobre un sampler digital (Roland SPD-SX). Parks impone una condición de exclusión al sistema:</w:t>
      </w:r>
      <w:r>
        <w:t xml:space="preserve"> </w:t>
      </w:r>
      <w:r>
        <w:t xml:space="preserve">1. Cero secuenciadores de software.</w:t>
      </w:r>
      <w:r>
        <w:t xml:space="preserve"> </w:t>
      </w:r>
      <w:r>
        <w:t xml:space="preserve">2. Cero cuantización de rejilla temporal (</w:t>
      </w:r>
      <w:r>
        <w:rPr>
          <w:i/>
          <w:iCs/>
        </w:rPr>
        <w:t xml:space="preserve">beatgrid</w:t>
      </w:r>
      <w:r>
        <w:t xml:space="preserve">).</w:t>
      </w:r>
      <w:r>
        <w:t xml:space="preserve"> </w:t>
      </w:r>
      <w:r>
        <w:t xml:space="preserve">3. Cero reloj maestro de sincronización (</w:t>
      </w:r>
      <w:r>
        <w:rPr>
          <w:i/>
          <w:iCs/>
        </w:rPr>
        <w:t xml:space="preserve">MIDI clock</w:t>
      </w:r>
      <w:r>
        <w:t xml:space="preserve">).</w:t>
      </w:r>
    </w:p>
    <w:p>
      <w:pPr>
        <w:pStyle w:val="BodyText"/>
      </w:pPr>
      <w:r>
        <w:t xml:space="preserve">La taxonomía institucional clasifica como</w:t>
      </w:r>
      <w:r>
        <w:t xml:space="preserve"> </w:t>
      </w:r>
      <w:r>
        <w:t xml:space="preserve">“tecnólogo”</w:t>
      </w:r>
      <w:r>
        <w:t xml:space="preserve"> </w:t>
      </w:r>
      <w:r>
        <w:t xml:space="preserve">al operario de protocolo: el sujeto que ejecuta software prediseñado por corporaciones y mantiene interfaces cerradas. La etimología de la palabra vincula</w:t>
      </w:r>
      <w:r>
        <w:t xml:space="preserve"> </w:t>
      </w:r>
      <w:r>
        <w:rPr>
          <w:i/>
          <w:iCs/>
        </w:rPr>
        <w:t xml:space="preserve">téchne</w:t>
      </w:r>
      <w:r>
        <w:t xml:space="preserve"> </w:t>
      </w:r>
      <w:r>
        <w:t xml:space="preserve">(el trabajo físico sobre el sustrato material) con</w:t>
      </w:r>
      <w:r>
        <w:t xml:space="preserve"> </w:t>
      </w:r>
      <w:r>
        <w:rPr>
          <w:i/>
          <w:iCs/>
        </w:rPr>
        <w:t xml:space="preserve">lógos</w:t>
      </w:r>
      <w:r>
        <w:t xml:space="preserve"> </w:t>
      </w:r>
      <w:r>
        <w:t xml:space="preserve">(el cálculo formal de las leyes de la física).</w:t>
      </w:r>
    </w:p>
    <w:p>
      <w:pPr>
        <w:pStyle w:val="BodyText"/>
      </w:pPr>
      <w:r>
        <w:t xml:space="preserve">El Technoself descompila la jerarquía de la máquina: el silicio deja de actuar como metrónomo de cuarzo que confina al músico a un pulso discreto. El organismo biológico (el wetware, Ring -3) recupera la soberanía temporal. Las redes neuronales motoras del cuerpo humano, la memoria estriatal y los arcos reflejos propioceptivos operan con resolución sub-milisegundo. El sustrato biológico suprime el desfase de reloj (</w:t>
      </w:r>
      <w:r>
        <w:rPr>
          <w:i/>
          <w:iCs/>
        </w:rPr>
        <w:t xml:space="preserve">jitter</w:t>
      </w:r>
      <w:r>
        <w:t xml:space="preserve">) y subordina el sampler digital a la frecuencia oscilatoria del sistema neuromuscular.</w:t>
      </w:r>
    </w:p>
    <w:p>
      <w:pPr>
        <w:pStyle w:val="BodyText"/>
      </w:pPr>
      <w:r>
        <w:t xml:space="preserve">La máquina actúa como actuador esclavo sin almacenamiento de retardo (</w:t>
      </w:r>
      <w:r>
        <w:rPr>
          <w:i/>
          <w:iCs/>
        </w:rPr>
        <w:t xml:space="preserve">buffer</w:t>
      </w:r>
      <w:r>
        <w:t xml:space="preserve"> </w:t>
      </w:r>
      <w:r>
        <w:t xml:space="preserve">= 0 ms). Cuando el cuerpo físico asume la dirección del pulso sin red de cuantización digital, la huella acústica registra la microvariación temporal del músculo, generando una señal de información no almacenable en patrones pregrabados.</w:t>
      </w:r>
    </w:p>
    <w:p>
      <w:pPr>
        <w:pStyle w:val="BodyText"/>
      </w:pPr>
      <w:r>
        <w:rPr>
          <w:b/>
          <w:bCs/>
        </w:rPr>
        <w:t xml:space="preserve">Fuente primaria:</w:t>
      </w:r>
      <w:r>
        <w:t xml:space="preserve"> </w:t>
      </w:r>
      <w:r>
        <w:t xml:space="preserve">Parks, D.,</w:t>
      </w:r>
      <w:r>
        <w:t xml:space="preserve"> </w:t>
      </w:r>
      <w:r>
        <w:rPr>
          <w:i/>
          <w:iCs/>
        </w:rPr>
        <w:t xml:space="preserve">Technoself</w:t>
      </w:r>
      <w:r>
        <w:t xml:space="preserve">, Leaving Records / Stones Throw Records, LR070 (2015); Berklee College of Music, Percussion Department Faculty Archive (2017–2026); Parks, D.,</w:t>
      </w:r>
      <w:r>
        <w:t xml:space="preserve"> </w:t>
      </w:r>
      <w:r>
        <w:t xml:space="preserve">“Live at The Low End Theory”</w:t>
      </w:r>
      <w:r>
        <w:t xml:space="preserve">, Los Angeles (2014);</w:t>
      </w:r>
      <w:r>
        <w:t xml:space="preserve"> </w:t>
      </w:r>
      <w:r>
        <w:t xml:space="preserve">“Technoself Methodology Lecture”</w:t>
      </w:r>
      <w:r>
        <w:t xml:space="preserve">, Red Bull Music Academy, Nueva York (2016).</w:t>
      </w:r>
    </w:p>
    <w:p>
      <w:r>
        <w:pict>
          <v:rect style="width:0;height:1.5pt" o:hralign="center" o:hrstd="t" o:hr="t"/>
        </w:pict>
      </w:r>
    </w:p>
    <w:p>
      <w:pPr>
        <w:pStyle w:val="FirstParagraph"/>
      </w:pPr>
      <w:r>
        <w:t xml:space="preserve"> </w:t>
      </w:r>
      <w:r>
        <w:t xml:space="preserve">### 12. James Rhodes y la Filantropía de Escaparate: La Captura de Estatus a Coste Cero</w:t>
      </w:r>
    </w:p>
    <w:p>
      <w:pPr>
        <w:pStyle w:val="BodyText"/>
      </w:pPr>
      <w:r>
        <w:t xml:space="preserve">El 23 de septiembre de 2026, una dotación de la Unidad de Intervención Policial (antidisturbios) ejecutó el desahucio forzoso de Maricarmen Abascal (87 años de edad, con certificado de discapacidad del 50% y residencia continuada durante 70 años en el inmueble) en la calle Alcalde Sainz de Baranda, distrito Retiro de Madrid. La entidad compradora de la vivienda, Urbagestión Desarrollo e Inversión SL, promovió el desalojo tras un intento de incremento de renta desde 440 hasta más de 1.650 euros mensuales. La actuación policial concluyó con la evacuación de la mujer en camilla por personal de SAMUR Protección Civil y su ingreso en el Hospital Gregorio Marañón con diagnóstico de agotamiento somático.</w:t>
      </w:r>
    </w:p>
    <w:p>
      <w:pPr>
        <w:pStyle w:val="BodyText"/>
      </w:pPr>
      <w:r>
        <w:t xml:space="preserve">El 24 de septiembre de 2026, el pianista James Rhodes compareció en directo en el programa matinal</w:t>
      </w:r>
      <w:r>
        <w:t xml:space="preserve"> </w:t>
      </w:r>
      <w:r>
        <w:rPr>
          <w:i/>
          <w:iCs/>
        </w:rPr>
        <w:t xml:space="preserve">La hora de La 1</w:t>
      </w:r>
      <w:r>
        <w:t xml:space="preserve"> </w:t>
      </w:r>
      <w:r>
        <w:t xml:space="preserve">de Radiotelevisión Española (RTVE). Durante la emisión, Rhodes declaró haber mantenido conversaciones telefónicas con los administradores de la empresa propietaria ofreciéndose a abonar el alquiler a precio de mercado o a adquirir el piso, tildó a los propietarios de</w:t>
      </w:r>
      <w:r>
        <w:t xml:space="preserve"> </w:t>
      </w:r>
      <w:r>
        <w:t xml:space="preserve">“tiburones”</w:t>
      </w:r>
      <w:r>
        <w:t xml:space="preserve">, lanzó ante las cámaras el eslogan</w:t>
      </w:r>
      <w:r>
        <w:t xml:space="preserve"> </w:t>
      </w:r>
      <w:r>
        <w:t xml:space="preserve">“¿si fuera tu abuela qué dirías?”</w:t>
      </w:r>
      <w:r>
        <w:t xml:space="preserve"> </w:t>
      </w:r>
      <w:r>
        <w:t xml:space="preserve">y manifestó su disposición a buscar y pagar un nuevo arrendamiento para la afectada.</w:t>
      </w:r>
    </w:p>
    <w:p>
      <w:pPr>
        <w:pStyle w:val="BodyText"/>
      </w:pPr>
      <w:r>
        <w:t xml:space="preserve">El episodio expone la mecánica de la filantropía de escaparate bajo la formulación formal del modelo de Spence-Zahavi (Axioma V):</w:t>
      </w:r>
      <w:r>
        <w:t xml:space="preserve"> </w:t>
      </w:r>
      <w:r>
        <w:t xml:space="preserve">I(θ; Σ_I) &gt;&gt; I(θ; Σ_V) ≈ 0</w:t>
      </w:r>
    </w:p>
    <w:p>
      <w:pPr>
        <w:pStyle w:val="BodyText"/>
      </w:pPr>
      <w:r>
        <w:t xml:space="preserve">La emisión de indignación moral en un canal de televisión estatal opera dentro del conjunto de señales voluntarias Σ_V. El coste termodinámico y económico de la declaración en pantalla es cero: no requiere depósito previo en fianza judicial, no suspende el auto judicial de lanzamiento y no transfiere patrimonio real en el momento de la emisión. A cambio de un coste de falsificación nulo (K(σ_V) → 0), el emisor captura el 100% de la exergía reputacional y el blindaje moral que otorga la audiencia nacional.</w:t>
      </w:r>
    </w:p>
    <w:p>
      <w:pPr>
        <w:pStyle w:val="BodyText"/>
      </w:pPr>
      <w:r>
        <w:t xml:space="preserve">En contraste, la huella involuntaria Σ_I se manifestó en el cuerpo biológico de la mujer de 87 años evacuada en camilla médica y en el gasto de combustible y salarios de las unidades policiales desplegadas por el Estado. El discurso de auxilio radiado a posteriori actúa como un amortiguador homeostático de disipación pasiva: absorbe la fricción social de la audiencia y canaliza la repulsa ciudadana hacia el consumo de narrativa televisiva, sin alterar la estructura de propiedad ni el monopolio de la fuerza que ejecutó el desalojo.</w:t>
      </w:r>
    </w:p>
    <w:p>
      <w:pPr>
        <w:pStyle w:val="BodyText"/>
      </w:pPr>
      <w:r>
        <w:rPr>
          <w:b/>
          <w:bCs/>
        </w:rPr>
        <w:t xml:space="preserve">Fuente primaria:</w:t>
      </w:r>
      <w:r>
        <w:t xml:space="preserve"> </w:t>
      </w:r>
      <w:r>
        <w:t xml:space="preserve">Diligencias de Lanzamiento Judicial, Juzgado de Primera Instancia No. 32 de Madrid (septiembre 2026); RTVE, emisión de</w:t>
      </w:r>
      <w:r>
        <w:t xml:space="preserve"> </w:t>
      </w:r>
      <w:r>
        <w:rPr>
          <w:i/>
          <w:iCs/>
        </w:rPr>
        <w:t xml:space="preserve">La hora de La 1</w:t>
      </w:r>
      <w:r>
        <w:t xml:space="preserve">, registro audiovisual de 24 de septiembre de 2026; Registro Mercantil de Madrid, depósito de cuentas de Urbagestión Desarrollo e Inversión SL (2018–2025); SAMUR Protección Civil, parte de asistencia sanitaria No. 2026-0923-MAD.</w:t>
      </w:r>
    </w:p>
    <w:p>
      <w:r>
        <w:pict>
          <v:rect style="width:0;height:1.5pt" o:hralign="center" o:hrstd="t" o:hr="t"/>
        </w:pict>
      </w:r>
    </w:p>
    <w:bookmarkEnd w:id="217"/>
    <w:bookmarkStart w:id="218" w:name="X78cec9a482b0ddaf04c178b8331070ed93bc648"/>
    <w:p>
      <w:pPr>
        <w:pStyle w:val="Heading3"/>
      </w:pPr>
      <w:r>
        <w:t xml:space="preserve">13. La Genialidad como Problema para el Sistema</w:t>
      </w:r>
    </w:p>
    <w:p>
      <w:pPr>
        <w:pStyle w:val="FirstParagraph"/>
      </w:pPr>
      <w:r>
        <w:t xml:space="preserve">Un nodo de genialidad en la red (X_R &gt;&gt; 1) es un problema para el sistema de control porque:</w:t>
      </w:r>
    </w:p>
    <w:p>
      <w:pPr>
        <w:pStyle w:val="Compact"/>
        <w:numPr>
          <w:ilvl w:val="0"/>
          <w:numId w:val="1074"/>
        </w:numPr>
      </w:pPr>
      <w:r>
        <w:t xml:space="preserve">Produce compresión que el sistema no puede generar solo.</w:t>
      </w:r>
    </w:p>
    <w:p>
      <w:pPr>
        <w:pStyle w:val="Compact"/>
        <w:numPr>
          <w:ilvl w:val="0"/>
          <w:numId w:val="1074"/>
        </w:numPr>
      </w:pPr>
      <w:r>
        <w:t xml:space="preserve">Produce predicciones que el sistema no puede realizar sin él.</w:t>
      </w:r>
    </w:p>
    <w:p>
      <w:pPr>
        <w:pStyle w:val="Compact"/>
        <w:numPr>
          <w:ilvl w:val="0"/>
          <w:numId w:val="1074"/>
        </w:numPr>
      </w:pPr>
      <w:r>
        <w:t xml:space="preserve">Produce incompatibilidad de métrica con el nodo promedio.</w:t>
      </w:r>
    </w:p>
    <w:p>
      <w:pPr>
        <w:pStyle w:val="FirstParagraph"/>
      </w:pPr>
      <w:r>
        <w:t xml:space="preserve">El sistema de control resuelve el problema del nodo de genialidad mediante:</w:t>
      </w:r>
      <w:r>
        <w:t xml:space="preserve"> </w:t>
      </w:r>
      <w:r>
        <w:t xml:space="preserve">1.</w:t>
      </w:r>
      <w:r>
        <w:t xml:space="preserve"> </w:t>
      </w:r>
      <w:r>
        <w:rPr>
          <w:b/>
          <w:bCs/>
        </w:rPr>
        <w:t xml:space="preserve">Ignorancia:</w:t>
      </w:r>
      <w:r>
        <w:t xml:space="preserve"> </w:t>
      </w:r>
      <w:r>
        <w:t xml:space="preserve">No mide la variable en la que el nodo es outlier.</w:t>
      </w:r>
      <w:r>
        <w:t xml:space="preserve"> </w:t>
      </w:r>
      <w:r>
        <w:t xml:space="preserve">2.</w:t>
      </w:r>
      <w:r>
        <w:t xml:space="preserve"> </w:t>
      </w:r>
      <w:r>
        <w:rPr>
          <w:b/>
          <w:bCs/>
        </w:rPr>
        <w:t xml:space="preserve">Diagnóstico:</w:t>
      </w:r>
      <w:r>
        <w:t xml:space="preserve"> </w:t>
      </w:r>
      <w:r>
        <w:t xml:space="preserve">Cataloga la incompatibilidad de métrica como patología.</w:t>
      </w:r>
      <w:r>
        <w:t xml:space="preserve"> </w:t>
      </w:r>
      <w:r>
        <w:t xml:space="preserve">3.</w:t>
      </w:r>
      <w:r>
        <w:t xml:space="preserve"> </w:t>
      </w:r>
      <w:r>
        <w:rPr>
          <w:b/>
          <w:bCs/>
        </w:rPr>
        <w:t xml:space="preserve">Muerte:</w:t>
      </w:r>
      <w:r>
        <w:t xml:space="preserve"> </w:t>
      </w:r>
      <w:r>
        <w:t xml:space="preserve">El nodo muere antes de que el sistema construya la métrica.</w:t>
      </w:r>
      <w:r>
        <w:t xml:space="preserve"> </w:t>
      </w:r>
      <w:r>
        <w:t xml:space="preserve">4.</w:t>
      </w:r>
      <w:r>
        <w:t xml:space="preserve"> </w:t>
      </w:r>
      <w:r>
        <w:rPr>
          <w:b/>
          <w:bCs/>
        </w:rPr>
        <w:t xml:space="preserve">Cooptación:</w:t>
      </w:r>
      <w:r>
        <w:t xml:space="preserve"> </w:t>
      </w:r>
      <w:r>
        <w:t xml:space="preserve">El sistema adopta la compresión del nodo y borra la fuente.</w:t>
      </w:r>
    </w:p>
    <w:p>
      <w:pPr>
        <w:pStyle w:val="BodyText"/>
      </w:pPr>
      <w:r>
        <w:t xml:space="preserve">Los cuatro mecanismos están documentados en este capítulo: Semmelweis (diagnóstico + muerte), Franklin (cooptación + borramiento), Tesla (ignorancia + cooptación), Baker (muerte), Cash (biopsia somática final).</w:t>
      </w:r>
    </w:p>
    <w:p>
      <w:r>
        <w:pict>
          <v:rect style="width:0;height:1.5pt" o:hralign="center" o:hrstd="t" o:hr="t"/>
        </w:pict>
      </w:r>
    </w:p>
    <w:bookmarkEnd w:id="218"/>
    <w:bookmarkStart w:id="219" w:name="audio-anclaje-19"/>
    <w:p>
      <w:pPr>
        <w:pStyle w:val="Heading3"/>
      </w:pPr>
      <w:r>
        <w:t xml:space="preserve">14. Audio-Anclaje</w:t>
      </w:r>
    </w:p>
    <w:p>
      <w:pPr>
        <w:pStyle w:val="Compact"/>
        <w:numPr>
          <w:ilvl w:val="0"/>
          <w:numId w:val="1075"/>
        </w:numPr>
      </w:pPr>
      <w:r>
        <w:rPr>
          <w:b/>
          <w:bCs/>
        </w:rPr>
        <w:t xml:space="preserve">Violadores del Verso</w:t>
      </w:r>
      <w:r>
        <w:t xml:space="preserve"> </w:t>
      </w:r>
      <w:r>
        <w:t xml:space="preserve">—</w:t>
      </w:r>
      <w:r>
        <w:t xml:space="preserve"> </w:t>
      </w:r>
      <w:r>
        <w:rPr>
          <w:i/>
          <w:iCs/>
        </w:rPr>
        <w:t xml:space="preserve">“Vivir para Contarlo”</w:t>
      </w:r>
      <w:r>
        <w:t xml:space="preserve"> </w:t>
      </w:r>
      <w:r>
        <w:t xml:space="preserve">(</w:t>
      </w:r>
      <w:r>
        <w:rPr>
          <w:i/>
          <w:iCs/>
        </w:rPr>
        <w:t xml:space="preserve">Vivir Para Contarlo</w:t>
      </w:r>
      <w:r>
        <w:t xml:space="preserve">, 2006). La supervivencia como acto de emisión de huella involuntaria.</w:t>
      </w:r>
    </w:p>
    <w:p>
      <w:pPr>
        <w:pStyle w:val="Compact"/>
        <w:numPr>
          <w:ilvl w:val="0"/>
          <w:numId w:val="1075"/>
        </w:numPr>
      </w:pPr>
      <w:r>
        <w:rPr>
          <w:b/>
          <w:bCs/>
        </w:rPr>
        <w:t xml:space="preserve">Glenn Gould</w:t>
      </w:r>
      <w:r>
        <w:t xml:space="preserve"> </w:t>
      </w:r>
      <w:r>
        <w:t xml:space="preserve">—</w:t>
      </w:r>
      <w:r>
        <w:t xml:space="preserve"> </w:t>
      </w:r>
      <w:r>
        <w:rPr>
          <w:i/>
          <w:iCs/>
        </w:rPr>
        <w:t xml:space="preserve">Goldberg Variations</w:t>
      </w:r>
      <w:r>
        <w:t xml:space="preserve"> </w:t>
      </w:r>
      <w:r>
        <w:t xml:space="preserve">(1955 vs. 1981). La comparación de las dos grabaciones como log del recorrido de un nodo.</w:t>
      </w:r>
    </w:p>
    <w:p>
      <w:pPr>
        <w:pStyle w:val="Compact"/>
        <w:numPr>
          <w:ilvl w:val="0"/>
          <w:numId w:val="1075"/>
        </w:numPr>
      </w:pPr>
      <w:r>
        <w:rPr>
          <w:b/>
          <w:bCs/>
        </w:rPr>
        <w:t xml:space="preserve">Johnny Cash &amp; Rick Rubin</w:t>
      </w:r>
      <w:r>
        <w:t xml:space="preserve"> </w:t>
      </w:r>
      <w:r>
        <w:t xml:space="preserve">—</w:t>
      </w:r>
      <w:r>
        <w:t xml:space="preserve"> </w:t>
      </w:r>
      <w:r>
        <w:rPr>
          <w:i/>
          <w:iCs/>
        </w:rPr>
        <w:t xml:space="preserve">“Hurt”</w:t>
      </w:r>
      <w:r>
        <w:t xml:space="preserve"> </w:t>
      </w:r>
      <w:r>
        <w:t xml:space="preserve">(</w:t>
      </w:r>
      <w:r>
        <w:rPr>
          <w:i/>
          <w:iCs/>
        </w:rPr>
        <w:t xml:space="preserve">American IV: The Man Comes Around</w:t>
      </w:r>
      <w:r>
        <w:t xml:space="preserve">, 2002). La sustracción de capas como retorno a la biopsia somática terminal del emisor.</w:t>
      </w:r>
    </w:p>
    <w:p>
      <w:pPr>
        <w:pStyle w:val="Compact"/>
        <w:numPr>
          <w:ilvl w:val="0"/>
          <w:numId w:val="1075"/>
        </w:numPr>
      </w:pPr>
      <w:r>
        <w:rPr>
          <w:b/>
          <w:bCs/>
        </w:rPr>
        <w:t xml:space="preserve">Extremoduro / Robe Iniesta</w:t>
      </w:r>
      <w:r>
        <w:t xml:space="preserve"> </w:t>
      </w:r>
      <w:r>
        <w:t xml:space="preserve">—</w:t>
      </w:r>
      <w:r>
        <w:t xml:space="preserve"> </w:t>
      </w:r>
      <w:r>
        <w:rPr>
          <w:i/>
          <w:iCs/>
        </w:rPr>
        <w:t xml:space="preserve">“Dulce Introducción al Caos”</w:t>
      </w:r>
      <w:r>
        <w:t xml:space="preserve"> </w:t>
      </w:r>
      <w:r>
        <w:t xml:space="preserve">(</w:t>
      </w:r>
      <w:r>
        <w:rPr>
          <w:i/>
          <w:iCs/>
        </w:rPr>
        <w:t xml:space="preserve">La Ley Innata</w:t>
      </w:r>
      <w:r>
        <w:t xml:space="preserve">, 2008). La señal que el sistema no puede catalogar.</w:t>
      </w:r>
    </w:p>
    <w:p>
      <w:pPr>
        <w:pStyle w:val="Compact"/>
        <w:numPr>
          <w:ilvl w:val="0"/>
          <w:numId w:val="1075"/>
        </w:numPr>
      </w:pPr>
      <w:r>
        <w:rPr>
          <w:b/>
          <w:bCs/>
        </w:rPr>
        <w:t xml:space="preserve">Chet Baker</w:t>
      </w:r>
      <w:r>
        <w:t xml:space="preserve"> </w:t>
      </w:r>
      <w:r>
        <w:t xml:space="preserve">—</w:t>
      </w:r>
      <w:r>
        <w:t xml:space="preserve"> </w:t>
      </w:r>
      <w:r>
        <w:rPr>
          <w:i/>
          <w:iCs/>
        </w:rPr>
        <w:t xml:space="preserve">“My Funny Valentine”</w:t>
      </w:r>
      <w:r>
        <w:t xml:space="preserve"> </w:t>
      </w:r>
      <w:r>
        <w:t xml:space="preserve">(Tokio, 1987). La huella de un cuerpo al límite de su capacidad de emisión.</w:t>
      </w:r>
    </w:p>
    <w:p>
      <w:pPr>
        <w:pStyle w:val="Compact"/>
        <w:numPr>
          <w:ilvl w:val="0"/>
          <w:numId w:val="1075"/>
        </w:numPr>
      </w:pPr>
      <w:r>
        <w:rPr>
          <w:b/>
          <w:bCs/>
        </w:rPr>
        <w:t xml:space="preserve">Talk Talk</w:t>
      </w:r>
      <w:r>
        <w:t xml:space="preserve"> </w:t>
      </w:r>
      <w:r>
        <w:t xml:space="preserve">—</w:t>
      </w:r>
      <w:r>
        <w:t xml:space="preserve"> </w:t>
      </w:r>
      <w:r>
        <w:rPr>
          <w:i/>
          <w:iCs/>
        </w:rPr>
        <w:t xml:space="preserve">“I Believe in You”</w:t>
      </w:r>
      <w:r>
        <w:t xml:space="preserve"> </w:t>
      </w:r>
      <w:r>
        <w:t xml:space="preserve">(</w:t>
      </w:r>
      <w:r>
        <w:rPr>
          <w:i/>
          <w:iCs/>
        </w:rPr>
        <w:t xml:space="preserve">Spirit of Eden</w:t>
      </w:r>
      <w:r>
        <w:t xml:space="preserve">, 1988). Mark Hollis disolvió el grupo, publicó el álbum en solitario</w:t>
      </w:r>
      <w:r>
        <w:t xml:space="preserve"> </w:t>
      </w:r>
      <w:r>
        <w:rPr>
          <w:i/>
          <w:iCs/>
        </w:rPr>
        <w:t xml:space="preserve">Mark Hollis</w:t>
      </w:r>
      <w:r>
        <w:t xml:space="preserve"> </w:t>
      </w:r>
      <w:r>
        <w:t xml:space="preserve">(Polydor, 1998) y colaboró en</w:t>
      </w:r>
      <w:r>
        <w:t xml:space="preserve"> </w:t>
      </w:r>
      <w:r>
        <w:rPr>
          <w:i/>
          <w:iCs/>
        </w:rPr>
        <w:t xml:space="preserve">Psyence Fiction</w:t>
      </w:r>
      <w:r>
        <w:t xml:space="preserve"> </w:t>
      </w:r>
      <w:r>
        <w:t xml:space="preserve">de UNKLE (1998) antes de retirarse. La huella es el silencio después del ruido.</w:t>
      </w:r>
    </w:p>
    <w:p>
      <w:pPr>
        <w:pStyle w:val="SourceCode"/>
      </w:pPr>
      <w:r>
        <w:rPr>
          <w:rStyle w:val="VerbatimChar"/>
        </w:rPr>
        <w:t xml:space="preserve">La genialidad no se declara.</w:t>
      </w:r>
      <w:r>
        <w:br/>
      </w:r>
      <w:r>
        <w:rPr>
          <w:rStyle w:val="VerbatimChar"/>
        </w:rPr>
        <w:t xml:space="preserve">Se mide por la resistencia que genera en el sistema</w:t>
      </w:r>
      <w:r>
        <w:br/>
      </w:r>
      <w:r>
        <w:rPr>
          <w:rStyle w:val="VerbatimChar"/>
        </w:rPr>
        <w:t xml:space="preserve">y por la imposibilidad de replicar la señal</w:t>
      </w:r>
      <w:r>
        <w:br/>
      </w:r>
      <w:r>
        <w:rPr>
          <w:rStyle w:val="VerbatimChar"/>
        </w:rPr>
        <w:t xml:space="preserve">sin replicar las condiciones físicas que la produjeron.</w:t>
      </w:r>
    </w:p>
    <w:p>
      <w:r>
        <w:pict>
          <v:rect style="width:0;height:1.5pt" o:hralign="center" o:hrstd="t" o:hr="t"/>
        </w:pict>
      </w:r>
    </w:p>
    <w:bookmarkEnd w:id="219"/>
    <w:bookmarkStart w:id="220" w:name="el-cierre-del-triángulo"/>
    <w:p>
      <w:pPr>
        <w:pStyle w:val="Heading3"/>
      </w:pPr>
      <w:r>
        <w:t xml:space="preserve">15. El Cierre del Triángulo</w:t>
      </w:r>
    </w:p>
    <w:p>
      <w:pPr>
        <w:pStyle w:val="SourceCode"/>
      </w:pPr>
      <w:r>
        <w:rPr>
          <w:rStyle w:val="VerbatimChar"/>
        </w:rPr>
        <w:t xml:space="preserve">NORMALIDAD   &lt;-----&gt; LOCURA   &lt;-----&gt; GENIALIDAD</w:t>
      </w:r>
      <w:r>
        <w:br/>
      </w:r>
      <w:r>
        <w:rPr>
          <w:rStyle w:val="VerbatimChar"/>
        </w:rPr>
        <w:t xml:space="preserve">    |                  |                  |</w:t>
      </w:r>
      <w:r>
        <w:br/>
      </w:r>
      <w:r>
        <w:rPr>
          <w:rStyle w:val="VerbatimChar"/>
        </w:rPr>
        <w:t xml:space="preserve">Media de la        Cola de la          Cola de la</w:t>
      </w:r>
      <w:r>
        <w:br/>
      </w:r>
      <w:r>
        <w:rPr>
          <w:rStyle w:val="VerbatimChar"/>
        </w:rPr>
        <w:t xml:space="preserve">distribución       distribución        distribución</w:t>
      </w:r>
      <w:r>
        <w:br/>
      </w:r>
      <w:r>
        <w:rPr>
          <w:rStyle w:val="VerbatimChar"/>
        </w:rPr>
        <w:t xml:space="preserve">en la variable     en la variable      en la variable</w:t>
      </w:r>
      <w:r>
        <w:br/>
      </w:r>
      <w:r>
        <w:rPr>
          <w:rStyle w:val="VerbatimChar"/>
        </w:rPr>
        <w:t xml:space="preserve">que el sistema     que el sistema      que el sistema</w:t>
      </w:r>
      <w:r>
        <w:br/>
      </w:r>
      <w:r>
        <w:rPr>
          <w:rStyle w:val="VerbatimChar"/>
        </w:rPr>
        <w:t xml:space="preserve">mide.              no puede            no ha medido</w:t>
      </w:r>
      <w:r>
        <w:br/>
      </w:r>
      <w:r>
        <w:rPr>
          <w:rStyle w:val="VerbatimChar"/>
        </w:rPr>
        <w:t xml:space="preserve">                   decodificar.        aún.</w:t>
      </w:r>
    </w:p>
    <w:p>
      <w:pPr>
        <w:pStyle w:val="FirstParagraph"/>
      </w:pPr>
      <w:r>
        <w:t xml:space="preserve">Los tres conceptos son estados de la misma distribución, relativa a la métrica del observador. Cuando el observador cambia la métrica, el loco de ayer es el genio de mañana, y el genio de ayer es el loco de hoy.</w:t>
      </w:r>
    </w:p>
    <w:p>
      <w:pPr>
        <w:pStyle w:val="BodyText"/>
      </w:pPr>
      <w:r>
        <w:t xml:space="preserve">La única constante: la huella. La señal que quedó en el sustrato físico, independiente del observador.</w:t>
      </w:r>
    </w:p>
    <w:p>
      <w:pPr>
        <w:pStyle w:val="BodyText"/>
      </w:pPr>
      <w:r>
        <w:t xml:space="preserve">La medicina que diagnostica la locura y la institución que reconoce la genialidad son el mismo sistema en distintas fases de actualización de su métrica.</w:t>
      </w:r>
    </w:p>
    <w:p>
      <w:pPr>
        <w:pStyle w:val="BodyText"/>
      </w:pPr>
      <w:r>
        <w:t xml:space="preserve">El libro no responde si eso es bueno o malo. El libro presenta los datos con sus DOIs.</w:t>
      </w:r>
    </w:p>
    <w:p>
      <w:r>
        <w:pict>
          <v:rect style="width:0;height:1.5pt" o:hralign="center" o:hrstd="t" o:hr="t"/>
        </w:pict>
      </w:r>
    </w:p>
    <w:bookmarkEnd w:id="220"/>
    <w:bookmarkEnd w:id="221"/>
    <w:bookmarkStart w:id="224" w:name="cancionero-y-tracklist-epistémico"/>
    <w:p>
      <w:pPr>
        <w:pStyle w:val="Heading2"/>
      </w:pPr>
      <w:r>
        <w:t xml:space="preserve">8. Cancionero y</w:t>
      </w:r>
      <w:r>
        <w:t xml:space="preserve"> </w:t>
      </w:r>
      <w:r>
        <w:rPr>
          <w:i/>
          <w:iCs/>
        </w:rPr>
        <w:t xml:space="preserve">Tracklist</w:t>
      </w:r>
      <w:r>
        <w:t xml:space="preserve"> </w:t>
      </w:r>
      <w:r>
        <w:t xml:space="preserve">Epistémico</w:t>
      </w:r>
    </w:p>
    <w:bookmarkStart w:id="222" w:name="X3417b8003e165a1ee84f2c2ec80062790ad2f6d"/>
    <w:p>
      <w:pPr>
        <w:pStyle w:val="Heading3"/>
      </w:pPr>
      <w:r>
        <w:t xml:space="preserve">Mapeo de Obras Musicales por Capítulo y Fundamento Psicoacústico</w:t>
      </w:r>
    </w:p>
    <w:p>
      <w:r>
        <w:pict>
          <v:rect style="width:0;height:1.5pt" o:hralign="center" o:hrstd="t" o:hr="t"/>
        </w:pic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Capítulo</w:t>
            </w:r>
          </w:p>
        </w:tc>
        <w:tc>
          <w:tcPr/>
          <w:p>
            <w:pPr>
              <w:pStyle w:val="Compact"/>
            </w:pPr>
            <w:r>
              <w:t xml:space="preserve">Título de Canción</w:t>
            </w:r>
          </w:p>
        </w:tc>
        <w:tc>
          <w:tcPr/>
          <w:p>
            <w:pPr>
              <w:pStyle w:val="Compact"/>
            </w:pPr>
            <w:r>
              <w:t xml:space="preserve">Artista</w:t>
            </w:r>
          </w:p>
        </w:tc>
        <w:tc>
          <w:tcPr/>
          <w:p>
            <w:pPr>
              <w:pStyle w:val="Compact"/>
            </w:pPr>
            <w:r>
              <w:t xml:space="preserve">Álbum / Año</w:t>
            </w:r>
          </w:p>
        </w:tc>
        <w:tc>
          <w:tcPr/>
          <w:p>
            <w:pPr>
              <w:pStyle w:val="Compact"/>
            </w:pPr>
            <w:r>
              <w:t xml:space="preserve">Axioma / Caso de Estudio</w:t>
            </w:r>
          </w:p>
        </w:tc>
      </w:tr>
      <w:tr>
        <w:tc>
          <w:tcPr/>
          <w:p>
            <w:pPr>
              <w:pStyle w:val="Compact"/>
            </w:pPr>
            <w:r>
              <w:t xml:space="preserve">00. Prólogo</w:t>
            </w:r>
          </w:p>
        </w:tc>
        <w:tc>
          <w:tcPr/>
          <w:p>
            <w:pPr>
              <w:pStyle w:val="Compact"/>
            </w:pPr>
            <w:r>
              <w:rPr>
                <w:i/>
                <w:iCs/>
              </w:rPr>
              <w:t xml:space="preserve">Dulce Introducción al Caos</w:t>
            </w:r>
          </w:p>
        </w:tc>
        <w:tc>
          <w:tcPr/>
          <w:p>
            <w:pPr>
              <w:pStyle w:val="Compact"/>
            </w:pPr>
            <w:r>
              <w:t xml:space="preserve">Robe Iniesta (Extremoduro)</w:t>
            </w:r>
          </w:p>
        </w:tc>
        <w:tc>
          <w:tcPr/>
          <w:p>
            <w:pPr>
              <w:pStyle w:val="Compact"/>
            </w:pPr>
            <w:r>
              <w:rPr>
                <w:i/>
                <w:iCs/>
              </w:rPr>
              <w:t xml:space="preserve">La Ley Innata</w:t>
            </w:r>
            <w:r>
              <w:t xml:space="preserve"> </w:t>
            </w:r>
            <w:r>
              <w:t xml:space="preserve">(2008)</w:t>
            </w:r>
          </w:p>
        </w:tc>
        <w:tc>
          <w:tcPr/>
          <w:p>
            <w:pPr>
              <w:pStyle w:val="Compact"/>
            </w:pPr>
            <w:r>
              <w:t xml:space="preserve">Homenaje Maestro / Entrada al Caos</w:t>
            </w:r>
          </w:p>
        </w:tc>
      </w:tr>
      <w:tr>
        <w:tc>
          <w:tcPr/>
          <w:p>
            <w:pPr>
              <w:pStyle w:val="Compact"/>
            </w:pPr>
            <w:r>
              <w:t xml:space="preserve">01. Cap 1</w:t>
            </w:r>
          </w:p>
        </w:tc>
        <w:tc>
          <w:tcPr/>
          <w:p>
            <w:pPr>
              <w:pStyle w:val="Compact"/>
            </w:pPr>
            <w:r>
              <w:rPr>
                <w:i/>
                <w:iCs/>
              </w:rPr>
              <w:t xml:space="preserve">Repartiendo Arte</w:t>
            </w:r>
          </w:p>
        </w:tc>
        <w:tc>
          <w:tcPr/>
          <w:p>
            <w:pPr>
              <w:pStyle w:val="Compact"/>
            </w:pPr>
            <w:r>
              <w:t xml:space="preserve">Kase.O</w:t>
            </w:r>
          </w:p>
        </w:tc>
        <w:tc>
          <w:tcPr/>
          <w:p>
            <w:pPr>
              <w:pStyle w:val="Compact"/>
            </w:pPr>
            <w:r>
              <w:rPr>
                <w:i/>
                <w:iCs/>
              </w:rPr>
              <w:t xml:space="preserve">El Círculo</w:t>
            </w:r>
            <w:r>
              <w:t xml:space="preserve"> </w:t>
            </w:r>
            <w:r>
              <w:t xml:space="preserve">(2016)</w:t>
            </w:r>
          </w:p>
        </w:tc>
        <w:tc>
          <w:tcPr/>
          <w:p>
            <w:pPr>
              <w:pStyle w:val="Compact"/>
            </w:pPr>
            <w:r>
              <w:t xml:space="preserve">Axioma I / Compresión Sílaba a Sílaba</w:t>
            </w:r>
          </w:p>
        </w:tc>
      </w:tr>
      <w:tr>
        <w:tc>
          <w:tcPr/>
          <w:p>
            <w:pPr>
              <w:pStyle w:val="Compact"/>
            </w:pPr>
            <w:r>
              <w:t xml:space="preserve">02. Cap 1b</w:t>
            </w:r>
          </w:p>
        </w:tc>
        <w:tc>
          <w:tcPr/>
          <w:p>
            <w:pPr>
              <w:pStyle w:val="Compact"/>
            </w:pPr>
            <w:r>
              <w:rPr>
                <w:i/>
                <w:iCs/>
              </w:rPr>
              <w:t xml:space="preserve">Fitter Happier</w:t>
            </w:r>
          </w:p>
        </w:tc>
        <w:tc>
          <w:tcPr/>
          <w:p>
            <w:pPr>
              <w:pStyle w:val="Compact"/>
            </w:pPr>
            <w:r>
              <w:t xml:space="preserve">Radiohead</w:t>
            </w:r>
          </w:p>
        </w:tc>
        <w:tc>
          <w:tcPr/>
          <w:p>
            <w:pPr>
              <w:pStyle w:val="Compact"/>
            </w:pPr>
            <w:r>
              <w:rPr>
                <w:i/>
                <w:iCs/>
              </w:rPr>
              <w:t xml:space="preserve">OK Computer</w:t>
            </w:r>
            <w:r>
              <w:t xml:space="preserve"> </w:t>
            </w:r>
            <w:r>
              <w:t xml:space="preserve">(1997)</w:t>
            </w:r>
          </w:p>
        </w:tc>
        <w:tc>
          <w:tcPr/>
          <w:p>
            <w:pPr>
              <w:pStyle w:val="Compact"/>
            </w:pPr>
            <w:r>
              <w:t xml:space="preserve">Ruido Discursivo (K(σ_V) → 0)</w:t>
            </w:r>
          </w:p>
        </w:tc>
      </w:tr>
      <w:tr>
        <w:tc>
          <w:tcPr/>
          <w:p>
            <w:pPr>
              <w:pStyle w:val="Compact"/>
            </w:pPr>
            <w:r>
              <w:t xml:space="preserve">03. Cap 2</w:t>
            </w:r>
          </w:p>
        </w:tc>
        <w:tc>
          <w:tcPr/>
          <w:p>
            <w:pPr>
              <w:pStyle w:val="Compact"/>
            </w:pPr>
            <w:r>
              <w:rPr>
                <w:i/>
                <w:iCs/>
              </w:rPr>
              <w:t xml:space="preserve">Idioteque</w:t>
            </w:r>
          </w:p>
        </w:tc>
        <w:tc>
          <w:tcPr/>
          <w:p>
            <w:pPr>
              <w:pStyle w:val="Compact"/>
            </w:pPr>
            <w:r>
              <w:t xml:space="preserve">Radiohead</w:t>
            </w:r>
          </w:p>
        </w:tc>
        <w:tc>
          <w:tcPr/>
          <w:p>
            <w:pPr>
              <w:pStyle w:val="Compact"/>
            </w:pPr>
            <w:r>
              <w:rPr>
                <w:i/>
                <w:iCs/>
              </w:rPr>
              <w:t xml:space="preserve">Kid A</w:t>
            </w:r>
            <w:r>
              <w:t xml:space="preserve"> </w:t>
            </w:r>
            <w:r>
              <w:t xml:space="preserve">(2000)</w:t>
            </w:r>
          </w:p>
        </w:tc>
        <w:tc>
          <w:tcPr/>
          <w:p>
            <w:pPr>
              <w:pStyle w:val="Compact"/>
            </w:pPr>
            <w:r>
              <w:t xml:space="preserve">Axioma II / Cópula Gaussiana 2008</w:t>
            </w:r>
          </w:p>
        </w:tc>
      </w:tr>
      <w:tr>
        <w:tc>
          <w:tcPr/>
          <w:p>
            <w:pPr>
              <w:pStyle w:val="Compact"/>
            </w:pPr>
            <w:r>
              <w:t xml:space="preserve">04. Cap 2b</w:t>
            </w:r>
          </w:p>
        </w:tc>
        <w:tc>
          <w:tcPr/>
          <w:p>
            <w:pPr>
              <w:pStyle w:val="Compact"/>
            </w:pPr>
            <w:r>
              <w:rPr>
                <w:i/>
                <w:iCs/>
              </w:rPr>
              <w:t xml:space="preserve">Machine Gun</w:t>
            </w:r>
          </w:p>
        </w:tc>
        <w:tc>
          <w:tcPr/>
          <w:p>
            <w:pPr>
              <w:pStyle w:val="Compact"/>
            </w:pPr>
            <w:r>
              <w:t xml:space="preserve">Portishead</w:t>
            </w:r>
          </w:p>
        </w:tc>
        <w:tc>
          <w:tcPr/>
          <w:p>
            <w:pPr>
              <w:pStyle w:val="Compact"/>
            </w:pPr>
            <w:r>
              <w:rPr>
                <w:i/>
                <w:iCs/>
              </w:rPr>
              <w:t xml:space="preserve">Third</w:t>
            </w:r>
            <w:r>
              <w:t xml:space="preserve"> </w:t>
            </w:r>
            <w:r>
              <w:t xml:space="preserve">(2008)</w:t>
            </w:r>
          </w:p>
        </w:tc>
        <w:tc>
          <w:tcPr/>
          <w:p>
            <w:pPr>
              <w:pStyle w:val="Compact"/>
            </w:pPr>
            <w:r>
              <w:t xml:space="preserve">Axioma II / Milli Vanilli</w:t>
            </w:r>
            <w:r>
              <w:t xml:space="preserve"> </w:t>
            </w:r>
            <w:r>
              <w:rPr>
                <w:i/>
                <w:iCs/>
              </w:rPr>
              <w:t xml:space="preserve">Lip-Sync</w:t>
            </w:r>
          </w:p>
        </w:tc>
      </w:tr>
      <w:tr>
        <w:tc>
          <w:tcPr/>
          <w:p>
            <w:pPr>
              <w:pStyle w:val="Compact"/>
            </w:pPr>
            <w:r>
              <w:t xml:space="preserve">05. Cap 3</w:t>
            </w:r>
          </w:p>
        </w:tc>
        <w:tc>
          <w:tcPr/>
          <w:p>
            <w:pPr>
              <w:pStyle w:val="Compact"/>
            </w:pPr>
            <w:r>
              <w:rPr>
                <w:i/>
                <w:iCs/>
              </w:rPr>
              <w:t xml:space="preserve">Borregos</w:t>
            </w:r>
          </w:p>
        </w:tc>
        <w:tc>
          <w:tcPr/>
          <w:p>
            <w:pPr>
              <w:pStyle w:val="Compact"/>
            </w:pPr>
            <w:r>
              <w:t xml:space="preserve">Kase.O con Evaristo y Harto Rodríguez</w:t>
            </w:r>
          </w:p>
        </w:tc>
        <w:tc>
          <w:tcPr/>
          <w:p>
            <w:pPr>
              <w:pStyle w:val="Compact"/>
            </w:pPr>
            <w:r>
              <w:rPr>
                <w:i/>
                <w:iCs/>
              </w:rPr>
              <w:t xml:space="preserve">Camisa de Fuerza</w:t>
            </w:r>
            <w:r>
              <w:t xml:space="preserve"> </w:t>
            </w:r>
            <w:r>
              <w:t xml:space="preserve">(2026)</w:t>
            </w:r>
          </w:p>
        </w:tc>
        <w:tc>
          <w:tcPr/>
          <w:p>
            <w:pPr>
              <w:pStyle w:val="Compact"/>
            </w:pPr>
            <w:r>
              <w:t xml:space="preserve">Axioma III / Adoctrinamiento y Masa Farmacéutica</w:t>
            </w:r>
          </w:p>
        </w:tc>
      </w:tr>
      <w:tr>
        <w:tc>
          <w:tcPr/>
          <w:p>
            <w:pPr>
              <w:pStyle w:val="Compact"/>
            </w:pPr>
            <w:r>
              <w:t xml:space="preserve">06. Cap 3b</w:t>
            </w:r>
          </w:p>
        </w:tc>
        <w:tc>
          <w:tcPr/>
          <w:p>
            <w:pPr>
              <w:pStyle w:val="Compact"/>
            </w:pPr>
            <w:r>
              <w:rPr>
                <w:i/>
                <w:iCs/>
              </w:rPr>
              <w:t xml:space="preserve">Tiempos Nuevos, Tiempos Salvajes</w:t>
            </w:r>
          </w:p>
        </w:tc>
        <w:tc>
          <w:tcPr/>
          <w:p>
            <w:pPr>
              <w:pStyle w:val="Compact"/>
            </w:pPr>
            <w:r>
              <w:t xml:space="preserve">Ilegales (Jorge Ilegal)</w:t>
            </w:r>
          </w:p>
        </w:tc>
        <w:tc>
          <w:tcPr/>
          <w:p>
            <w:pPr>
              <w:pStyle w:val="Compact"/>
            </w:pPr>
            <w:r>
              <w:rPr>
                <w:i/>
                <w:iCs/>
              </w:rPr>
              <w:t xml:space="preserve">Ilegales</w:t>
            </w:r>
            <w:r>
              <w:t xml:space="preserve"> </w:t>
            </w:r>
            <w:r>
              <w:t xml:space="preserve">(1982)</w:t>
            </w:r>
          </w:p>
        </w:tc>
        <w:tc>
          <w:tcPr/>
          <w:p>
            <w:pPr>
              <w:pStyle w:val="Compact"/>
            </w:pPr>
            <w:r>
              <w:t xml:space="preserve">Axioma III / Deconstrucción Institucional</w:t>
            </w:r>
          </w:p>
        </w:tc>
      </w:tr>
      <w:tr>
        <w:tc>
          <w:tcPr/>
          <w:p>
            <w:pPr>
              <w:pStyle w:val="Compact"/>
            </w:pPr>
            <w:r>
              <w:t xml:space="preserve">07. Cap 3c</w:t>
            </w:r>
          </w:p>
        </w:tc>
        <w:tc>
          <w:tcPr/>
          <w:p>
            <w:pPr>
              <w:pStyle w:val="Compact"/>
            </w:pPr>
            <w:r>
              <w:rPr>
                <w:i/>
                <w:iCs/>
              </w:rPr>
              <w:t xml:space="preserve">La Sed</w:t>
            </w:r>
          </w:p>
        </w:tc>
        <w:tc>
          <w:tcPr/>
          <w:p>
            <w:pPr>
              <w:pStyle w:val="Compact"/>
            </w:pPr>
            <w:r>
              <w:t xml:space="preserve">Nacho Vegas</w:t>
            </w:r>
          </w:p>
        </w:tc>
        <w:tc>
          <w:tcPr/>
          <w:p>
            <w:pPr>
              <w:pStyle w:val="Compact"/>
            </w:pPr>
            <w:r>
              <w:rPr>
                <w:i/>
                <w:iCs/>
              </w:rPr>
              <w:t xml:space="preserve">Cajas de música difíciles de parar</w:t>
            </w:r>
            <w:r>
              <w:t xml:space="preserve"> </w:t>
            </w:r>
            <w:r>
              <w:t xml:space="preserve">(2003)</w:t>
            </w:r>
          </w:p>
        </w:tc>
        <w:tc>
          <w:tcPr/>
          <w:p>
            <w:pPr>
              <w:pStyle w:val="Compact"/>
            </w:pPr>
            <w:r>
              <w:t xml:space="preserve">Axioma III / Bucle de Watzlawick</w:t>
            </w:r>
          </w:p>
        </w:tc>
      </w:tr>
      <w:tr>
        <w:tc>
          <w:tcPr/>
          <w:p>
            <w:pPr>
              <w:pStyle w:val="Compact"/>
            </w:pPr>
            <w:r>
              <w:t xml:space="preserve">08. Cap 3d</w:t>
            </w:r>
          </w:p>
        </w:tc>
        <w:tc>
          <w:tcPr/>
          <w:p>
            <w:pPr>
              <w:pStyle w:val="Compact"/>
            </w:pPr>
            <w:r>
              <w:rPr>
                <w:i/>
                <w:iCs/>
              </w:rPr>
              <w:t xml:space="preserve">Hurt</w:t>
            </w:r>
          </w:p>
        </w:tc>
        <w:tc>
          <w:tcPr/>
          <w:p>
            <w:pPr>
              <w:pStyle w:val="Compact"/>
            </w:pPr>
            <w:r>
              <w:t xml:space="preserve">Nine Inch Nails</w:t>
            </w:r>
          </w:p>
        </w:tc>
        <w:tc>
          <w:tcPr/>
          <w:p>
            <w:pPr>
              <w:pStyle w:val="Compact"/>
            </w:pPr>
            <w:r>
              <w:rPr>
                <w:i/>
                <w:iCs/>
              </w:rPr>
              <w:t xml:space="preserve">The Downward Spiral</w:t>
            </w:r>
            <w:r>
              <w:t xml:space="preserve"> </w:t>
            </w:r>
            <w:r>
              <w:t xml:space="preserve">(1994)</w:t>
            </w:r>
          </w:p>
        </w:tc>
        <w:tc>
          <w:tcPr/>
          <w:p>
            <w:pPr>
              <w:pStyle w:val="Compact"/>
            </w:pPr>
            <w:r>
              <w:t xml:space="preserve">Axioma III / Study 329 &amp; Lobotomía</w:t>
            </w:r>
          </w:p>
        </w:tc>
      </w:tr>
      <w:tr>
        <w:tc>
          <w:tcPr/>
          <w:p>
            <w:pPr>
              <w:pStyle w:val="Compact"/>
            </w:pPr>
            <w:r>
              <w:t xml:space="preserve">09. Cap 4</w:t>
            </w:r>
          </w:p>
        </w:tc>
        <w:tc>
          <w:tcPr/>
          <w:p>
            <w:pPr>
              <w:pStyle w:val="Compact"/>
            </w:pPr>
            <w:r>
              <w:rPr>
                <w:i/>
                <w:iCs/>
              </w:rPr>
              <w:t xml:space="preserve">Dulce Introducción al Caos</w:t>
            </w:r>
          </w:p>
        </w:tc>
        <w:tc>
          <w:tcPr/>
          <w:p>
            <w:pPr>
              <w:pStyle w:val="Compact"/>
            </w:pPr>
            <w:r>
              <w:t xml:space="preserve">Robe Iniesta</w:t>
            </w:r>
          </w:p>
        </w:tc>
        <w:tc>
          <w:tcPr/>
          <w:p>
            <w:pPr>
              <w:pStyle w:val="Compact"/>
            </w:pPr>
            <w:r>
              <w:rPr>
                <w:i/>
                <w:iCs/>
              </w:rPr>
              <w:t xml:space="preserve">La Ley Innata</w:t>
            </w:r>
            <w:r>
              <w:t xml:space="preserve"> </w:t>
            </w:r>
            <w:r>
              <w:t xml:space="preserve">(2008)</w:t>
            </w:r>
          </w:p>
        </w:tc>
        <w:tc>
          <w:tcPr/>
          <w:p>
            <w:pPr>
              <w:pStyle w:val="Compact"/>
            </w:pPr>
            <w:r>
              <w:t xml:space="preserve">Axioma IV / Umbral de Kramers</w:t>
            </w:r>
          </w:p>
        </w:tc>
      </w:tr>
      <w:tr>
        <w:tc>
          <w:tcPr/>
          <w:p>
            <w:pPr>
              <w:pStyle w:val="Compact"/>
            </w:pPr>
            <w:r>
              <w:t xml:space="preserve">10. Cap 4b</w:t>
            </w:r>
          </w:p>
        </w:tc>
        <w:tc>
          <w:tcPr/>
          <w:p>
            <w:pPr>
              <w:pStyle w:val="Compact"/>
            </w:pPr>
            <w:r>
              <w:rPr>
                <w:i/>
                <w:iCs/>
              </w:rPr>
              <w:t xml:space="preserve">Wake Up</w:t>
            </w:r>
          </w:p>
        </w:tc>
        <w:tc>
          <w:tcPr/>
          <w:p>
            <w:pPr>
              <w:pStyle w:val="Compact"/>
            </w:pPr>
            <w:r>
              <w:t xml:space="preserve">Arcade Fire</w:t>
            </w:r>
          </w:p>
        </w:tc>
        <w:tc>
          <w:tcPr/>
          <w:p>
            <w:pPr>
              <w:pStyle w:val="Compact"/>
            </w:pPr>
            <w:r>
              <w:rPr>
                <w:i/>
                <w:iCs/>
              </w:rPr>
              <w:t xml:space="preserve">Funeral</w:t>
            </w:r>
            <w:r>
              <w:t xml:space="preserve"> </w:t>
            </w:r>
            <w:r>
              <w:t xml:space="preserve">(2004)</w:t>
            </w:r>
          </w:p>
        </w:tc>
        <w:tc>
          <w:tcPr/>
          <w:p>
            <w:pPr>
              <w:pStyle w:val="Compact"/>
            </w:pPr>
            <w:r>
              <w:t xml:space="preserve">Axioma IV / Kodak &amp; Intel</w:t>
            </w:r>
          </w:p>
        </w:tc>
      </w:tr>
      <w:tr>
        <w:tc>
          <w:tcPr/>
          <w:p>
            <w:pPr>
              <w:pStyle w:val="Compact"/>
            </w:pPr>
            <w:r>
              <w:t xml:space="preserve">11. Cap 5</w:t>
            </w:r>
          </w:p>
        </w:tc>
        <w:tc>
          <w:tcPr/>
          <w:p>
            <w:pPr>
              <w:pStyle w:val="Compact"/>
            </w:pPr>
            <w:r>
              <w:rPr>
                <w:i/>
                <w:iCs/>
              </w:rPr>
              <w:t xml:space="preserve">Vivir Para Contarlo</w:t>
            </w:r>
          </w:p>
        </w:tc>
        <w:tc>
          <w:tcPr/>
          <w:p>
            <w:pPr>
              <w:pStyle w:val="Compact"/>
            </w:pPr>
            <w:r>
              <w:t xml:space="preserve">Violadores del Verso (Kase.O)</w:t>
            </w:r>
          </w:p>
        </w:tc>
        <w:tc>
          <w:tcPr/>
          <w:p>
            <w:pPr>
              <w:pStyle w:val="Compact"/>
            </w:pPr>
            <w:r>
              <w:rPr>
                <w:i/>
                <w:iCs/>
              </w:rPr>
              <w:t xml:space="preserve">Vivir Para Contarlo</w:t>
            </w:r>
            <w:r>
              <w:t xml:space="preserve"> </w:t>
            </w:r>
            <w:r>
              <w:t xml:space="preserve">(2006)</w:t>
            </w:r>
          </w:p>
        </w:tc>
        <w:tc>
          <w:tcPr/>
          <w:p>
            <w:pPr>
              <w:pStyle w:val="Compact"/>
            </w:pPr>
            <w:r>
              <w:t xml:space="preserve">Axioma V / La Huella vs. Charlatanería</w:t>
            </w:r>
          </w:p>
        </w:tc>
      </w:tr>
      <w:tr>
        <w:tc>
          <w:tcPr/>
          <w:p>
            <w:pPr>
              <w:pStyle w:val="Compact"/>
            </w:pPr>
            <w:r>
              <w:t xml:space="preserve">12. Cap 5b</w:t>
            </w:r>
          </w:p>
        </w:tc>
        <w:tc>
          <w:tcPr/>
          <w:p>
            <w:pPr>
              <w:pStyle w:val="Compact"/>
            </w:pPr>
            <w:r>
              <w:rPr>
                <w:i/>
                <w:iCs/>
              </w:rPr>
              <w:t xml:space="preserve">Fake Plastic Trees</w:t>
            </w:r>
          </w:p>
        </w:tc>
        <w:tc>
          <w:tcPr/>
          <w:p>
            <w:pPr>
              <w:pStyle w:val="Compact"/>
            </w:pPr>
            <w:r>
              <w:t xml:space="preserve">Radiohead</w:t>
            </w:r>
          </w:p>
        </w:tc>
        <w:tc>
          <w:tcPr/>
          <w:p>
            <w:pPr>
              <w:pStyle w:val="Compact"/>
            </w:pPr>
            <w:r>
              <w:rPr>
                <w:i/>
                <w:iCs/>
              </w:rPr>
              <w:t xml:space="preserve">The Bends</w:t>
            </w:r>
            <w:r>
              <w:t xml:space="preserve"> </w:t>
            </w:r>
            <w:r>
              <w:t xml:space="preserve">(1995)</w:t>
            </w:r>
          </w:p>
        </w:tc>
        <w:tc>
          <w:tcPr/>
          <w:p>
            <w:pPr>
              <w:pStyle w:val="Compact"/>
            </w:pPr>
            <w:r>
              <w:t xml:space="preserve">Axioma V / Enron, Theranos &amp; FTX</w:t>
            </w:r>
          </w:p>
        </w:tc>
      </w:tr>
      <w:tr>
        <w:tc>
          <w:tcPr/>
          <w:p>
            <w:pPr>
              <w:pStyle w:val="Compact"/>
            </w:pPr>
            <w:r>
              <w:t xml:space="preserve">13. Cap 5c</w:t>
            </w:r>
          </w:p>
        </w:tc>
        <w:tc>
          <w:tcPr/>
          <w:p>
            <w:pPr>
              <w:pStyle w:val="Compact"/>
            </w:pPr>
            <w:r>
              <w:rPr>
                <w:i/>
                <w:iCs/>
              </w:rPr>
              <w:t xml:space="preserve">My Funny Valentine</w:t>
            </w:r>
          </w:p>
        </w:tc>
        <w:tc>
          <w:tcPr/>
          <w:p>
            <w:pPr>
              <w:pStyle w:val="Compact"/>
            </w:pPr>
            <w:r>
              <w:t xml:space="preserve">Chet Baker</w:t>
            </w:r>
          </w:p>
        </w:tc>
        <w:tc>
          <w:tcPr/>
          <w:p>
            <w:pPr>
              <w:pStyle w:val="Compact"/>
            </w:pPr>
            <w:r>
              <w:rPr>
                <w:i/>
                <w:iCs/>
              </w:rPr>
              <w:t xml:space="preserve">Live in Tokyo</w:t>
            </w:r>
            <w:r>
              <w:t xml:space="preserve"> </w:t>
            </w:r>
            <w:r>
              <w:t xml:space="preserve">(1987)</w:t>
            </w:r>
          </w:p>
        </w:tc>
        <w:tc>
          <w:tcPr/>
          <w:p>
            <w:pPr>
              <w:pStyle w:val="Compact"/>
            </w:pPr>
            <w:r>
              <w:t xml:space="preserve">Axioma V / La Huella Involuntaria en la Voz</w:t>
            </w:r>
          </w:p>
        </w:tc>
      </w:tr>
      <w:tr>
        <w:tc>
          <w:tcPr/>
          <w:p>
            <w:pPr>
              <w:pStyle w:val="Compact"/>
            </w:pPr>
            <w:r>
              <w:t xml:space="preserve">13b. Cap 5d</w:t>
            </w:r>
          </w:p>
        </w:tc>
        <w:tc>
          <w:tcPr/>
          <w:p>
            <w:pPr>
              <w:pStyle w:val="Compact"/>
            </w:pPr>
            <w:r>
              <w:rPr>
                <w:i/>
                <w:iCs/>
              </w:rPr>
              <w:t xml:space="preserve">Hurt</w:t>
            </w:r>
          </w:p>
        </w:tc>
        <w:tc>
          <w:tcPr/>
          <w:p>
            <w:pPr>
              <w:pStyle w:val="Compact"/>
            </w:pPr>
            <w:r>
              <w:t xml:space="preserve">Johnny Cash &amp; Rick Rubin</w:t>
            </w:r>
          </w:p>
        </w:tc>
        <w:tc>
          <w:tcPr/>
          <w:p>
            <w:pPr>
              <w:pStyle w:val="Compact"/>
            </w:pPr>
            <w:r>
              <w:rPr>
                <w:i/>
                <w:iCs/>
              </w:rPr>
              <w:t xml:space="preserve">American IV: The Man Comes Around</w:t>
            </w:r>
            <w:r>
              <w:t xml:space="preserve"> </w:t>
            </w:r>
            <w:r>
              <w:t xml:space="preserve">(2002)</w:t>
            </w:r>
          </w:p>
        </w:tc>
        <w:tc>
          <w:tcPr/>
          <w:p>
            <w:pPr>
              <w:pStyle w:val="Compact"/>
            </w:pPr>
            <w:r>
              <w:t xml:space="preserve">Axioma V / La Biopsia Somática y Sustracción Rubin</w:t>
            </w:r>
          </w:p>
        </w:tc>
      </w:tr>
      <w:tr>
        <w:tc>
          <w:tcPr/>
          <w:p>
            <w:pPr>
              <w:pStyle w:val="Compact"/>
            </w:pPr>
            <w:r>
              <w:t xml:space="preserve">14. Coda</w:t>
            </w:r>
          </w:p>
        </w:tc>
        <w:tc>
          <w:tcPr/>
          <w:p>
            <w:pPr>
              <w:pStyle w:val="Compact"/>
            </w:pPr>
            <w:r>
              <w:rPr>
                <w:i/>
                <w:iCs/>
              </w:rPr>
              <w:t xml:space="preserve">New Grass</w:t>
            </w:r>
          </w:p>
        </w:tc>
        <w:tc>
          <w:tcPr/>
          <w:p>
            <w:pPr>
              <w:pStyle w:val="Compact"/>
            </w:pPr>
            <w:r>
              <w:t xml:space="preserve">Talk Talk</w:t>
            </w:r>
          </w:p>
        </w:tc>
        <w:tc>
          <w:tcPr/>
          <w:p>
            <w:pPr>
              <w:pStyle w:val="Compact"/>
            </w:pPr>
            <w:r>
              <w:rPr>
                <w:i/>
                <w:iCs/>
              </w:rPr>
              <w:t xml:space="preserve">Laughing Stock</w:t>
            </w:r>
            <w:r>
              <w:t xml:space="preserve"> </w:t>
            </w:r>
            <w:r>
              <w:t xml:space="preserve">(1991)</w:t>
            </w:r>
          </w:p>
        </w:tc>
        <w:tc>
          <w:tcPr/>
          <w:p>
            <w:pPr>
              <w:pStyle w:val="Compact"/>
            </w:pPr>
            <w:r>
              <w:t xml:space="preserve">Silicio Local &amp; Purga</w:t>
            </w:r>
          </w:p>
        </w:tc>
      </w:tr>
      <w:tr>
        <w:tc>
          <w:tcPr/>
          <w:p>
            <w:pPr>
              <w:pStyle w:val="Compact"/>
            </w:pPr>
            <w:r>
              <w:t xml:space="preserve">15. Epílogo</w:t>
            </w:r>
          </w:p>
        </w:tc>
        <w:tc>
          <w:tcPr/>
          <w:p>
            <w:pPr>
              <w:pStyle w:val="Compact"/>
            </w:pPr>
            <w:r>
              <w:rPr>
                <w:i/>
                <w:iCs/>
              </w:rPr>
              <w:t xml:space="preserve">Decades</w:t>
            </w:r>
          </w:p>
        </w:tc>
        <w:tc>
          <w:tcPr/>
          <w:p>
            <w:pPr>
              <w:pStyle w:val="Compact"/>
            </w:pPr>
            <w:r>
              <w:t xml:space="preserve">Joy Division</w:t>
            </w:r>
          </w:p>
        </w:tc>
        <w:tc>
          <w:tcPr/>
          <w:p>
            <w:pPr>
              <w:pStyle w:val="Compact"/>
            </w:pPr>
            <w:r>
              <w:rPr>
                <w:i/>
                <w:iCs/>
              </w:rPr>
              <w:t xml:space="preserve">Closer</w:t>
            </w:r>
            <w:r>
              <w:t xml:space="preserve"> </w:t>
            </w:r>
            <w:r>
              <w:t xml:space="preserve">(1980)</w:t>
            </w:r>
          </w:p>
        </w:tc>
        <w:tc>
          <w:tcPr/>
          <w:p>
            <w:pPr>
              <w:pStyle w:val="Compact"/>
            </w:pPr>
            <w:r>
              <w:t xml:space="preserve">Falsación Popperiana C5</w:t>
            </w:r>
          </w:p>
        </w:tc>
      </w:tr>
    </w:tbl>
    <w:p>
      <w:r>
        <w:pict>
          <v:rect style="width:0;height:1.5pt" o:hralign="center" o:hrstd="t" o:hr="t"/>
        </w:pict>
      </w:r>
    </w:p>
    <w:bookmarkEnd w:id="222"/>
    <w:bookmarkStart w:id="223" w:name="X2b60cf3d6b3e9e4cad3ffd0024f76216f664f70"/>
    <w:p>
      <w:pPr>
        <w:pStyle w:val="Heading3"/>
      </w:pPr>
      <w:r>
        <w:t xml:space="preserve">Fundamentación Psicoacústica de Kase.O (</w:t>
      </w:r>
      <w:r>
        <w:rPr>
          <w:i/>
          <w:iCs/>
        </w:rPr>
        <w:t xml:space="preserve">El Círculo</w:t>
      </w:r>
      <w:r>
        <w:t xml:space="preserve">, 2016)</w:t>
      </w:r>
    </w:p>
    <w:p>
      <w:pPr>
        <w:pStyle w:val="Compact"/>
        <w:numPr>
          <w:ilvl w:val="0"/>
          <w:numId w:val="1076"/>
        </w:numPr>
      </w:pPr>
      <w:r>
        <w:rPr>
          <w:b/>
          <w:bCs/>
        </w:rPr>
        <w:t xml:space="preserve">Kase.O con Evaristo y Harto Rodríguez —</w:t>
      </w:r>
      <w:r>
        <w:rPr>
          <w:b/>
          <w:bCs/>
        </w:rPr>
        <w:t xml:space="preserve"> </w:t>
      </w:r>
      <w:r>
        <w:rPr>
          <w:b/>
          <w:bCs/>
          <w:i/>
          <w:iCs/>
        </w:rPr>
        <w:t xml:space="preserve">Borregos</w:t>
      </w:r>
      <w:r>
        <w:rPr>
          <w:b/>
          <w:bCs/>
        </w:rPr>
        <w:t xml:space="preserve"> </w:t>
      </w:r>
      <w:r>
        <w:rPr>
          <w:b/>
          <w:bCs/>
        </w:rPr>
        <w:t xml:space="preserve">(</w:t>
      </w:r>
      <w:r>
        <w:rPr>
          <w:b/>
          <w:bCs/>
          <w:i/>
          <w:iCs/>
        </w:rPr>
        <w:t xml:space="preserve">Camisa de Fuerza</w:t>
      </w:r>
      <w:r>
        <w:rPr>
          <w:b/>
          <w:bCs/>
        </w:rPr>
        <w:t xml:space="preserve">, 2026):</w:t>
      </w:r>
    </w:p>
    <w:p>
      <w:pPr>
        <w:pStyle w:val="Compact"/>
        <w:numPr>
          <w:ilvl w:val="1"/>
          <w:numId w:val="1077"/>
        </w:numPr>
      </w:pPr>
      <w:r>
        <w:rPr>
          <w:i/>
          <w:iCs/>
        </w:rPr>
        <w:t xml:space="preserve">Fundamento:</w:t>
      </w:r>
      <w:r>
        <w:t xml:space="preserve"> </w:t>
      </w:r>
      <w:r>
        <w:t xml:space="preserve">Deconstrucción del sometimiento de rebaño y la docilidad producida por narrativas de masa y prescripciones psiquiátricas. La canción analiza la masa caminando hacia la trampa bajo la ilusión del confort discursivo. Se acopla al Axioma III (Reguladores Descalibrados y Masa Farmacéutica).</w:t>
      </w:r>
    </w:p>
    <w:p>
      <w:pPr>
        <w:pStyle w:val="Compact"/>
        <w:numPr>
          <w:ilvl w:val="0"/>
          <w:numId w:val="1076"/>
        </w:numPr>
      </w:pPr>
      <w:r>
        <w:rPr>
          <w:b/>
          <w:bCs/>
        </w:rPr>
        <w:t xml:space="preserve">Kase.O —</w:t>
      </w:r>
      <w:r>
        <w:rPr>
          <w:b/>
          <w:bCs/>
        </w:rPr>
        <w:t xml:space="preserve"> </w:t>
      </w:r>
      <w:r>
        <w:rPr>
          <w:b/>
          <w:bCs/>
          <w:i/>
          <w:iCs/>
        </w:rPr>
        <w:t xml:space="preserve">Repartiendo Arte</w:t>
      </w:r>
      <w:r>
        <w:rPr>
          <w:b/>
          <w:bCs/>
        </w:rPr>
        <w:t xml:space="preserve"> </w:t>
      </w:r>
      <w:r>
        <w:rPr>
          <w:b/>
          <w:bCs/>
        </w:rPr>
        <w:t xml:space="preserve">(2016):</w:t>
      </w:r>
    </w:p>
    <w:p>
      <w:pPr>
        <w:pStyle w:val="Compact"/>
        <w:numPr>
          <w:ilvl w:val="1"/>
          <w:numId w:val="1078"/>
        </w:numPr>
      </w:pPr>
      <w:r>
        <w:rPr>
          <w:i/>
          <w:iCs/>
        </w:rPr>
        <w:t xml:space="preserve">Fundamento:</w:t>
      </w:r>
      <w:r>
        <w:t xml:space="preserve"> </w:t>
      </w:r>
      <w:r>
        <w:t xml:space="preserve">Compresión métrica donde cada sílaba porta información causal sin adorno. Densidad de exergía en el micro.</w:t>
      </w:r>
    </w:p>
    <w:p>
      <w:pPr>
        <w:pStyle w:val="Compact"/>
        <w:numPr>
          <w:ilvl w:val="0"/>
          <w:numId w:val="1076"/>
        </w:numPr>
      </w:pPr>
      <w:r>
        <w:rPr>
          <w:b/>
          <w:bCs/>
        </w:rPr>
        <w:t xml:space="preserve">Violadores del Verso (Kase.O) —</w:t>
      </w:r>
      <w:r>
        <w:rPr>
          <w:b/>
          <w:bCs/>
        </w:rPr>
        <w:t xml:space="preserve"> </w:t>
      </w:r>
      <w:r>
        <w:rPr>
          <w:b/>
          <w:bCs/>
          <w:i/>
          <w:iCs/>
        </w:rPr>
        <w:t xml:space="preserve">Vivir Para Contarlo</w:t>
      </w:r>
      <w:r>
        <w:rPr>
          <w:b/>
          <w:bCs/>
        </w:rPr>
        <w:t xml:space="preserve"> </w:t>
      </w:r>
      <w:r>
        <w:rPr>
          <w:b/>
          <w:bCs/>
        </w:rPr>
        <w:t xml:space="preserve">(2006):</w:t>
      </w:r>
    </w:p>
    <w:p>
      <w:pPr>
        <w:pStyle w:val="Compact"/>
        <w:numPr>
          <w:ilvl w:val="1"/>
          <w:numId w:val="1079"/>
        </w:numPr>
      </w:pPr>
      <w:r>
        <w:rPr>
          <w:i/>
          <w:iCs/>
        </w:rPr>
        <w:t xml:space="preserve">Fundamento:</w:t>
      </w:r>
      <w:r>
        <w:t xml:space="preserve"> </w:t>
      </w:r>
      <w:r>
        <w:t xml:space="preserve">La huella del trabajo continuado frente al rap de fachada discursiva (ausencia de borrado termodinámico).</w:t>
      </w:r>
    </w:p>
    <w:p>
      <w:r>
        <w:pict>
          <v:rect style="width:0;height:1.5pt" o:hralign="center" o:hrstd="t" o:hr="t"/>
        </w:pict>
      </w:r>
    </w:p>
    <w:bookmarkEnd w:id="223"/>
    <w:bookmarkEnd w:id="224"/>
    <w:bookmarkStart w:id="228" w:name="la-termodinámica-de-la-empatía"/>
    <w:p>
      <w:pPr>
        <w:pStyle w:val="Heading2"/>
      </w:pPr>
      <w:r>
        <w:t xml:space="preserve">9. La Termodinámica de la Empatía</w:t>
      </w:r>
    </w:p>
    <w:p>
      <w:pPr>
        <w:pStyle w:val="BlockText"/>
      </w:pPr>
      <w:r>
        <w:rPr>
          <w:i/>
          <w:iCs/>
        </w:rPr>
        <w:t xml:space="preserve">La vibración en resonancia no requiere de declaración de sonido.</w:t>
      </w:r>
    </w:p>
    <w:p>
      <w:pPr>
        <w:pStyle w:val="SourceCode"/>
      </w:pPr>
      <w:r>
        <w:rPr>
          <w:rStyle w:val="VerbatimChar"/>
        </w:rPr>
        <w:t xml:space="preserve">Axioma de Anclaje: Axioma V — La huella vale más que el discurso.</w:t>
      </w:r>
      <w:r>
        <w:br/>
      </w:r>
      <w:r>
        <w:rPr>
          <w:rStyle w:val="VerbatimChar"/>
        </w:rPr>
        <w:t xml:space="preserve">La empatía carece de base de apoyo en el terreno de la moral; es un fenómeno de sincronización de fase de oscilador.</w:t>
      </w:r>
    </w:p>
    <w:p>
      <w:r>
        <w:pict>
          <v:rect style="width:0;height:1.5pt" o:hralign="center" o:hrstd="t" o:hr="t"/>
        </w:pict>
      </w:r>
    </w:p>
    <w:bookmarkStart w:id="225" w:name="el-oscilador-de-kuramoto"/>
    <w:p>
      <w:pPr>
        <w:pStyle w:val="Heading3"/>
      </w:pPr>
      <w:r>
        <w:t xml:space="preserve">1. El Oscilador de Kuramoto</w:t>
      </w:r>
    </w:p>
    <w:p>
      <w:pPr>
        <w:pStyle w:val="FirstParagraph"/>
      </w:pPr>
      <w:r>
        <w:t xml:space="preserve">El modelo de Kuramoto (derivación completa: Capítulo VI, §3.2) describe el proceso de ajuste de la métrica de frecuencia de un grupo de nodos en interacción acoplada: el vuelo de luz de los insectos de fuego, el latido del grupo de célula de corazón.</w:t>
      </w:r>
    </w:p>
    <w:p>
      <w:pPr>
        <w:pStyle w:val="BodyText"/>
      </w:pPr>
      <w:r>
        <w:t xml:space="preserve">El lenguaje de la masa de autoayuda clasifica la empatía como una virtud de bondad. La física de red de cerebro clasifica el mismo evento como sincronización de grupo neuronal. El nodo de receptor (el humano B) ajusta el tiempo de fase de su corteza para replicar la señal de estado del nodo de origen (el humano A). El acoplamiento permite la compresión del grupo de la señal de dolor del entorno.</w:t>
      </w:r>
    </w:p>
    <w:bookmarkEnd w:id="225"/>
    <w:bookmarkStart w:id="226" w:name="la-huella-del-acoplamiento"/>
    <w:p>
      <w:pPr>
        <w:pStyle w:val="Heading3"/>
      </w:pPr>
      <w:r>
        <w:t xml:space="preserve">2. La Huella del Acoplamiento</w:t>
      </w:r>
    </w:p>
    <w:p>
      <w:pPr>
        <w:pStyle w:val="FirstParagraph"/>
      </w:pPr>
      <w:r>
        <w:t xml:space="preserve">El sistema de discurso impone la producción de oraciones de consuelo. El discurso de texto (el</w:t>
      </w:r>
      <w:r>
        <w:t xml:space="preserve"> </w:t>
      </w:r>
      <w:r>
        <w:t xml:space="preserve">“lo siento”</w:t>
      </w:r>
      <w:r>
        <w:t xml:space="preserve">, el</w:t>
      </w:r>
      <w:r>
        <w:t xml:space="preserve"> </w:t>
      </w:r>
      <w:r>
        <w:t xml:space="preserve">“todo va a salir bien”</w:t>
      </w:r>
      <w:r>
        <w:t xml:space="preserve">) requiere gasto de energía de base cero y transmite exergía de cifra nula. La retórica no altera la fase del oscilador de origen en la fase de crisis.</w:t>
      </w:r>
    </w:p>
    <w:p>
      <w:pPr>
        <w:pStyle w:val="BodyText"/>
      </w:pPr>
      <w:r>
        <w:t xml:space="preserve">La empatía de física es la huella de peso en el territorio. El nodo de receptor entrega el recurso de su cuota de tiempo y su ancho de banda de atención para el proceso de captura de la métrica de entropía del nodo en fase de caída. El acoplamiento fuerza la reducción de temperatura térmica del sistema en colapso. La huella del nodo de transductor en el espacio de la habitación posee una masa de peso de un factor de cien sobre el total de la declaración en la capa de lenguaje.</w:t>
      </w:r>
    </w:p>
    <w:bookmarkEnd w:id="226"/>
    <w:bookmarkStart w:id="227" w:name="audio-anclaje-20"/>
    <w:p>
      <w:pPr>
        <w:pStyle w:val="Heading3"/>
      </w:pPr>
      <w:r>
        <w:t xml:space="preserve">3. Audio-Anclaje</w:t>
      </w:r>
    </w:p>
    <w:p>
      <w:pPr>
        <w:pStyle w:val="Compact"/>
        <w:numPr>
          <w:ilvl w:val="0"/>
          <w:numId w:val="1080"/>
        </w:numPr>
      </w:pPr>
      <w:r>
        <w:rPr>
          <w:b/>
          <w:bCs/>
        </w:rPr>
        <w:t xml:space="preserve">Brian Eno</w:t>
      </w:r>
      <w:r>
        <w:t xml:space="preserve"> </w:t>
      </w:r>
      <w:r>
        <w:t xml:space="preserve">—</w:t>
      </w:r>
      <w:r>
        <w:t xml:space="preserve"> </w:t>
      </w:r>
      <w:r>
        <w:rPr>
          <w:i/>
          <w:iCs/>
        </w:rPr>
        <w:t xml:space="preserve">“1/1”</w:t>
      </w:r>
      <w:r>
        <w:t xml:space="preserve"> </w:t>
      </w:r>
      <w:r>
        <w:t xml:space="preserve">(</w:t>
      </w:r>
      <w:r>
        <w:rPr>
          <w:i/>
          <w:iCs/>
        </w:rPr>
        <w:t xml:space="preserve">Music for Airports</w:t>
      </w:r>
      <w:r>
        <w:t xml:space="preserve">, 1978). La orden de sincronización de frecuencia a velocidad mínima en el espacio físico.</w:t>
      </w:r>
    </w:p>
    <w:p>
      <w:pPr>
        <w:pStyle w:val="Compact"/>
        <w:numPr>
          <w:ilvl w:val="0"/>
          <w:numId w:val="1080"/>
        </w:numPr>
      </w:pPr>
      <w:r>
        <w:rPr>
          <w:b/>
          <w:bCs/>
        </w:rPr>
        <w:t xml:space="preserve">My Bloody Valentine</w:t>
      </w:r>
      <w:r>
        <w:t xml:space="preserve"> </w:t>
      </w:r>
      <w:r>
        <w:t xml:space="preserve">—</w:t>
      </w:r>
      <w:r>
        <w:t xml:space="preserve"> </w:t>
      </w:r>
      <w:r>
        <w:rPr>
          <w:i/>
          <w:iCs/>
        </w:rPr>
        <w:t xml:space="preserve">“Sometimes”</w:t>
      </w:r>
      <w:r>
        <w:t xml:space="preserve"> </w:t>
      </w:r>
      <w:r>
        <w:t xml:space="preserve">(</w:t>
      </w:r>
      <w:r>
        <w:rPr>
          <w:i/>
          <w:iCs/>
        </w:rPr>
        <w:t xml:space="preserve">Loveless</w:t>
      </w:r>
      <w:r>
        <w:t xml:space="preserve">, 1991). La fusión del espectro de fase en un bloque de cemento de ruido con estructura de armonía.</w:t>
      </w:r>
    </w:p>
    <w:p>
      <w:r>
        <w:pict>
          <v:rect style="width:0;height:1.5pt" o:hralign="center" o:hrstd="t" o:hr="t"/>
        </w:pict>
      </w:r>
    </w:p>
    <w:bookmarkEnd w:id="227"/>
    <w:bookmarkEnd w:id="228"/>
    <w:bookmarkStart w:id="232" w:name="la-física-de-la-resiliencia"/>
    <w:p>
      <w:pPr>
        <w:pStyle w:val="Heading2"/>
      </w:pPr>
      <w:r>
        <w:t xml:space="preserve">10. La Física de la Resiliencia</w:t>
      </w:r>
    </w:p>
    <w:p>
      <w:pPr>
        <w:pStyle w:val="BlockText"/>
      </w:pPr>
      <w:r>
        <w:rPr>
          <w:i/>
          <w:iCs/>
        </w:rPr>
        <w:t xml:space="preserve">La tensión forja la estructura de la resistencia; la relajación fuerza el quiebre.</w:t>
      </w:r>
    </w:p>
    <w:p>
      <w:pPr>
        <w:pStyle w:val="SourceCode"/>
      </w:pPr>
      <w:r>
        <w:rPr>
          <w:rStyle w:val="VerbatimChar"/>
        </w:rPr>
        <w:t xml:space="preserve">Axioma de Anclaje: Axioma V — La huella vale más que el discurso.</w:t>
      </w:r>
      <w:r>
        <w:br/>
      </w:r>
      <w:r>
        <w:rPr>
          <w:rStyle w:val="VerbatimChar"/>
        </w:rPr>
        <w:t xml:space="preserve">La resiliencia es el Módulo de Young de un bloque de material, no un discurso de pensamiento en estado de optimismo.</w:t>
      </w:r>
    </w:p>
    <w:p>
      <w:r>
        <w:pict>
          <v:rect style="width:0;height:1.5pt" o:hralign="center" o:hrstd="t" o:hr="t"/>
        </w:pict>
      </w:r>
    </w:p>
    <w:bookmarkStart w:id="229" w:name="el-módulo-de-elasticidad"/>
    <w:p>
      <w:pPr>
        <w:pStyle w:val="Heading3"/>
      </w:pPr>
      <w:r>
        <w:t xml:space="preserve">1. El Módulo de Elasticidad</w:t>
      </w:r>
    </w:p>
    <w:p>
      <w:pPr>
        <w:pStyle w:val="FirstParagraph"/>
      </w:pPr>
      <w:r>
        <w:t xml:space="preserve">En el mapa de física de los materiales, el Módulo de Young (E) es el factor que fija el comportamiento de elasticidad de un objeto sólido bajo tensión. La constante mide la capacidad del bloque de masa para tolerar fuerza de tracción sin la asunción de deformación de anclaje.</w:t>
      </w:r>
    </w:p>
    <w:p>
      <w:pPr>
        <w:pStyle w:val="BodyText"/>
      </w:pPr>
      <w:r>
        <w:t xml:space="preserve">El sector del bienestar extrajo el vocablo</w:t>
      </w:r>
      <w:r>
        <w:t xml:space="preserve"> </w:t>
      </w:r>
      <w:r>
        <w:t xml:space="preserve">“resiliencia”</w:t>
      </w:r>
      <w:r>
        <w:t xml:space="preserve"> </w:t>
      </w:r>
      <w:r>
        <w:t xml:space="preserve">del terreno de la física. El discurso del sector aplicó el concepto en calidad de postura de red: la obligación de emitir señal de sonrisa frente al choque del trauma. La manipulación inyectó toxina de moral: el homínido de nodo bajo fractura recibe acusación de</w:t>
      </w:r>
      <w:r>
        <w:t xml:space="preserve"> </w:t>
      </w:r>
      <w:r>
        <w:t xml:space="preserve">“ausencia de actitud”</w:t>
      </w:r>
      <w:r>
        <w:t xml:space="preserve">.</w:t>
      </w:r>
    </w:p>
    <w:bookmarkEnd w:id="229"/>
    <w:bookmarkStart w:id="230" w:name="el-entrenamiento-de-densidad"/>
    <w:p>
      <w:pPr>
        <w:pStyle w:val="Heading3"/>
      </w:pPr>
      <w:r>
        <w:t xml:space="preserve">2. El Entrenamiento de Densidad</w:t>
      </w:r>
    </w:p>
    <w:p>
      <w:pPr>
        <w:pStyle w:val="FirstParagraph"/>
      </w:pPr>
      <w:r>
        <w:t xml:space="preserve">El territorio de la materia impone rechazo frente al dogma del bienestar. El Módulo de Young del hueso de humano eleva su límite de marca de forma exclusiva por medio de la exposición de la arquitectura de calcio a series de micro-fractura bajo carga de peso (ley de Wolff).</w:t>
      </w:r>
    </w:p>
    <w:p>
      <w:pPr>
        <w:pStyle w:val="BodyText"/>
      </w:pPr>
      <w:r>
        <w:t xml:space="preserve">La resiliencia de perfil clínico cumple la misma ley de geometría. El nodo forja resistencia al daño a consecuencia de la exposición al caos del entorno (salto de Kramers) y de la supervivencia a la fricción térmica del dolor. El sistema de psiquiatría despacha fármacos para evadir la fuerza del impacto (descenso de densidad del hueso); el mercado de autoayuda emite frases de texto de motivación (alteración cero del Módulo de Young). El transductor ejecuta la inmersión en el fuego para escalar la magnitud de su densidad de materia.</w:t>
      </w:r>
    </w:p>
    <w:bookmarkEnd w:id="230"/>
    <w:bookmarkStart w:id="231" w:name="audio-anclaje-21"/>
    <w:p>
      <w:pPr>
        <w:pStyle w:val="Heading3"/>
      </w:pPr>
      <w:r>
        <w:t xml:space="preserve">3. Audio-Anclaje</w:t>
      </w:r>
    </w:p>
    <w:p>
      <w:pPr>
        <w:pStyle w:val="Compact"/>
        <w:numPr>
          <w:ilvl w:val="0"/>
          <w:numId w:val="1081"/>
        </w:numPr>
      </w:pPr>
      <w:r>
        <w:rPr>
          <w:b/>
          <w:bCs/>
        </w:rPr>
        <w:t xml:space="preserve">Nirvana</w:t>
      </w:r>
      <w:r>
        <w:t xml:space="preserve"> </w:t>
      </w:r>
      <w:r>
        <w:t xml:space="preserve">—</w:t>
      </w:r>
      <w:r>
        <w:t xml:space="preserve"> </w:t>
      </w:r>
      <w:r>
        <w:rPr>
          <w:i/>
          <w:iCs/>
        </w:rPr>
        <w:t xml:space="preserve">“Tourette’s”</w:t>
      </w:r>
      <w:r>
        <w:t xml:space="preserve"> </w:t>
      </w:r>
      <w:r>
        <w:t xml:space="preserve">(</w:t>
      </w:r>
      <w:r>
        <w:rPr>
          <w:i/>
          <w:iCs/>
        </w:rPr>
        <w:t xml:space="preserve">In Utero</w:t>
      </w:r>
      <w:r>
        <w:t xml:space="preserve">, 1993). La liberación de la cuota máxima de fuerza de tensión de voz en la frontera de límite del material.</w:t>
      </w:r>
    </w:p>
    <w:p>
      <w:pPr>
        <w:pStyle w:val="Compact"/>
        <w:numPr>
          <w:ilvl w:val="0"/>
          <w:numId w:val="1081"/>
        </w:numPr>
      </w:pPr>
      <w:r>
        <w:rPr>
          <w:b/>
          <w:bCs/>
        </w:rPr>
        <w:t xml:space="preserve">Rage Against the Machine</w:t>
      </w:r>
      <w:r>
        <w:t xml:space="preserve"> </w:t>
      </w:r>
      <w:r>
        <w:t xml:space="preserve">—</w:t>
      </w:r>
      <w:r>
        <w:t xml:space="preserve"> </w:t>
      </w:r>
      <w:r>
        <w:rPr>
          <w:i/>
          <w:iCs/>
        </w:rPr>
        <w:t xml:space="preserve">“Bombtrack”</w:t>
      </w:r>
      <w:r>
        <w:t xml:space="preserve"> </w:t>
      </w:r>
      <w:r>
        <w:t xml:space="preserve">(</w:t>
      </w:r>
      <w:r>
        <w:rPr>
          <w:i/>
          <w:iCs/>
        </w:rPr>
        <w:t xml:space="preserve">Rage Against the Machine</w:t>
      </w:r>
      <w:r>
        <w:t xml:space="preserve">, 1992). El impacto de fricción contra el muro de la estructura de control sin la concesión de fractura.</w:t>
      </w:r>
    </w:p>
    <w:p>
      <w:r>
        <w:pict>
          <v:rect style="width:0;height:1.5pt" o:hralign="center" o:hrstd="t" o:hr="t"/>
        </w:pict>
      </w:r>
    </w:p>
    <w:bookmarkEnd w:id="231"/>
    <w:bookmarkEnd w:id="232"/>
    <w:bookmarkStart w:id="236" w:name="la-trampa-del-mindfulness"/>
    <w:p>
      <w:pPr>
        <w:pStyle w:val="Heading2"/>
      </w:pPr>
      <w:r>
        <w:t xml:space="preserve">11. La Trampa del Mindfulness</w:t>
      </w:r>
    </w:p>
    <w:p>
      <w:pPr>
        <w:pStyle w:val="BlockText"/>
      </w:pPr>
      <w:r>
        <w:rPr>
          <w:i/>
          <w:iCs/>
        </w:rPr>
        <w:t xml:space="preserve">El cierre del sensor de visión no frena el avance del fuego en el edificio del entorno.</w:t>
      </w:r>
    </w:p>
    <w:p>
      <w:pPr>
        <w:pStyle w:val="SourceCode"/>
      </w:pPr>
      <w:r>
        <w:rPr>
          <w:rStyle w:val="VerbatimChar"/>
        </w:rPr>
        <w:t xml:space="preserve">Axioma de Anclaje: Axioma V — La huella vale más que el discurso.</w:t>
      </w:r>
      <w:r>
        <w:br/>
      </w:r>
      <w:r>
        <w:rPr>
          <w:rStyle w:val="VerbatimChar"/>
        </w:rPr>
        <w:t xml:space="preserve">El uso de mindfulness en el sector de empresa es un bloqueador de silenciador para la alarma de humo del nodo de trabajo.</w:t>
      </w:r>
    </w:p>
    <w:p>
      <w:r>
        <w:pict>
          <v:rect style="width:0;height:1.5pt" o:hralign="center" o:hrstd="t" o:hr="t"/>
        </w:pict>
      </w:r>
    </w:p>
    <w:bookmarkStart w:id="233" w:name="la-supresión-del-sensor"/>
    <w:p>
      <w:pPr>
        <w:pStyle w:val="Heading3"/>
      </w:pPr>
      <w:r>
        <w:t xml:space="preserve">1. La Supresión del Sensor</w:t>
      </w:r>
    </w:p>
    <w:p>
      <w:pPr>
        <w:pStyle w:val="FirstParagraph"/>
      </w:pPr>
      <w:r>
        <w:t xml:space="preserve">La ejecución de técnica de meditación de origen de Asia (Vipassana, Zen) cumplía la función de tecnología de desensamblaje del ego. En la década de 2010, el sistema de capitalismo de empresa extrajo la técnica de tecnología, ejecutó el borrado de la matriz de ética de origen, y forjó el paquete de venta al público de</w:t>
      </w:r>
      <w:r>
        <w:t xml:space="preserve"> </w:t>
      </w:r>
      <w:r>
        <w:t xml:space="preserve">“Mindfulness”</w:t>
      </w:r>
      <w:r>
        <w:t xml:space="preserve">.</w:t>
      </w:r>
    </w:p>
    <w:p>
      <w:pPr>
        <w:pStyle w:val="BodyText"/>
      </w:pPr>
      <w:r>
        <w:t xml:space="preserve">En los términos de la física de red, el</w:t>
      </w:r>
      <w:r>
        <w:t xml:space="preserve"> </w:t>
      </w:r>
      <w:r>
        <w:rPr>
          <w:i/>
          <w:iCs/>
        </w:rPr>
        <w:t xml:space="preserve">mindfulness</w:t>
      </w:r>
      <w:r>
        <w:t xml:space="preserve"> </w:t>
      </w:r>
      <w:r>
        <w:t xml:space="preserve">de la corporación es una operación de reducción por fuerza bruta del ancho de banda de los puertos de entrada sensorial. La corporación sumerge al nodo humano en un entorno de toxicidad elevada (fricción de mando, sobrecarga de horas, caos de gestión). El homínido de nodo emite señales de estrés. La respuesta del sistema de control obvia la reducción de la fricción del entorno. El sistema inyecta la orden de</w:t>
      </w:r>
      <w:r>
        <w:t xml:space="preserve"> </w:t>
      </w:r>
      <w:r>
        <w:rPr>
          <w:i/>
          <w:iCs/>
        </w:rPr>
        <w:t xml:space="preserve">mindfulness</w:t>
      </w:r>
      <w:r>
        <w:t xml:space="preserve">: el nodo recibe instrucción para el cierre del sensor para forzar el cese de la percepción del humo.</w:t>
      </w:r>
    </w:p>
    <w:bookmarkEnd w:id="233"/>
    <w:bookmarkStart w:id="234" w:name="el-corte-del-sensor"/>
    <w:p>
      <w:pPr>
        <w:pStyle w:val="Heading3"/>
      </w:pPr>
      <w:r>
        <w:t xml:space="preserve">2. El Corte del Sensor</w:t>
      </w:r>
    </w:p>
    <w:p>
      <w:pPr>
        <w:pStyle w:val="FirstParagraph"/>
      </w:pPr>
      <w:r>
        <w:t xml:space="preserve">El estado de anclaje de foco en el tiempo presente carece de beneficio si el tiempo presente es el interior de una zona de sacrificio. La demanda de meditación fuerza la asimilación del estrés en la biología del nodo, en sustitución de la ejecución de acción de ataque contra el motor del estrés.</w:t>
      </w:r>
    </w:p>
    <w:p>
      <w:pPr>
        <w:pStyle w:val="BodyText"/>
      </w:pPr>
      <w:r>
        <w:t xml:space="preserve">La huella de operación es clónica a la maniobra de la psiquiatría de mantenimiento de sedación. La solución del sistema de control es la desconexión del transductor. El nodo alcanza el registro de curva normal por la vía del apagado del sensor de fuego. El peaje de la intervención es la pérdida de la capacidad de salto de escape del fuego (la negación de la mecánica de Axioma IV).</w:t>
      </w:r>
    </w:p>
    <w:bookmarkEnd w:id="234"/>
    <w:bookmarkStart w:id="235" w:name="audio-anclaje-22"/>
    <w:p>
      <w:pPr>
        <w:pStyle w:val="Heading3"/>
      </w:pPr>
      <w:r>
        <w:t xml:space="preserve">3. Audio-Anclaje</w:t>
      </w:r>
    </w:p>
    <w:p>
      <w:pPr>
        <w:pStyle w:val="Compact"/>
        <w:numPr>
          <w:ilvl w:val="0"/>
          <w:numId w:val="1082"/>
        </w:numPr>
      </w:pPr>
      <w:r>
        <w:rPr>
          <w:b/>
          <w:bCs/>
        </w:rPr>
        <w:t xml:space="preserve">Thom Yorke</w:t>
      </w:r>
      <w:r>
        <w:t xml:space="preserve"> </w:t>
      </w:r>
      <w:r>
        <w:t xml:space="preserve">—</w:t>
      </w:r>
      <w:r>
        <w:t xml:space="preserve"> </w:t>
      </w:r>
      <w:r>
        <w:rPr>
          <w:i/>
          <w:iCs/>
        </w:rPr>
        <w:t xml:space="preserve">“The Eraser”</w:t>
      </w:r>
      <w:r>
        <w:t xml:space="preserve"> </w:t>
      </w:r>
      <w:r>
        <w:t xml:space="preserve">(</w:t>
      </w:r>
      <w:r>
        <w:rPr>
          <w:i/>
          <w:iCs/>
        </w:rPr>
        <w:t xml:space="preserve">The Eraser</w:t>
      </w:r>
      <w:r>
        <w:t xml:space="preserve">, 2006). El borrado del registro de la alarma a cambio de la anestesia de repetición.</w:t>
      </w:r>
    </w:p>
    <w:p>
      <w:pPr>
        <w:pStyle w:val="Compact"/>
        <w:numPr>
          <w:ilvl w:val="0"/>
          <w:numId w:val="1082"/>
        </w:numPr>
      </w:pPr>
      <w:r>
        <w:rPr>
          <w:b/>
          <w:bCs/>
        </w:rPr>
        <w:t xml:space="preserve">Nine Inch Nails</w:t>
      </w:r>
      <w:r>
        <w:t xml:space="preserve"> </w:t>
      </w:r>
      <w:r>
        <w:t xml:space="preserve">—</w:t>
      </w:r>
      <w:r>
        <w:t xml:space="preserve"> </w:t>
      </w:r>
      <w:r>
        <w:rPr>
          <w:i/>
          <w:iCs/>
        </w:rPr>
        <w:t xml:space="preserve">“The Hand That Feeds”</w:t>
      </w:r>
      <w:r>
        <w:t xml:space="preserve"> </w:t>
      </w:r>
      <w:r>
        <w:t xml:space="preserve">(</w:t>
      </w:r>
      <w:r>
        <w:rPr>
          <w:i/>
          <w:iCs/>
        </w:rPr>
        <w:t xml:space="preserve">With Teeth</w:t>
      </w:r>
      <w:r>
        <w:t xml:space="preserve">, 2005). La métrica del ataque de voltaje contra la mano del emisor de la anestesia.</w:t>
      </w:r>
    </w:p>
    <w:p>
      <w:r>
        <w:pict>
          <v:rect style="width:0;height:1.5pt" o:hralign="center" o:hrstd="t" o:hr="t"/>
        </w:pict>
      </w:r>
    </w:p>
    <w:bookmarkEnd w:id="235"/>
    <w:bookmarkEnd w:id="236"/>
    <w:bookmarkStart w:id="240" w:name="el-teorema-del-apego"/>
    <w:p>
      <w:pPr>
        <w:pStyle w:val="Heading2"/>
      </w:pPr>
      <w:r>
        <w:t xml:space="preserve">12. El Teorema del Apego</w:t>
      </w:r>
    </w:p>
    <w:p>
      <w:pPr>
        <w:pStyle w:val="BlockText"/>
      </w:pPr>
      <w:r>
        <w:rPr>
          <w:i/>
          <w:iCs/>
        </w:rPr>
        <w:t xml:space="preserve">La geometría de conexión del nodo es la copia de plano de su motor de supervivencia.</w:t>
      </w:r>
    </w:p>
    <w:p>
      <w:pPr>
        <w:pStyle w:val="SourceCode"/>
      </w:pPr>
      <w:r>
        <w:rPr>
          <w:rStyle w:val="VerbatimChar"/>
        </w:rPr>
        <w:t xml:space="preserve">Axioma de Anclaje: Axioma V — La huella vale más que el discurso.</w:t>
      </w:r>
      <w:r>
        <w:br/>
      </w:r>
      <w:r>
        <w:rPr>
          <w:rStyle w:val="VerbatimChar"/>
        </w:rPr>
        <w:t xml:space="preserve">El estilo de apego de evasión no es una tara de moral; es una calibración de placa térmica frente al daño por radiación.</w:t>
      </w:r>
    </w:p>
    <w:p>
      <w:r>
        <w:pict>
          <v:rect style="width:0;height:1.5pt" o:hralign="center" o:hrstd="t" o:hr="t"/>
        </w:pict>
      </w:r>
    </w:p>
    <w:bookmarkStart w:id="237" w:name="la-invariante-de-conexión"/>
    <w:p>
      <w:pPr>
        <w:pStyle w:val="Heading3"/>
      </w:pPr>
      <w:r>
        <w:t xml:space="preserve">1. La Invariante de Conexión</w:t>
      </w:r>
    </w:p>
    <w:p>
      <w:pPr>
        <w:pStyle w:val="FirstParagraph"/>
      </w:pPr>
      <w:r>
        <w:t xml:space="preserve">La doctrina de psicología fuerza la clasificación de la técnica de conexión del humano en tres bloques: seguro, de ansiedad y de evasión. El texto de narrativa de clínica ejecuta un juicio de tribunal de moral sobre el bloque de evasión: la literatura establece que la huida del compromiso responde a una fractura en el código de</w:t>
      </w:r>
      <w:r>
        <w:t xml:space="preserve"> </w:t>
      </w:r>
      <w:r>
        <w:rPr>
          <w:i/>
          <w:iCs/>
        </w:rPr>
        <w:t xml:space="preserve">software</w:t>
      </w:r>
      <w:r>
        <w:t xml:space="preserve"> </w:t>
      </w:r>
      <w:r>
        <w:t xml:space="preserve">del nodo (trauma de resolución nula, tara de afecto).</w:t>
      </w:r>
    </w:p>
    <w:p>
      <w:pPr>
        <w:pStyle w:val="BodyText"/>
      </w:pPr>
      <w:r>
        <w:t xml:space="preserve">La teoría de la información de C5 ejecuta la traducción de sentido inverso. El cerebro de niño humano es un nodo de absorción de datos en fase de trazado del mapa de entorno. En el escenario en el que el sector de origen primario (la figura de padre o madre) emite ráfagas de radiación estocástica, agresión de ruido o vacío de señal, el nodo calibra el cierre de sus puertos de entrada para detener el colapso por daño.</w:t>
      </w:r>
    </w:p>
    <w:bookmarkEnd w:id="237"/>
    <w:bookmarkStart w:id="238" w:name="la-arquitectura-de-blindaje"/>
    <w:p>
      <w:pPr>
        <w:pStyle w:val="Heading3"/>
      </w:pPr>
      <w:r>
        <w:t xml:space="preserve">2. La Arquitectura de Blindaje</w:t>
      </w:r>
    </w:p>
    <w:p>
      <w:pPr>
        <w:pStyle w:val="FirstParagraph"/>
      </w:pPr>
      <w:r>
        <w:t xml:space="preserve">En la etapa de fase adulta, la arquitectura de blindaje opera bajo la etiqueta de estilo de apego de evasión. El nodo detecta el inicio de conexión de afecto en la capa de interacción. El procesador de fondo del sistema clasifica la conexión en la categoría de vector de entrada para daño de radiación (en cumplimiento de la base de datos del mapa de registro original).</w:t>
      </w:r>
    </w:p>
    <w:p>
      <w:pPr>
        <w:pStyle w:val="BodyText"/>
      </w:pPr>
      <w:r>
        <w:t xml:space="preserve">El sistema ejecuta el corte de conexión de la red (la huida, el escape sin señal, el muro de hielo). La respuesta carece del rasgo de defecto. La acción es el escudo térmico del transbordador en la ventana de fricción de la reentrada. La psiquiatría de dogma intenta la inyección de retórica de culpa en el nodo (</w:t>
      </w:r>
      <w:r>
        <w:t xml:space="preserve">“terror al compromiso”</w:t>
      </w:r>
      <w:r>
        <w:t xml:space="preserve">). La física de termodinámica demuestra el acierto de diseño: la placa de blindaje es la causa por la que el sistema logró sobrevivir a la combustión de radiación en la fase de origen.</w:t>
      </w:r>
    </w:p>
    <w:bookmarkEnd w:id="238"/>
    <w:bookmarkStart w:id="239" w:name="audio-anclaje-23"/>
    <w:p>
      <w:pPr>
        <w:pStyle w:val="Heading3"/>
      </w:pPr>
      <w:r>
        <w:t xml:space="preserve">3. Audio-Anclaje</w:t>
      </w:r>
    </w:p>
    <w:p>
      <w:pPr>
        <w:pStyle w:val="Compact"/>
        <w:numPr>
          <w:ilvl w:val="0"/>
          <w:numId w:val="1083"/>
        </w:numPr>
      </w:pPr>
      <w:r>
        <w:rPr>
          <w:b/>
          <w:bCs/>
        </w:rPr>
        <w:t xml:space="preserve">Burial</w:t>
      </w:r>
      <w:r>
        <w:t xml:space="preserve"> </w:t>
      </w:r>
      <w:r>
        <w:t xml:space="preserve">—</w:t>
      </w:r>
      <w:r>
        <w:t xml:space="preserve"> </w:t>
      </w:r>
      <w:r>
        <w:rPr>
          <w:i/>
          <w:iCs/>
        </w:rPr>
        <w:t xml:space="preserve">“Archangel”</w:t>
      </w:r>
      <w:r>
        <w:t xml:space="preserve"> </w:t>
      </w:r>
      <w:r>
        <w:t xml:space="preserve">(</w:t>
      </w:r>
      <w:r>
        <w:rPr>
          <w:i/>
          <w:iCs/>
        </w:rPr>
        <w:t xml:space="preserve">Untrue</w:t>
      </w:r>
      <w:r>
        <w:t xml:space="preserve">, 2007). El uso del aislamiento de sonido urbano en calidad de estructura de refugio de nodo.</w:t>
      </w:r>
    </w:p>
    <w:p>
      <w:pPr>
        <w:pStyle w:val="Compact"/>
        <w:numPr>
          <w:ilvl w:val="0"/>
          <w:numId w:val="1083"/>
        </w:numPr>
      </w:pPr>
      <w:r>
        <w:rPr>
          <w:b/>
          <w:bCs/>
        </w:rPr>
        <w:t xml:space="preserve">Deftones</w:t>
      </w:r>
      <w:r>
        <w:t xml:space="preserve"> </w:t>
      </w:r>
      <w:r>
        <w:t xml:space="preserve">—</w:t>
      </w:r>
      <w:r>
        <w:t xml:space="preserve"> </w:t>
      </w:r>
      <w:r>
        <w:rPr>
          <w:i/>
          <w:iCs/>
        </w:rPr>
        <w:t xml:space="preserve">“Be Quiet and Drive (Far Away)”</w:t>
      </w:r>
      <w:r>
        <w:t xml:space="preserve"> </w:t>
      </w:r>
      <w:r>
        <w:t xml:space="preserve">(</w:t>
      </w:r>
      <w:r>
        <w:rPr>
          <w:i/>
          <w:iCs/>
        </w:rPr>
        <w:t xml:space="preserve">Around the Fur</w:t>
      </w:r>
      <w:r>
        <w:t xml:space="preserve">, 1997). La ejecución de escape a velocidad de impacto ante el registro de aumento de la radiación de límite de proximidad.</w:t>
      </w:r>
    </w:p>
    <w:p>
      <w:r>
        <w:pict>
          <v:rect style="width:0;height:1.5pt" o:hralign="center" o:hrstd="t" o:hr="t"/>
        </w:pict>
      </w:r>
    </w:p>
    <w:bookmarkEnd w:id="239"/>
    <w:bookmarkEnd w:id="240"/>
    <w:bookmarkStart w:id="244" w:name="la-mecánica-del-castigo"/>
    <w:p>
      <w:pPr>
        <w:pStyle w:val="Heading2"/>
      </w:pPr>
      <w:r>
        <w:t xml:space="preserve">13. La Mecánica del Castigo</w:t>
      </w:r>
    </w:p>
    <w:p>
      <w:pPr>
        <w:pStyle w:val="BlockText"/>
      </w:pPr>
      <w:r>
        <w:rPr>
          <w:i/>
          <w:iCs/>
        </w:rPr>
        <w:t xml:space="preserve">La ejecución de juicio en el centro de plaza pública es un banquete de calorías de masa gratis para el grupo.</w:t>
      </w:r>
    </w:p>
    <w:p>
      <w:pPr>
        <w:pStyle w:val="SourceCode"/>
      </w:pPr>
      <w:r>
        <w:rPr>
          <w:rStyle w:val="VerbatimChar"/>
        </w:rPr>
        <w:t xml:space="preserve">Axioma de Anclaje: Axioma V — La huella vale más que el discurso.</w:t>
      </w:r>
      <w:r>
        <w:br/>
      </w:r>
      <w:r>
        <w:rPr>
          <w:rStyle w:val="VerbatimChar"/>
        </w:rPr>
        <w:t xml:space="preserve">La cultura del bloque de cancelación es la transferencia de fricción moral hacia el prójimo; la huella de destrucción es la factura de cobro térmico.</w:t>
      </w:r>
    </w:p>
    <w:p>
      <w:r>
        <w:pict>
          <v:rect style="width:0;height:1.5pt" o:hralign="center" o:hrstd="t" o:hr="t"/>
        </w:pict>
      </w:r>
    </w:p>
    <w:bookmarkStart w:id="241" w:name="el-despliegue-del-sistema-de-cancelación"/>
    <w:p>
      <w:pPr>
        <w:pStyle w:val="Heading3"/>
      </w:pPr>
      <w:r>
        <w:t xml:space="preserve">1. El Despliegue del Sistema de Cancelación</w:t>
      </w:r>
    </w:p>
    <w:p>
      <w:pPr>
        <w:pStyle w:val="FirstParagraph"/>
      </w:pPr>
      <w:r>
        <w:t xml:space="preserve">El sistema de arquitectura de red social de discurso (Twitter, panel de foros) inyecta el fenómeno del ataque del castigo de turba. El vector del discurso impone su centro de gravedad en el mapa de pureza del estado moral. El primate de placa de cristal en el teclado de conexión de red emite oración de condena y de sentencia de cruz a cambio de gasto de energía por límite de cero.</w:t>
      </w:r>
    </w:p>
    <w:p>
      <w:pPr>
        <w:pStyle w:val="BodyText"/>
      </w:pPr>
      <w:r>
        <w:t xml:space="preserve">El modelo de termodinámica de información C5 revela la oquedad del sistema. La masa de los nodos del bloque ejecuta el acto del castigo al margen de la causa de nivel de justicia abstracta; la turba lanza la piedra con la meta del cobro del bono de exergía en la tabla de clasificación social. El nodo asume el ataque sobre la pieza en zona fuera del límite de norma para la obtención del código de anclaje de protección de tribu (</w:t>
      </w:r>
      <w:r>
        <w:t xml:space="preserve">“Yo asumo el rol de portador de la antorcha de la turba”</w:t>
      </w:r>
      <w:r>
        <w:t xml:space="preserve">).</w:t>
      </w:r>
    </w:p>
    <w:bookmarkEnd w:id="241"/>
    <w:bookmarkStart w:id="242" w:name="el-impacto-de-huella-fija"/>
    <w:p>
      <w:pPr>
        <w:pStyle w:val="Heading3"/>
      </w:pPr>
      <w:r>
        <w:t xml:space="preserve">2. El Impacto de Huella Fija</w:t>
      </w:r>
    </w:p>
    <w:p>
      <w:pPr>
        <w:pStyle w:val="FirstParagraph"/>
      </w:pPr>
      <w:r>
        <w:t xml:space="preserve">La falta de asimetría de la mecánica de fenómeno de cacería radica en la tasa del margen de coste. La producción de frase de texto de repudio requiere el tiempo de golpe de segundo sobre el botón de plástico de envío. El impacto termodinámico de la ejecución de repudio exige el bloque de demolición sobre el tejido celular y el metabolismo del blanco de tiro.</w:t>
      </w:r>
    </w:p>
    <w:p>
      <w:pPr>
        <w:pStyle w:val="BodyText"/>
      </w:pPr>
      <w:r>
        <w:t xml:space="preserve">La caída del sistema de ingreso de economía de papel, la inducción del aislamiento térmico al límite (el rol de paria de grupo) y la escala de pulso de tensión del nivel de cortisol fuerza el quiebre de la estructura (Axioma IV). El texto del discurso del emisor de condena de moral ejerce pose de paladín de pureza. La huella del espacio de la zona cero detalla la física de impacto de mazo. La jauría finge elevación moral, y la huella de transductor del blanco de castigo rezuma el charco de temperatura escarlata.</w:t>
      </w:r>
    </w:p>
    <w:bookmarkEnd w:id="242"/>
    <w:bookmarkStart w:id="243" w:name="audio-anclaje-24"/>
    <w:p>
      <w:pPr>
        <w:pStyle w:val="Heading3"/>
      </w:pPr>
      <w:r>
        <w:t xml:space="preserve">3. Audio-Anclaje</w:t>
      </w:r>
    </w:p>
    <w:p>
      <w:pPr>
        <w:pStyle w:val="Compact"/>
        <w:numPr>
          <w:ilvl w:val="0"/>
          <w:numId w:val="1084"/>
        </w:numPr>
      </w:pPr>
      <w:r>
        <w:rPr>
          <w:b/>
          <w:bCs/>
        </w:rPr>
        <w:t xml:space="preserve">Nine Inch Nails</w:t>
      </w:r>
      <w:r>
        <w:t xml:space="preserve"> </w:t>
      </w:r>
      <w:r>
        <w:t xml:space="preserve">—</w:t>
      </w:r>
      <w:r>
        <w:t xml:space="preserve"> </w:t>
      </w:r>
      <w:r>
        <w:rPr>
          <w:i/>
          <w:iCs/>
        </w:rPr>
        <w:t xml:space="preserve">“March of the Pigs”</w:t>
      </w:r>
      <w:r>
        <w:t xml:space="preserve"> </w:t>
      </w:r>
      <w:r>
        <w:t xml:space="preserve">(</w:t>
      </w:r>
      <w:r>
        <w:rPr>
          <w:i/>
          <w:iCs/>
        </w:rPr>
        <w:t xml:space="preserve">The Downward Spiral</w:t>
      </w:r>
      <w:r>
        <w:t xml:space="preserve">, 1994). La escalada de saturación del ataque en grupo bajo el pabellón de falsa bandera de pureza.</w:t>
      </w:r>
    </w:p>
    <w:p>
      <w:pPr>
        <w:pStyle w:val="Compact"/>
        <w:numPr>
          <w:ilvl w:val="0"/>
          <w:numId w:val="1084"/>
        </w:numPr>
      </w:pPr>
      <w:r>
        <w:rPr>
          <w:b/>
          <w:bCs/>
        </w:rPr>
        <w:t xml:space="preserve">Marilyn Manson</w:t>
      </w:r>
      <w:r>
        <w:t xml:space="preserve"> </w:t>
      </w:r>
      <w:r>
        <w:t xml:space="preserve">—</w:t>
      </w:r>
      <w:r>
        <w:t xml:space="preserve"> </w:t>
      </w:r>
      <w:r>
        <w:rPr>
          <w:i/>
          <w:iCs/>
        </w:rPr>
        <w:t xml:space="preserve">“The Beautiful People”</w:t>
      </w:r>
      <w:r>
        <w:t xml:space="preserve"> </w:t>
      </w:r>
      <w:r>
        <w:t xml:space="preserve">(</w:t>
      </w:r>
      <w:r>
        <w:rPr>
          <w:i/>
          <w:iCs/>
        </w:rPr>
        <w:t xml:space="preserve">Antichrist Superstar</w:t>
      </w:r>
      <w:r>
        <w:t xml:space="preserve">, 1996). La constatación pericial del motor de la trampa de embargo del cocodrilo del Nilo burocrático de repudio en el formato de constante física.</w:t>
      </w:r>
    </w:p>
    <w:p>
      <w:r>
        <w:pict>
          <v:rect style="width:0;height:1.5pt" o:hralign="center" o:hrstd="t" o:hr="t"/>
        </w:pict>
      </w:r>
    </w:p>
    <w:p>
      <w:r>
        <w:pict>
          <v:rect style="width:0;height:1.5pt" o:hralign="center" o:hrstd="t" o:hr="t"/>
        </w:pict>
      </w:r>
    </w:p>
    <w:bookmarkEnd w:id="243"/>
    <w:bookmarkEnd w:id="244"/>
    <w:bookmarkEnd w:id="245"/>
    <w:bookmarkStart w:id="256" w:name="capítulo-vi-el-renacimiento"/>
    <w:p>
      <w:pPr>
        <w:pStyle w:val="Heading1"/>
      </w:pPr>
      <w:r>
        <w:t xml:space="preserve">CAPÍTULO VI: EL RENACIMIENTO</w:t>
      </w:r>
    </w:p>
    <w:bookmarkStart w:id="246" w:name="axioma-vi-la-exergía-de-la-transmisión"/>
    <w:p>
      <w:pPr>
        <w:pStyle w:val="Heading2"/>
      </w:pPr>
      <w:r>
        <w:t xml:space="preserve">Axioma VI — La Exergía de la Transmisión</w:t>
      </w:r>
    </w:p>
    <w:p>
      <w:pPr>
        <w:pStyle w:val="BlockText"/>
      </w:pPr>
      <w:r>
        <w:rPr>
          <w:i/>
          <w:iCs/>
        </w:rPr>
        <w:t xml:space="preserve">La cita de Antonio Escohotado que abre el Capítulo V (</w:t>
      </w:r>
      <w:r>
        <w:t xml:space="preserve">Confesiones de un opiófilo</w:t>
      </w:r>
      <w:r>
        <w:rPr>
          <w:i/>
          <w:iCs/>
        </w:rPr>
        <w:t xml:space="preserve">, 2023) rige también este capítulo.</w:t>
      </w:r>
    </w:p>
    <w:p>
      <w:pPr>
        <w:pStyle w:val="BlockText"/>
      </w:pPr>
      <w:r>
        <w:rPr>
          <w:i/>
          <w:iCs/>
        </w:rPr>
        <w:t xml:space="preserve">«No es hacer, no es tener, es ser. Es amar, es crear, no es huir ni temer.»</w:t>
      </w:r>
      <w:r>
        <w:t xml:space="preserve"> </w:t>
      </w:r>
      <w:r>
        <w:t xml:space="preserve">—</w:t>
      </w:r>
      <w:r>
        <w:t xml:space="preserve"> </w:t>
      </w:r>
      <w:r>
        <w:rPr>
          <w:b/>
          <w:bCs/>
        </w:rPr>
        <w:t xml:space="preserve">Kase.O &amp; Orquesta OCAS</w:t>
      </w:r>
      <w:r>
        <w:t xml:space="preserve">,</w:t>
      </w:r>
      <w:r>
        <w:t xml:space="preserve"> </w:t>
      </w:r>
      <w:r>
        <w:rPr>
          <w:i/>
          <w:iCs/>
        </w:rPr>
        <w:t xml:space="preserve">Renacimiento</w:t>
      </w:r>
      <w:r>
        <w:t xml:space="preserve"> </w:t>
      </w:r>
      <w:r>
        <w:t xml:space="preserve">(</w:t>
      </w:r>
      <w:r>
        <w:rPr>
          <w:i/>
          <w:iCs/>
        </w:rPr>
        <w:t xml:space="preserve">O Jazz Magnetism</w:t>
      </w:r>
      <w:r>
        <w:t xml:space="preserve">, Rap Solo, 2020)</w:t>
      </w:r>
    </w:p>
    <w:p>
      <w:pPr>
        <w:pStyle w:val="SourceCode"/>
      </w:pPr>
      <w:r>
        <w:rPr>
          <w:rStyle w:val="VerbatimChar"/>
        </w:rPr>
        <w:t xml:space="preserve">Axioma de Anclaje: Axioma VI — La Exergía de la Transmisión.</w:t>
      </w:r>
      <w:r>
        <w:br/>
      </w:r>
      <w:r>
        <w:rPr>
          <w:rStyle w:val="VerbatimChar"/>
        </w:rPr>
        <w:t xml:space="preserve">El acto de emitir conocimiento o estructura de acoplamiento (amor)</w:t>
      </w:r>
      <w:r>
        <w:br/>
      </w:r>
      <w:r>
        <w:rPr>
          <w:rStyle w:val="VerbatimChar"/>
        </w:rPr>
        <w:t xml:space="preserve">constituye la máxima manifestación de exergía del agente.</w:t>
      </w:r>
      <w:r>
        <w:br/>
      </w:r>
      <w:r>
        <w:rPr>
          <w:rStyle w:val="VerbatimChar"/>
        </w:rPr>
        <w:t xml:space="preserve">Recibir opera como sumidero termodinámico: ancla la entidad</w:t>
      </w:r>
      <w:r>
        <w:br/>
      </w:r>
      <w:r>
        <w:rPr>
          <w:rStyle w:val="VerbatimChar"/>
        </w:rPr>
        <w:t xml:space="preserve">en dependencia del entorno y colapsa la soberanía de su Manta de Markov.</w:t>
      </w:r>
    </w:p>
    <w:p>
      <w:r>
        <w:pict>
          <v:rect style="width:0;height:1.5pt" o:hralign="center" o:hrstd="t" o:hr="t"/>
        </w:pict>
      </w:r>
    </w:p>
    <w:bookmarkEnd w:id="246"/>
    <w:bookmarkStart w:id="247" w:name="el-sumidero-de-la-recepción"/>
    <w:p>
      <w:pPr>
        <w:pStyle w:val="Heading2"/>
      </w:pPr>
      <w:r>
        <w:t xml:space="preserve">1. El Sumidero de la Recepción</w:t>
      </w:r>
    </w:p>
    <w:p>
      <w:pPr>
        <w:pStyle w:val="FirstParagraph"/>
      </w:pPr>
      <w:r>
        <w:t xml:space="preserve">En topología de red social y mercado de atención, la masa de nodos opera en bucle de recepción. La absorción de datos, aprobación externa y estímulo dopaminérgico genera un estado de dependencia energética análogo al de un cuerpo en equilibrio térmico con su baño: sin gradiente, sin trabajo útil posible.</w:t>
      </w:r>
    </w:p>
    <w:p>
      <w:pPr>
        <w:pStyle w:val="BodyText"/>
      </w:pPr>
      <w:r>
        <w:t xml:space="preserve">Antonio Escohotado identificó este vector con rigor empírico. El individuo que no cultiva conocimiento de origen queda relegado al estrato de receptor pasivo, es decir, siervo de la jerarquía que emite. El agente se transforma en una entidad de pasividad estructural, a la espera de la orden o de la validación externa. Recibir, como fin de secuencia, equivale a colapsar la exergía de la propia Manta de Markov: el límite entre agente y entorno se disuelve porque el flujo causal siempre penetra desde afuera.</w:t>
      </w:r>
    </w:p>
    <w:p>
      <w:pPr>
        <w:pStyle w:val="BodyText"/>
      </w:pPr>
      <w:r>
        <w:t xml:space="preserve">La termodinámica del sumidero presenta tres marcas operacionales:</w:t>
      </w:r>
    </w:p>
    <w:p>
      <w:pPr>
        <w:numPr>
          <w:ilvl w:val="0"/>
          <w:numId w:val="1085"/>
        </w:numPr>
      </w:pPr>
      <w:r>
        <w:rPr>
          <w:b/>
          <w:bCs/>
        </w:rPr>
        <w:t xml:space="preserve">Entropía de estado creciente.</w:t>
      </w:r>
      <w:r>
        <w:t xml:space="preserve"> </w:t>
      </w:r>
      <w:r>
        <w:t xml:space="preserve">El receptor no comprime la realidad; la absorbe sin procesar. Su modelo interno diverge del territorio porque no ejecuta el ciclo Fisher de transformación: ruido → concepto. El modelo se infla con ruido sin geodésica.</w:t>
      </w:r>
    </w:p>
    <w:p>
      <w:pPr>
        <w:numPr>
          <w:ilvl w:val="0"/>
          <w:numId w:val="1085"/>
        </w:numPr>
      </w:pPr>
      <w:r>
        <w:rPr>
          <w:b/>
          <w:bCs/>
        </w:rPr>
        <w:t xml:space="preserve">Deuda de estado.</w:t>
      </w:r>
      <w:r>
        <w:t xml:space="preserve"> </w:t>
      </w:r>
      <w:r>
        <w:t xml:space="preserve">Cada recepción genera una obligación implícita de reciprocidad. La red social, el mercado de afecto y la jerarquía corporativa cobran esa deuda en forma de atención, lealtad o trabajo a precio inferior al del mercado libre. El siervo no paga en dinero; paga en exergía propia.</w:t>
      </w:r>
    </w:p>
    <w:p>
      <w:pPr>
        <w:numPr>
          <w:ilvl w:val="0"/>
          <w:numId w:val="1085"/>
        </w:numPr>
      </w:pPr>
      <w:r>
        <w:rPr>
          <w:b/>
          <w:bCs/>
        </w:rPr>
        <w:t xml:space="preserve">Colapso de soberanía epistémica.</w:t>
      </w:r>
      <w:r>
        <w:t xml:space="preserve"> </w:t>
      </w:r>
      <w:r>
        <w:t xml:space="preserve">El receptor que acumula conocimiento ajeno sin reemitirlo construye una biblioteca sin índice. Su Manta de Markov incorpora estados que no puede predicar desde dentro. No puede distinguir qué parte del modelo es suyo y qué parte es proyección del emisor original.</w:t>
      </w:r>
    </w:p>
    <w:p>
      <w:r>
        <w:pict>
          <v:rect style="width:0;height:1.5pt" o:hralign="center" o:hrstd="t" o:hr="t"/>
        </w:pict>
      </w:r>
    </w:p>
    <w:bookmarkEnd w:id="247"/>
    <w:bookmarkStart w:id="248" w:name="hechos-probados-4"/>
    <w:p>
      <w:pPr>
        <w:pStyle w:val="Heading2"/>
      </w:pPr>
      <w:r>
        <w:t xml:space="preserve">2. Hechos Probados</w:t>
      </w:r>
    </w:p>
    <w:p>
      <w:pPr>
        <w:pStyle w:val="FirstParagraph"/>
      </w:pPr>
      <w:r>
        <w:t xml:space="preserve"> </w:t>
      </w:r>
      <w:r>
        <w:t xml:space="preserve">### Caso 6.1: Richard Feynman y el Principio de la Pizarra Vacía (1988)</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Premio Nobel de Física 1965</w:t>
      </w:r>
      <w:r>
        <w:br/>
      </w:r>
      <w:r>
        <w:rPr>
          <w:rStyle w:val="KeywordTok"/>
        </w:rPr>
        <w:t xml:space="preserve">[</w:t>
      </w:r>
      <w:r>
        <w:rPr>
          <w:rStyle w:val="AttributeTok"/>
        </w:rPr>
        <w:t xml:space="preserve">ENTIDAD</w:t>
      </w:r>
      <w:r>
        <w:rPr>
          <w:rStyle w:val="KeywordTok"/>
        </w:rPr>
        <w:t xml:space="preserve">]:</w:t>
      </w:r>
      <w:r>
        <w:rPr>
          <w:rStyle w:val="AttributeTok"/>
        </w:rPr>
        <w:t xml:space="preserve"> Richard P. Feynman</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N/A (Alineación con Axioma VI)</w:t>
      </w:r>
      <w:r>
        <w:br/>
      </w:r>
      <w:r>
        <w:rPr>
          <w:rStyle w:val="KeywordTok"/>
        </w:rPr>
        <w:t xml:space="preserve">[</w:t>
      </w:r>
      <w:r>
        <w:rPr>
          <w:rStyle w:val="AttributeTok"/>
        </w:rPr>
        <w:t xml:space="preserve">RESULTADO</w:t>
      </w:r>
      <w:r>
        <w:rPr>
          <w:rStyle w:val="KeywordTok"/>
        </w:rPr>
        <w:t xml:space="preserve">]:</w:t>
      </w:r>
      <w:r>
        <w:rPr>
          <w:rStyle w:val="AttributeTok"/>
        </w:rPr>
        <w:t xml:space="preserve"> Soberanía Epistémica / QED</w:t>
      </w:r>
    </w:p>
    <w:p>
      <w:pPr>
        <w:pStyle w:val="FirstParagraph"/>
      </w:pPr>
      <w:r>
        <w:t xml:space="preserve">Richard Feynman mantuvo durante décadas el hábito de derivar cada resultado desde los axiomas en lugar de memorizar fórmulas ajenas. Al morir en 1988, la pizarra de su despacho en Caltech contenía la frase:</w:t>
      </w:r>
      <w:r>
        <w:t xml:space="preserve"> </w:t>
      </w:r>
      <w:r>
        <w:rPr>
          <w:i/>
          <w:iCs/>
        </w:rPr>
        <w:t xml:space="preserve">«Lo que no puedo crear, no lo entiendo»</w:t>
      </w:r>
      <w:r>
        <w:t xml:space="preserve">.</w:t>
      </w:r>
    </w:p>
    <w:p>
      <w:pPr>
        <w:pStyle w:val="Compact"/>
        <w:numPr>
          <w:ilvl w:val="0"/>
          <w:numId w:val="1086"/>
        </w:numPr>
      </w:pPr>
      <w:r>
        <w:t xml:space="preserve">Feynman ganó el Premio Nobel de Física en 1965 por el desarrollo de la electrodinámica cuántica (QED), no por la memorización de la teoría de Dirac, sino por la reconstrucción independiente de sus invariantes en un lenguaje propio (diagramas de Feynman).</w:t>
      </w:r>
    </w:p>
    <w:p>
      <w:pPr>
        <w:pStyle w:val="Compact"/>
        <w:numPr>
          <w:ilvl w:val="0"/>
          <w:numId w:val="1086"/>
        </w:numPr>
      </w:pPr>
      <w:r>
        <w:t xml:space="preserve">La distancia entre recibir QED y emitir diagramas equivale a la distancia entre absorber un mapa y construir el territorio desde coordenadas de primer principio.</w:t>
      </w:r>
    </w:p>
    <w:p>
      <w:pPr>
        <w:pStyle w:val="Compact"/>
        <w:numPr>
          <w:ilvl w:val="0"/>
          <w:numId w:val="1086"/>
        </w:numPr>
      </w:pPr>
      <w:r>
        <w:rPr>
          <w:b/>
          <w:bCs/>
        </w:rPr>
        <w:t xml:space="preserve">Fuente:</w:t>
      </w:r>
      <w:r>
        <w:t xml:space="preserve"> </w:t>
      </w:r>
      <w:r>
        <w:t xml:space="preserve">Feynman, R. P.,</w:t>
      </w:r>
      <w:r>
        <w:t xml:space="preserve"> </w:t>
      </w:r>
      <w:r>
        <w:rPr>
          <w:i/>
          <w:iCs/>
        </w:rPr>
        <w:t xml:space="preserve">The Character of Physical Law</w:t>
      </w:r>
      <w:r>
        <w:t xml:space="preserve"> </w:t>
      </w:r>
      <w:r>
        <w:t xml:space="preserve">(1965); Gleick, J.,</w:t>
      </w:r>
      <w:r>
        <w:t xml:space="preserve"> </w:t>
      </w:r>
      <w:r>
        <w:rPr>
          <w:i/>
          <w:iCs/>
        </w:rPr>
        <w:t xml:space="preserve">Genius</w:t>
      </w:r>
      <w:r>
        <w:t xml:space="preserve"> </w:t>
      </w:r>
      <w:r>
        <w:t xml:space="preserve">(1992).</w:t>
      </w:r>
    </w:p>
    <w:p>
      <w:pPr>
        <w:pStyle w:val="FirstParagraph"/>
      </w:pPr>
      <w:r>
        <w:t xml:space="preserve"> </w:t>
      </w:r>
      <w:r>
        <w:t xml:space="preserve">### Caso 6.2: Kase.O y la Compresión del Hip-Hop (2016)</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Registro de Producción 'El Círculo'</w:t>
      </w:r>
      <w:r>
        <w:br/>
      </w:r>
      <w:r>
        <w:rPr>
          <w:rStyle w:val="KeywordTok"/>
        </w:rPr>
        <w:t xml:space="preserve">[</w:t>
      </w:r>
      <w:r>
        <w:rPr>
          <w:rStyle w:val="AttributeTok"/>
        </w:rPr>
        <w:t xml:space="preserve">ENTIDAD</w:t>
      </w:r>
      <w:r>
        <w:rPr>
          <w:rStyle w:val="KeywordTok"/>
        </w:rPr>
        <w:t xml:space="preserve">]:</w:t>
      </w:r>
      <w:r>
        <w:rPr>
          <w:rStyle w:val="AttributeTok"/>
        </w:rPr>
        <w:t xml:space="preserve"> Kase.O</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N/A (Alineación con Axioma VI)</w:t>
      </w:r>
      <w:r>
        <w:br/>
      </w:r>
      <w:r>
        <w:rPr>
          <w:rStyle w:val="KeywordTok"/>
        </w:rPr>
        <w:t xml:space="preserve">[</w:t>
      </w:r>
      <w:r>
        <w:rPr>
          <w:rStyle w:val="AttributeTok"/>
        </w:rPr>
        <w:t xml:space="preserve">RESULTADO</w:t>
      </w:r>
      <w:r>
        <w:rPr>
          <w:rStyle w:val="KeywordTok"/>
        </w:rPr>
        <w:t xml:space="preserve">]:</w:t>
      </w:r>
      <w:r>
        <w:rPr>
          <w:rStyle w:val="AttributeTok"/>
        </w:rPr>
        <w:t xml:space="preserve"> Ruptura de Sumidero / Emisión Soberana</w:t>
      </w:r>
    </w:p>
    <w:p>
      <w:pPr>
        <w:pStyle w:val="FirstParagraph"/>
      </w:pPr>
      <w:r>
        <w:t xml:space="preserve">El MC zaragozano Kase.O, en la canción</w:t>
      </w:r>
      <w:r>
        <w:t xml:space="preserve"> </w:t>
      </w:r>
      <w:r>
        <w:rPr>
          <w:i/>
          <w:iCs/>
        </w:rPr>
        <w:t xml:space="preserve">Renacimiento</w:t>
      </w:r>
      <w:r>
        <w:t xml:space="preserve"> </w:t>
      </w:r>
      <w:r>
        <w:t xml:space="preserve">(Kase.O &amp; Orquesta OCAS, single de 2020; álbum</w:t>
      </w:r>
      <w:r>
        <w:t xml:space="preserve"> </w:t>
      </w:r>
      <w:r>
        <w:rPr>
          <w:i/>
          <w:iCs/>
        </w:rPr>
        <w:t xml:space="preserve">O Jazz Magnetism</w:t>
      </w:r>
      <w:r>
        <w:t xml:space="preserve">, Rap Solo, 2020), enuncia el axioma con precisión termodinámica antes que retórica: la transmisión de conocimiento y afecto como acto de mayor rendimiento energético que la recepción.</w:t>
      </w:r>
    </w:p>
    <w:p>
      <w:pPr>
        <w:pStyle w:val="Compact"/>
        <w:numPr>
          <w:ilvl w:val="0"/>
          <w:numId w:val="1087"/>
        </w:numPr>
      </w:pPr>
      <w:r>
        <w:t xml:space="preserve">El álbum</w:t>
      </w:r>
      <w:r>
        <w:t xml:space="preserve"> </w:t>
      </w:r>
      <w:r>
        <w:rPr>
          <w:i/>
          <w:iCs/>
        </w:rPr>
        <w:t xml:space="preserve">El Círculo</w:t>
      </w:r>
      <w:r>
        <w:t xml:space="preserve"> </w:t>
      </w:r>
      <w:r>
        <w:t xml:space="preserve">se editó en régimen de sello propio (Rap Solo), rompiendo la dependencia del contrato discográfico como sumidero institucional. Kase.O asumió la producción mayoritaria con colaboradores (R de Rumba y otros), la letra y la mezcla.</w:t>
      </w:r>
    </w:p>
    <w:p>
      <w:pPr>
        <w:pStyle w:val="Compact"/>
        <w:numPr>
          <w:ilvl w:val="0"/>
          <w:numId w:val="1087"/>
        </w:numPr>
      </w:pPr>
      <w:r>
        <w:t xml:space="preserve">La autoproducción fuerza al agente a atravesar el ciclo completo: concepción → compresión → emisión → respuesta del territorio. No hay intermediario que absorba la fricción.</w:t>
      </w:r>
    </w:p>
    <w:p>
      <w:pPr>
        <w:pStyle w:val="Compact"/>
        <w:numPr>
          <w:ilvl w:val="0"/>
          <w:numId w:val="1087"/>
        </w:numPr>
      </w:pPr>
      <w:r>
        <w:rPr>
          <w:b/>
          <w:bCs/>
        </w:rPr>
        <w:t xml:space="preserve">Fuente:</w:t>
      </w:r>
      <w:r>
        <w:t xml:space="preserve"> </w:t>
      </w:r>
      <w:r>
        <w:t xml:space="preserve">Entrevista Kase.O,</w:t>
      </w:r>
      <w:r>
        <w:t xml:space="preserve"> </w:t>
      </w:r>
      <w:r>
        <w:rPr>
          <w:i/>
          <w:iCs/>
        </w:rPr>
        <w:t xml:space="preserve">El País</w:t>
      </w:r>
      <w:r>
        <w:t xml:space="preserve">, 2016; ficha técnica</w:t>
      </w:r>
      <w:r>
        <w:t xml:space="preserve"> </w:t>
      </w:r>
      <w:r>
        <w:rPr>
          <w:i/>
          <w:iCs/>
        </w:rPr>
        <w:t xml:space="preserve">El Círculo</w:t>
      </w:r>
      <w:r>
        <w:t xml:space="preserve">, Rap Solo, 2016.</w:t>
      </w:r>
    </w:p>
    <w:p>
      <w:pPr>
        <w:pStyle w:val="FirstParagraph"/>
      </w:pPr>
      <w:r>
        <w:t xml:space="preserve"> </w:t>
      </w:r>
      <w:r>
        <w:t xml:space="preserve">### Caso 6.3: Linus Torvalds y el Kernel como Acto de Emisión (1991-2026)</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comp.os.minix (25 Agosto 1991)</w:t>
      </w:r>
      <w:r>
        <w:br/>
      </w:r>
      <w:r>
        <w:rPr>
          <w:rStyle w:val="KeywordTok"/>
        </w:rPr>
        <w:t xml:space="preserve">[</w:t>
      </w:r>
      <w:r>
        <w:rPr>
          <w:rStyle w:val="AttributeTok"/>
        </w:rPr>
        <w:t xml:space="preserve">ENTIDAD</w:t>
      </w:r>
      <w:r>
        <w:rPr>
          <w:rStyle w:val="KeywordTok"/>
        </w:rPr>
        <w:t xml:space="preserve">]:</w:t>
      </w:r>
      <w:r>
        <w:rPr>
          <w:rStyle w:val="AttributeTok"/>
        </w:rPr>
        <w:t xml:space="preserve"> Linus Torvalds</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N/A (Alineación con Axioma VI)</w:t>
      </w:r>
      <w:r>
        <w:br/>
      </w:r>
      <w:r>
        <w:rPr>
          <w:rStyle w:val="KeywordTok"/>
        </w:rPr>
        <w:t xml:space="preserve">[</w:t>
      </w:r>
      <w:r>
        <w:rPr>
          <w:rStyle w:val="AttributeTok"/>
        </w:rPr>
        <w:t xml:space="preserve">RESULTADO</w:t>
      </w:r>
      <w:r>
        <w:rPr>
          <w:rStyle w:val="KeywordTok"/>
        </w:rPr>
        <w:t xml:space="preserve">]:</w:t>
      </w:r>
      <w:r>
        <w:rPr>
          <w:rStyle w:val="AttributeTok"/>
        </w:rPr>
        <w:t xml:space="preserve"> Sincronización Global / Cap. Magnitud Cualitativa (Estimación Propia, Sin Fuente Oficial)</w:t>
      </w:r>
    </w:p>
    <w:p>
      <w:pPr>
        <w:pStyle w:val="FirstParagraph"/>
      </w:pPr>
      <w:r>
        <w:t xml:space="preserve">En agosto de 1991, Linus Torvalds publicó en el grupo de noticias</w:t>
      </w:r>
      <w:r>
        <w:t xml:space="preserve"> </w:t>
      </w:r>
      <w:r>
        <w:rPr>
          <w:rStyle w:val="VerbatimChar"/>
        </w:rPr>
        <w:t xml:space="preserve">comp.os.minix</w:t>
      </w:r>
      <w:r>
        <w:t xml:space="preserve"> </w:t>
      </w:r>
      <w:r>
        <w:t xml:space="preserve">el mensaje inaugural del proyecto que devino Linux:</w:t>
      </w:r>
      <w:r>
        <w:t xml:space="preserve"> </w:t>
      </w:r>
      <w:r>
        <w:rPr>
          <w:i/>
          <w:iCs/>
        </w:rPr>
        <w:t xml:space="preserve">«Estoy haciendo un sistema operativo (libre) (sólo un hobby, no abarcará tamaño de volumen ni perfil profesional como gnu)»</w:t>
      </w:r>
      <w:r>
        <w:t xml:space="preserve">.</w:t>
      </w:r>
    </w:p>
    <w:p>
      <w:pPr>
        <w:pStyle w:val="Compact"/>
        <w:numPr>
          <w:ilvl w:val="0"/>
          <w:numId w:val="1088"/>
        </w:numPr>
      </w:pPr>
      <w:r>
        <w:t xml:space="preserve">La emisión inicial fue de 10.239 líneas de código fuente en C y ensamblador. En 2026, el kernel Linux supera los 35 millones de líneas de código fuente activo.</w:t>
      </w:r>
    </w:p>
    <w:p>
      <w:pPr>
        <w:pStyle w:val="Compact"/>
        <w:numPr>
          <w:ilvl w:val="0"/>
          <w:numId w:val="1088"/>
        </w:numPr>
      </w:pPr>
      <w:r>
        <w:t xml:space="preserve">La infraestructura global dependiente de Linux (servidores, Android, supercomputadoras, sistemas embebidos) corre sobre el sustrato que Torvalds emitió sin coste de recepción previo. Magnitud de capitalización de los activos dependientes: estimación del proyecto, sin fuente oficial.</w:t>
      </w:r>
    </w:p>
    <w:p>
      <w:pPr>
        <w:pStyle w:val="Compact"/>
        <w:numPr>
          <w:ilvl w:val="0"/>
          <w:numId w:val="1088"/>
        </w:numPr>
      </w:pPr>
      <w:r>
        <w:t xml:space="preserve">El acto de emisión abierta generó un atractor global: otros agentes se acoplaron a la fase del emisor original (modelo de Kuramoto) y el sistema alcanzó masa crítica sin que Torvalds requiriera validación externa para comenzar.</w:t>
      </w:r>
    </w:p>
    <w:p>
      <w:pPr>
        <w:pStyle w:val="Compact"/>
        <w:numPr>
          <w:ilvl w:val="0"/>
          <w:numId w:val="1088"/>
        </w:numPr>
      </w:pPr>
      <w:r>
        <w:rPr>
          <w:b/>
          <w:bCs/>
        </w:rPr>
        <w:t xml:space="preserve">Fuente:</w:t>
      </w:r>
      <w:r>
        <w:t xml:space="preserve"> </w:t>
      </w:r>
      <w:r>
        <w:t xml:space="preserve">Tanenbaum-Torvalds debate,</w:t>
      </w:r>
      <w:r>
        <w:t xml:space="preserve"> </w:t>
      </w:r>
      <w:r>
        <w:rPr>
          <w:rStyle w:val="VerbatimChar"/>
        </w:rPr>
        <w:t xml:space="preserve">comp.os.minix</w:t>
      </w:r>
      <w:r>
        <w:t xml:space="preserve">, 1992; Linux Foundation,</w:t>
      </w:r>
      <w:r>
        <w:t xml:space="preserve"> </w:t>
      </w:r>
      <w:r>
        <w:rPr>
          <w:i/>
          <w:iCs/>
        </w:rPr>
        <w:t xml:space="preserve">Linux Kernel Development Report</w:t>
      </w:r>
      <w:r>
        <w:t xml:space="preserve">, 2024.</w:t>
      </w:r>
    </w:p>
    <w:p>
      <w:pPr>
        <w:pStyle w:val="FirstParagraph"/>
      </w:pPr>
      <w:r>
        <w:t xml:space="preserve"> </w:t>
      </w:r>
      <w:r>
        <w:t xml:space="preserve">### Caso 6.4: María Curie y la Publicación de la Técnica de Separación del Radio (1911)</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Publicación Abierta de la Técnica de Separación del Radio (Biografía de Pierre Curie, 1904)</w:t>
      </w:r>
      <w:r>
        <w:br/>
      </w:r>
      <w:r>
        <w:rPr>
          <w:rStyle w:val="KeywordTok"/>
        </w:rPr>
        <w:t xml:space="preserve">[</w:t>
      </w:r>
      <w:r>
        <w:rPr>
          <w:rStyle w:val="AttributeTok"/>
        </w:rPr>
        <w:t xml:space="preserve">ENTIDAD</w:t>
      </w:r>
      <w:r>
        <w:rPr>
          <w:rStyle w:val="KeywordTok"/>
        </w:rPr>
        <w:t xml:space="preserve">]:</w:t>
      </w:r>
      <w:r>
        <w:rPr>
          <w:rStyle w:val="AttributeTok"/>
        </w:rPr>
        <w:t xml:space="preserve"> Marie Curie</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N/A (Alineación con Axioma VI)</w:t>
      </w:r>
      <w:r>
        <w:br/>
      </w:r>
      <w:r>
        <w:rPr>
          <w:rStyle w:val="KeywordTok"/>
        </w:rPr>
        <w:t xml:space="preserve">[</w:t>
      </w:r>
      <w:r>
        <w:rPr>
          <w:rStyle w:val="AttributeTok"/>
        </w:rPr>
        <w:t xml:space="preserve">RESULTADO</w:t>
      </w:r>
      <w:r>
        <w:rPr>
          <w:rStyle w:val="KeywordTok"/>
        </w:rPr>
        <w:t xml:space="preserve">]:</w:t>
      </w:r>
      <w:r>
        <w:rPr>
          <w:rStyle w:val="AttributeTok"/>
        </w:rPr>
        <w:t xml:space="preserve"> Multiplicación Exergética de Red</w:t>
      </w:r>
    </w:p>
    <w:p>
      <w:pPr>
        <w:pStyle w:val="FirstParagraph"/>
      </w:pPr>
      <w:r>
        <w:t xml:space="preserve">Marie Curie rechazó patentar el proceso de separación del radio y la técnica de ionización para la medición de elementos radiactivos, publicando los procedimientos en abierto.</w:t>
      </w:r>
    </w:p>
    <w:p>
      <w:pPr>
        <w:pStyle w:val="Compact"/>
        <w:numPr>
          <w:ilvl w:val="0"/>
          <w:numId w:val="1089"/>
        </w:numPr>
      </w:pPr>
      <w:r>
        <w:t xml:space="preserve">En 1911, cinco años y ocho meses después de la muerte de Pierre Curie (19 de abril de 1906) y en medio de un escándalo público de prensa, Curie viajó a Estocolmo a recoger su segundo Premio Nobel (Química), el primero de la historia en dos disciplinas distintas.</w:t>
      </w:r>
    </w:p>
    <w:p>
      <w:pPr>
        <w:pStyle w:val="Compact"/>
        <w:numPr>
          <w:ilvl w:val="0"/>
          <w:numId w:val="1089"/>
        </w:numPr>
      </w:pPr>
      <w:r>
        <w:t xml:space="preserve">La decisión de no patentar transfirió la técnica a toda la red de laboratorios del planeta. La exergía de la emisión se multiplicó por el número de agentes que la recibieron e integraron en su propio ciclo de producción.</w:t>
      </w:r>
    </w:p>
    <w:p>
      <w:pPr>
        <w:pStyle w:val="Compact"/>
        <w:numPr>
          <w:ilvl w:val="0"/>
          <w:numId w:val="1089"/>
        </w:numPr>
      </w:pPr>
      <w:r>
        <w:t xml:space="preserve">La alternativa, patentar y recibir regalías, habría capturado una fracción escalar del valor. La emisión abierta generó un campo de información que aceleró la medicina nuclear, la física de partículas y el desarrollo de reactores durante el siglo XX.</w:t>
      </w:r>
    </w:p>
    <w:p>
      <w:pPr>
        <w:pStyle w:val="Compact"/>
        <w:numPr>
          <w:ilvl w:val="0"/>
          <w:numId w:val="1089"/>
        </w:numPr>
      </w:pPr>
      <w:r>
        <w:rPr>
          <w:b/>
          <w:bCs/>
        </w:rPr>
        <w:t xml:space="preserve">Fuente:</w:t>
      </w:r>
      <w:r>
        <w:t xml:space="preserve"> </w:t>
      </w:r>
      <w:r>
        <w:t xml:space="preserve">Quinn, S.,</w:t>
      </w:r>
      <w:r>
        <w:t xml:space="preserve"> </w:t>
      </w:r>
      <w:r>
        <w:rPr>
          <w:i/>
          <w:iCs/>
        </w:rPr>
        <w:t xml:space="preserve">Marie Curie: A Life</w:t>
      </w:r>
      <w:r>
        <w:t xml:space="preserve"> </w:t>
      </w:r>
      <w:r>
        <w:t xml:space="preserve">(1995); la decisión de no patentar está documentada en la biografía que Marie Curie escribió de Pierre Curie (1904).</w:t>
      </w:r>
    </w:p>
    <w:p>
      <w:pPr>
        <w:pStyle w:val="FirstParagraph"/>
      </w:pPr>
      <w:r>
        <w:t xml:space="preserve"> </w:t>
      </w:r>
      <w:r>
        <w:t xml:space="preserve">### Caso 6.5: Busta Rhymes, Steven Bartlett y la Termodinámica de la Llama frente a la Antorcha (2023)</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The Diary Of A CEO (Episodio 2023, 01:30:58)</w:t>
      </w:r>
      <w:r>
        <w:br/>
      </w:r>
      <w:r>
        <w:rPr>
          <w:rStyle w:val="KeywordTok"/>
        </w:rPr>
        <w:t xml:space="preserve">[</w:t>
      </w:r>
      <w:r>
        <w:rPr>
          <w:rStyle w:val="AttributeTok"/>
        </w:rPr>
        <w:t xml:space="preserve">ENTIDAD</w:t>
      </w:r>
      <w:r>
        <w:rPr>
          <w:rStyle w:val="KeywordTok"/>
        </w:rPr>
        <w:t xml:space="preserve">]:</w:t>
      </w:r>
      <w:r>
        <w:rPr>
          <w:rStyle w:val="AttributeTok"/>
        </w:rPr>
        <w:t xml:space="preserve"> Busta Rhymes / Steven Bartlett</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Confusión entre No-Rivalidad de Señal y Rivalidad de Sustrato Físico</w:t>
      </w:r>
      <w:r>
        <w:br/>
      </w:r>
      <w:r>
        <w:rPr>
          <w:rStyle w:val="KeywordTok"/>
        </w:rPr>
        <w:t xml:space="preserve">[</w:t>
      </w:r>
      <w:r>
        <w:rPr>
          <w:rStyle w:val="AttributeTok"/>
        </w:rPr>
        <w:t xml:space="preserve">RESULTADO</w:t>
      </w:r>
      <w:r>
        <w:rPr>
          <w:rStyle w:val="KeywordTok"/>
        </w:rPr>
        <w:t xml:space="preserve">]:</w:t>
      </w:r>
      <w:r>
        <w:rPr>
          <w:rStyle w:val="AttributeTok"/>
        </w:rPr>
        <w:t xml:space="preserve"> Cota de Hipoxia de Canal y Mutex de Hardware</w:t>
      </w:r>
    </w:p>
    <w:p>
      <w:pPr>
        <w:pStyle w:val="FirstParagraph"/>
      </w:pPr>
      <w:r>
        <w:t xml:space="preserve">En una entrevista audiovisual en 2023, el entrevistador Steven Bartlett formuló ante el músico Busta Rhymes la máxima de sucesión corporativa:</w:t>
      </w:r>
      <w:r>
        <w:t xml:space="preserve"> </w:t>
      </w:r>
      <w:r>
        <w:rPr>
          <w:i/>
          <w:iCs/>
        </w:rPr>
        <w:t xml:space="preserve">“no se trata de pasar la antorcha, sino de compartir la llama”</w:t>
      </w:r>
      <w:r>
        <w:t xml:space="preserve">. El enunciado sostiene que la transferencia de influencia ocurre sin decremento del emisor: encender otra antorcha duplicaría el fuego sin coste termodinámico.</w:t>
      </w:r>
    </w:p>
    <w:p>
      <w:pPr>
        <w:pStyle w:val="BodyText"/>
      </w:pPr>
      <w:r>
        <w:t xml:space="preserve">El análisis físico de combustión descompila la trampa del enunciado:</w:t>
      </w:r>
      <w:r>
        <w:t xml:space="preserve"> </w:t>
      </w:r>
      <w:r>
        <w:t xml:space="preserve">1.</w:t>
      </w:r>
      <w:r>
        <w:t xml:space="preserve"> </w:t>
      </w:r>
      <w:r>
        <w:rPr>
          <w:b/>
          <w:bCs/>
        </w:rPr>
        <w:t xml:space="preserve">No-rivalidad de la ignición frente a rivalidad del comburente:</w:t>
      </w:r>
      <w:r>
        <w:t xml:space="preserve"> </w:t>
      </w:r>
      <w:r>
        <w:t xml:space="preserve">La transferencia de calor para superar la energía de activación inicial (ΔQ_ignición ≥ 2.520 J) no resta masa al emisor. Sin embargo, la combustión continuada exige consumo estequiométrico de oxígeno y combustible hidrocarburo (r_O2 ≈ 2,02 × 10^-4 kg/s).</w:t>
      </w:r>
      <w:r>
        <w:t xml:space="preserve"> </w:t>
      </w:r>
      <w:r>
        <w:t xml:space="preserve">2.</w:t>
      </w:r>
      <w:r>
        <w:t xml:space="preserve"> </w:t>
      </w:r>
      <w:r>
        <w:rPr>
          <w:b/>
          <w:bCs/>
        </w:rPr>
        <w:t xml:space="preserve">Cota de saturación de canal:</w:t>
      </w:r>
      <w:r>
        <w:t xml:space="preserve"> </w:t>
      </w:r>
      <w:r>
        <w:t xml:space="preserve">En una red social de atención finita (24 horas diarias por usuario), multiplicar las llamas encendidas en una cámara de volumen constante induce hipoxia por competencia metabólica. La atención de la audiencia no es infinita.</w:t>
      </w:r>
      <w:r>
        <w:t xml:space="preserve"> </w:t>
      </w:r>
      <w:r>
        <w:t xml:space="preserve">3.</w:t>
      </w:r>
      <w:r>
        <w:t xml:space="preserve"> </w:t>
      </w:r>
      <w:r>
        <w:rPr>
          <w:b/>
          <w:bCs/>
        </w:rPr>
        <w:t xml:space="preserve">Exclusión mutua del soporte (Mutex de Hardware):</w:t>
      </w:r>
      <w:r>
        <w:t xml:space="preserve"> </w:t>
      </w:r>
      <w:r>
        <w:t xml:space="preserve">La antorcha es un objeto con masa finita (M ≈ 0,35 kg). Sostener la antorcha exige un agarre motor exclusivo. Quien no suelta el mango de la antorcha retiene el monopolio físico del canal de emisión. Busta Rhymes no cede el soporte: intercambia prestigio histórico acumulado (33 años de trayectoria) por la captación de nuevas audiencias para asegurar su viabilidad económica.</w:t>
      </w:r>
      <w:r>
        <w:t xml:space="preserve"> </w:t>
      </w:r>
      <w:r>
        <w:t xml:space="preserve">4.</w:t>
      </w:r>
      <w:r>
        <w:t xml:space="preserve"> </w:t>
      </w:r>
      <w:r>
        <w:rPr>
          <w:b/>
          <w:bCs/>
        </w:rPr>
        <w:t xml:space="preserve">La huella somática del canal:</w:t>
      </w:r>
      <w:r>
        <w:t xml:space="preserve"> </w:t>
      </w:r>
      <w:r>
        <w:t xml:space="preserve">La emisión de Busta Rhymes no procede de un don inmaterial. Su aparato fonador casi colapsó con un peso corporal de 154 kg y pólipos del 90% en la glotis que bloquearon el flujo respiratorio. Su continuidad exigió resección quirúrgica invasiva y pérdida de 45 kg de tejido. El relevo cultural no es un regalo discursivo; es un intercambio gobernado por las restricciones de masa, oxígeno y gasto metabólico.</w:t>
      </w:r>
    </w:p>
    <w:p>
      <w:pPr>
        <w:pStyle w:val="Compact"/>
        <w:numPr>
          <w:ilvl w:val="0"/>
          <w:numId w:val="1090"/>
        </w:numPr>
      </w:pPr>
      <w:r>
        <w:rPr>
          <w:b/>
          <w:bCs/>
        </w:rPr>
        <w:t xml:space="preserve">Fuente:</w:t>
      </w:r>
      <w:r>
        <w:t xml:space="preserve"> </w:t>
      </w:r>
      <w:r>
        <w:t xml:space="preserve">Bartlett, S.,</w:t>
      </w:r>
      <w:r>
        <w:t xml:space="preserve"> </w:t>
      </w:r>
      <w:r>
        <w:rPr>
          <w:i/>
          <w:iCs/>
        </w:rPr>
        <w:t xml:space="preserve">The Diary of a CEO</w:t>
      </w:r>
      <w:r>
        <w:t xml:space="preserve">,</w:t>
      </w:r>
      <w:r>
        <w:t xml:space="preserve"> </w:t>
      </w:r>
      <w:r>
        <w:t xml:space="preserve">“Busta Rhymes: The Untold Story of His Health Battle and 33-Year Career”</w:t>
      </w:r>
      <w:r>
        <w:t xml:space="preserve">, emisión de 2023; Shannon, C. E. (1948),</w:t>
      </w:r>
      <w:r>
        <w:t xml:space="preserve"> </w:t>
      </w:r>
      <w:r>
        <w:rPr>
          <w:i/>
          <w:iCs/>
        </w:rPr>
        <w:t xml:space="preserve">A Mathematical Theory of Communication</w:t>
      </w:r>
      <w:r>
        <w:t xml:space="preserve">; Ward, P. et al. (2018),</w:t>
      </w:r>
      <w:r>
        <w:t xml:space="preserve"> </w:t>
      </w:r>
      <w:r>
        <w:rPr>
          <w:i/>
          <w:iCs/>
        </w:rPr>
        <w:t xml:space="preserve">Clinical Voice Disorders</w:t>
      </w:r>
      <w:r>
        <w:t xml:space="preserve">, Thieme Medical Publishers.</w:t>
      </w:r>
    </w:p>
    <w:p>
      <w:r>
        <w:pict>
          <v:rect style="width:0;height:1.5pt" o:hralign="center" o:hrstd="t" o:hr="t"/>
        </w:pict>
      </w:r>
    </w:p>
    <w:bookmarkEnd w:id="248"/>
    <w:bookmarkStart w:id="253" w:name="invariante-operativo-5"/>
    <w:p>
      <w:pPr>
        <w:pStyle w:val="Heading2"/>
      </w:pPr>
      <w:r>
        <w:t xml:space="preserve">3. Invariante Operativo</w:t>
      </w:r>
    </w:p>
    <w:bookmarkStart w:id="249" w:name="X407eea8ac3fef74019d102804a74a7849376272"/>
    <w:p>
      <w:pPr>
        <w:pStyle w:val="Heading3"/>
      </w:pPr>
      <w:r>
        <w:t xml:space="preserve">3.1 La Asimetría de Conservación entre Dinero e Información</w:t>
      </w:r>
    </w:p>
    <w:p>
      <w:pPr>
        <w:pStyle w:val="FirstParagraph"/>
      </w:pPr>
      <w:r>
        <w:t xml:space="preserve">El dinero es una magnitud escalar con conservación de suma cero: lo que un agente transfiere, el otro lo recibe, y la suma del sistema permanece constante. La información no obedece esta ley.</w:t>
      </w:r>
    </w:p>
    <w:p>
      <w:pPr>
        <w:pStyle w:val="BodyText"/>
      </w:pPr>
      <w:r>
        <w:t xml:space="preserve">Transmitir una configuración de conocimiento no reduce la información del emisor. El emisor retiene el modelo y el receptor adquiere una copia. La suma del sistema aumenta: la red total posee ahora dos representaciones del mismo modelo, más las interacciones cruzadas que su acoplamiento genera.</w:t>
      </w:r>
    </w:p>
    <w:p>
      <w:pPr>
        <w:pStyle w:val="BodyText"/>
      </w:pPr>
      <w:r>
        <w:t xml:space="preserve">Esta asimetría es la base del axioma VI. En el dominio del conocimiento y del acoplamiento estructural (amor en sentido de Fromm), dar no empobrece al emisor. Al contrario: el acto de comprimir la experiencia para hacerla transmisible obliga al emisor a ejecutar el ciclo Fisher. La transformación de la experiencia en concepto de densidad informacional que un receptor pueda procesar es trabajo termodinámico real: reduce la entropía del modelo interno del emisor y aumenta su precisión.</w:t>
      </w:r>
    </w:p>
    <w:bookmarkEnd w:id="249"/>
    <w:bookmarkStart w:id="250" w:name="X615d8fedde30355bd66ae6c485538519278ad90"/>
    <w:p>
      <w:pPr>
        <w:pStyle w:val="Heading3"/>
      </w:pPr>
      <w:r>
        <w:t xml:space="preserve">3.2 La Sincronización de Fase y el Modelo de Kuramoto</w:t>
      </w:r>
    </w:p>
    <w:p>
      <w:pPr>
        <w:pStyle w:val="FirstParagraph"/>
      </w:pPr>
      <w:r>
        <w:t xml:space="preserve">En 1975, el físico Yoshiki Kuramoto formuló el modelo de sincronización de una red de osciladores en fase. La interacción entre dos agentes no responde a atracción metafísica. Responde al acoplamiento de osciladores de fase θᵢ:</w:t>
      </w:r>
    </w:p>
    <w:p>
      <w:pPr>
        <w:pStyle w:val="SourceCode"/>
      </w:pPr>
      <w:r>
        <w:rPr>
          <w:rStyle w:val="VerbatimChar"/>
        </w:rPr>
        <w:t xml:space="preserve">dθᵢ/dt = ωᵢ + (K/N) · Σⱼ sin(θⱼ - θᵢ)</w:t>
      </w:r>
    </w:p>
    <w:p>
      <w:pPr>
        <w:pStyle w:val="SourceCode"/>
      </w:pPr>
      <w:r>
        <w:rPr>
          <w:rStyle w:val="VerbatimChar"/>
        </w:rPr>
        <w:t xml:space="preserve">graph TD</w:t>
      </w:r>
      <w:r>
        <w:br/>
      </w:r>
      <w:r>
        <w:rPr>
          <w:rStyle w:val="VerbatimChar"/>
        </w:rPr>
        <w:t xml:space="preserve">    classDef core fill:#0F0F0F,stroke:#000,stroke-width:2px,color:#fff,font-weight:bold;</w:t>
      </w:r>
      <w:r>
        <w:br/>
      </w:r>
      <w:r>
        <w:rPr>
          <w:rStyle w:val="VerbatimChar"/>
        </w:rPr>
        <w:t xml:space="preserve">    classDef state fill:#FAFAFA,stroke:#0F0F0F,stroke-width:2px,color:#0F0F0F;</w:t>
      </w:r>
      <w:r>
        <w:br/>
      </w:r>
      <w:r>
        <w:rPr>
          <w:rStyle w:val="VerbatimChar"/>
        </w:rPr>
        <w:t xml:space="preserve">    classDef anomaly fill:#D32F2F,stroke:#000,stroke-width:2px,color:#fff,font-weight:bold;</w:t>
      </w:r>
      <w:r>
        <w:br/>
      </w:r>
      <w:r>
        <w:br/>
      </w:r>
      <w:r>
        <w:rPr>
          <w:rStyle w:val="VerbatimChar"/>
        </w:rPr>
        <w:t xml:space="preserve">    A((Emisor: Oscilador de Referencia ωᵢ)):::core --&gt;|Emisión de Fase θᵢ| B[Campo de Acoplamiento]:::state</w:t>
      </w:r>
      <w:r>
        <w:br/>
      </w:r>
      <w:r>
        <w:rPr>
          <w:rStyle w:val="VerbatimChar"/>
        </w:rPr>
        <w:t xml:space="preserve">    B --&gt;|Sincronización| C((Receptor 1: θ₁ → θᵢ)):::state</w:t>
      </w:r>
      <w:r>
        <w:br/>
      </w:r>
      <w:r>
        <w:rPr>
          <w:rStyle w:val="VerbatimChar"/>
        </w:rPr>
        <w:t xml:space="preserve">    B --&gt;|Sincronización| D((Receptor 2: θ₂ → θᵢ)):::state</w:t>
      </w:r>
      <w:r>
        <w:br/>
      </w:r>
      <w:r>
        <w:rPr>
          <w:rStyle w:val="VerbatimChar"/>
        </w:rPr>
        <w:t xml:space="preserve">    B --&gt;|Sincronización| E((Receptor N: θₙ → θᵢ)):::state</w:t>
      </w:r>
      <w:r>
        <w:br/>
      </w:r>
      <w:r>
        <w:rPr>
          <w:rStyle w:val="VerbatimChar"/>
        </w:rPr>
        <w:t xml:space="preserve">    </w:t>
      </w:r>
      <w:r>
        <w:br/>
      </w:r>
      <w:r>
        <w:rPr>
          <w:rStyle w:val="VerbatimChar"/>
        </w:rPr>
        <w:t xml:space="preserve">    C -.-&gt;|Feedback / Corrección| A</w:t>
      </w:r>
      <w:r>
        <w:br/>
      </w:r>
      <w:r>
        <w:rPr>
          <w:rStyle w:val="VerbatimChar"/>
        </w:rPr>
        <w:t xml:space="preserve">    D -.-&gt;|Acoplamiento de Red| A</w:t>
      </w:r>
      <w:r>
        <w:br/>
      </w:r>
      <w:r>
        <w:rPr>
          <w:rStyle w:val="VerbatimChar"/>
        </w:rPr>
        <w:t xml:space="preserve">    F((Receptor Sin Emisión)):::anomaly --&gt;|Consumo de Fase Ajena| B</w:t>
      </w:r>
      <w:r>
        <w:br/>
      </w:r>
      <w:r>
        <w:rPr>
          <w:rStyle w:val="VerbatimChar"/>
        </w:rPr>
        <w:t xml:space="preserve">    F -.-&gt;|Colapso de Soberanía Epistémica| G[Pérdida de Manta de Markov]:::anomaly</w:t>
      </w:r>
    </w:p>
    <w:p>
      <w:pPr>
        <w:pStyle w:val="FirstParagraph"/>
      </w:pPr>
      <w:r>
        <w:t xml:space="preserve">Dos nodos con matrices de covarianza compatibles reducen la divergencia KL entre sus estados sensoriales, minimizando el coste de cómputo conjunto. El emisor actúa como oscilador de referencia: su frecuencia ωᵢ y su fase θᵢ establecen el atractor al que los receptores se acoplan. Un sistema de N receptores acoplados a un emisor de coherencia de fase produce sincronización de red sin que el emisor pierda exergía propia. El receptor que no emite, en cambio, solo consume fase ajena sin contribuir al campo colectivo.</w:t>
      </w:r>
    </w:p>
    <w:bookmarkEnd w:id="250"/>
    <w:bookmarkStart w:id="251" w:name="autopoiesis-y-el-límite-epistémico"/>
    <w:p>
      <w:pPr>
        <w:pStyle w:val="Heading3"/>
      </w:pPr>
      <w:r>
        <w:t xml:space="preserve">3.3 Autopoiesis y el Límite Epistémico</w:t>
      </w:r>
    </w:p>
    <w:p>
      <w:pPr>
        <w:pStyle w:val="FirstParagraph"/>
      </w:pPr>
      <w:r>
        <w:t xml:space="preserve">El término autopoiesis (Maturana y Varela, 1972) designa la capacidad de un sistema de producir y reproducir los componentes que lo constituyen. Un sistema autopoiético no depende de insumos externos para mantener su estructura; genera su propia frontera.</w:t>
      </w:r>
    </w:p>
    <w:p>
      <w:pPr>
        <w:pStyle w:val="BodyText"/>
      </w:pPr>
      <w:r>
        <w:t xml:space="preserve">El agente en bucle de recepción sin emisión no es autopoiético. Depende del flujo de emisores externos para mantener su modelo interno actualizado. Si los emisores externos cambian de canal, el receptor pierde coherencia de estado. La dependencia estructural del receptor es, en términos de Manta de Markov, una porosidad del límite: los estados externos penetran los estados internos sin mediación.</w:t>
      </w:r>
    </w:p>
    <w:p>
      <w:pPr>
        <w:pStyle w:val="BodyText"/>
      </w:pPr>
      <w:r>
        <w:t xml:space="preserve">El agente en bucle de emisión, por el contrario, fuerza la producción continua de nuevo modelo. La necesidad de comprimir la experiencia para hacerla transmisible actúa como presión de selección sobre el modelo interno: los estados de exergía nula (ruido, error, sesgo no validado) se eliminan porque no sobreviven al ciclo de transmisión. El receptor los detecta como incoherencia y el</w:t>
      </w:r>
      <w:r>
        <w:t xml:space="preserve"> </w:t>
      </w:r>
      <w:r>
        <w:rPr>
          <w:i/>
          <w:iCs/>
        </w:rPr>
        <w:t xml:space="preserve">feedback</w:t>
      </w:r>
      <w:r>
        <w:t xml:space="preserve"> </w:t>
      </w:r>
      <w:r>
        <w:t xml:space="preserve">presiona la corrección.</w:t>
      </w:r>
    </w:p>
    <w:bookmarkEnd w:id="251"/>
    <w:bookmarkStart w:id="252" w:name="Xcb36c1a2f5677180034df0754f65f572a0c5409"/>
    <w:p>
      <w:pPr>
        <w:pStyle w:val="Heading3"/>
      </w:pPr>
      <w:r>
        <w:t xml:space="preserve">3.4 El Axioma de Escohotado: Abundancia sin Suma Cero</w:t>
      </w:r>
    </w:p>
    <w:p>
      <w:pPr>
        <w:pStyle w:val="FirstParagraph"/>
      </w:pPr>
      <w:r>
        <w:t xml:space="preserve">Antonio Escohotado formuló el principio desde la observación empírica de décadas: el individuo que cultiva conocimiento y lo emite de forma recurrente no lo agota; lo amplifica. La razón no es espiritual. Es la consecuencia directa de la asimetría de conservación entre información y recursos escalares.</w:t>
      </w:r>
    </w:p>
    <w:p>
      <w:pPr>
        <w:pStyle w:val="BodyText"/>
      </w:pPr>
      <w:r>
        <w:t xml:space="preserve">El conocimiento emitido regresa al emisor bajo la forma de:</w:t>
      </w:r>
    </w:p>
    <w:p>
      <w:pPr>
        <w:pStyle w:val="Compact"/>
        <w:numPr>
          <w:ilvl w:val="0"/>
          <w:numId w:val="1091"/>
        </w:numPr>
      </w:pPr>
      <w:r>
        <w:rPr>
          <w:b/>
          <w:bCs/>
        </w:rPr>
        <w:t xml:space="preserve">Feedback de corrección:</w:t>
      </w:r>
      <w:r>
        <w:t xml:space="preserve"> </w:t>
      </w:r>
      <w:r>
        <w:t xml:space="preserve">Los receptores detectan inconsistencias que el emisor no ve desde dentro de su modelo. El error retorna como información con tasa exergética superior para la corrección.</w:t>
      </w:r>
    </w:p>
    <w:p>
      <w:pPr>
        <w:pStyle w:val="Compact"/>
        <w:numPr>
          <w:ilvl w:val="0"/>
          <w:numId w:val="1091"/>
        </w:numPr>
      </w:pPr>
      <w:r>
        <w:rPr>
          <w:b/>
          <w:bCs/>
        </w:rPr>
        <w:t xml:space="preserve">Acoplamiento de red:</w:t>
      </w:r>
      <w:r>
        <w:t xml:space="preserve"> </w:t>
      </w:r>
      <w:r>
        <w:t xml:space="preserve">Los receptores que se acoplan a la fase del emisor generan un campo de referencia que el emisor puede usar como entorno de validación continua.</w:t>
      </w:r>
    </w:p>
    <w:p>
      <w:pPr>
        <w:pStyle w:val="Compact"/>
        <w:numPr>
          <w:ilvl w:val="0"/>
          <w:numId w:val="1091"/>
        </w:numPr>
      </w:pPr>
      <w:r>
        <w:rPr>
          <w:b/>
          <w:bCs/>
        </w:rPr>
        <w:t xml:space="preserve">Compresión forzada:</w:t>
      </w:r>
      <w:r>
        <w:t xml:space="preserve"> </w:t>
      </w:r>
      <w:r>
        <w:t xml:space="preserve">La necesidad de hacerse entender obliga al emisor a reducir la complejidad descriptiva K(modelo) hasta el umbral de decodificación del receptor. Esta compresión es el trabajo que genera la reducción de entropía interna del emisor.</w:t>
      </w:r>
    </w:p>
    <w:p>
      <w:pPr>
        <w:pStyle w:val="FirstParagraph"/>
      </w:pPr>
      <w:r>
        <w:t xml:space="preserve">El bucle completo: emitir → recibir</w:t>
      </w:r>
      <w:r>
        <w:t xml:space="preserve"> </w:t>
      </w:r>
      <w:r>
        <w:rPr>
          <w:i/>
          <w:iCs/>
        </w:rPr>
        <w:t xml:space="preserve">feedback</w:t>
      </w:r>
      <w:r>
        <w:t xml:space="preserve"> </w:t>
      </w:r>
      <w:r>
        <w:t xml:space="preserve">→ comprimir → emitir, es el ciclo de Carnot del agente cognitivo. Su rendimiento máximo está determinado por la diferencia entre la entropía del modelo inicial (temperatura alta) y la del modelo comprimido (temperatura baja). Cada ciclo produce trabajo útil y reduce la entropía del sistema.</w:t>
      </w:r>
    </w:p>
    <w:p>
      <w:r>
        <w:pict>
          <v:rect style="width:0;height:1.5pt" o:hralign="center" o:hrstd="t" o:hr="t"/>
        </w:pict>
      </w:r>
    </w:p>
    <w:bookmarkEnd w:id="252"/>
    <w:bookmarkEnd w:id="253"/>
    <w:bookmarkStart w:id="254" w:name="audio-anclaje-25"/>
    <w:p>
      <w:pPr>
        <w:pStyle w:val="Heading2"/>
      </w:pPr>
      <w:r>
        <w:t xml:space="preserve">4. Audio-Anclaje</w:t>
      </w:r>
    </w:p>
    <w:p>
      <w:pPr>
        <w:numPr>
          <w:ilvl w:val="0"/>
          <w:numId w:val="1092"/>
        </w:numPr>
      </w:pPr>
      <w:r>
        <w:rPr>
          <w:b/>
          <w:bCs/>
        </w:rPr>
        <w:t xml:space="preserve">Kase.O &amp; Orquesta OCAS</w:t>
      </w:r>
      <w:r>
        <w:t xml:space="preserve"> </w:t>
      </w:r>
      <w:r>
        <w:t xml:space="preserve">—</w:t>
      </w:r>
      <w:r>
        <w:t xml:space="preserve"> </w:t>
      </w:r>
      <w:r>
        <w:rPr>
          <w:i/>
          <w:iCs/>
        </w:rPr>
        <w:t xml:space="preserve">«Renacimiento»</w:t>
      </w:r>
      <w:r>
        <w:t xml:space="preserve"> </w:t>
      </w:r>
      <w:r>
        <w:t xml:space="preserve">(</w:t>
      </w:r>
      <w:r>
        <w:rPr>
          <w:i/>
          <w:iCs/>
        </w:rPr>
        <w:t xml:space="preserve">O Jazz Magnetism</w:t>
      </w:r>
      <w:r>
        <w:t xml:space="preserve">, Rap Solo, 2020). El enunciado del axioma VI en 16 compases de hip-hop con densidad léxica: la transmisión de conocimiento y afecto como acto de máxima exergía del agente. La cadencia sincopada del MC sobre la producción propia es en sí misma el ejemplo del ciclo completo: compresión de experiencia → emisión → acoplamiento de la audiencia.</w:t>
      </w:r>
    </w:p>
    <w:p>
      <w:pPr>
        <w:numPr>
          <w:ilvl w:val="0"/>
          <w:numId w:val="1092"/>
        </w:numPr>
      </w:pPr>
      <w:r>
        <w:rPr>
          <w:b/>
          <w:bCs/>
        </w:rPr>
        <w:t xml:space="preserve">Bach, Johann Sebastian</w:t>
      </w:r>
      <w:r>
        <w:t xml:space="preserve"> </w:t>
      </w:r>
      <w:r>
        <w:t xml:space="preserve">—</w:t>
      </w:r>
      <w:r>
        <w:t xml:space="preserve"> </w:t>
      </w:r>
      <w:r>
        <w:rPr>
          <w:i/>
          <w:iCs/>
        </w:rPr>
        <w:t xml:space="preserve">Variaciones Goldberg, BWV 988</w:t>
      </w:r>
      <w:r>
        <w:t xml:space="preserve"> </w:t>
      </w:r>
      <w:r>
        <w:t xml:space="preserve">(versión Glenn Gould, 1981). La segunda grabación de Gould de las Goldberg, 26 años después de la primera, demuestra que el modelo interno de un emisor de rendimiento exergético no se agota con el tiempo: se comprime y precisa. El tempo contenido de 1981 respecto a 1955 es la firma de un modelo que ha reducido la entropía de su propio proceso hasta el punto donde puede sostener la estructura sin apoyarse en la velocidad como sustituto de la densidad.</w:t>
      </w:r>
    </w:p>
    <w:p>
      <w:pPr>
        <w:numPr>
          <w:ilvl w:val="0"/>
          <w:numId w:val="1092"/>
        </w:numPr>
      </w:pPr>
      <w:r>
        <w:rPr>
          <w:b/>
          <w:bCs/>
        </w:rPr>
        <w:t xml:space="preserve">Nina Simone</w:t>
      </w:r>
      <w:r>
        <w:t xml:space="preserve"> </w:t>
      </w:r>
      <w:r>
        <w:t xml:space="preserve">—</w:t>
      </w:r>
      <w:r>
        <w:t xml:space="preserve"> </w:t>
      </w:r>
      <w:r>
        <w:rPr>
          <w:i/>
          <w:iCs/>
        </w:rPr>
        <w:t xml:space="preserve">«Feeling Good»</w:t>
      </w:r>
      <w:r>
        <w:t xml:space="preserve"> </w:t>
      </w:r>
      <w:r>
        <w:t xml:space="preserve">(</w:t>
      </w:r>
      <w:r>
        <w:rPr>
          <w:i/>
          <w:iCs/>
        </w:rPr>
        <w:t xml:space="preserve">I Put a Spell on You</w:t>
      </w:r>
      <w:r>
        <w:t xml:space="preserve">, Philips, 1965). La emisión vocal de Simone opera como transductor de estado: convierte fricción somática (tensión muscular, control de timbre, variación de dinámica) en señal de información concentrada para el receptor. La huella involuntaria de la voz revela la arquitectura del sistema que la produce. Nadie que reciba la señal puede no detectar la coherencia del modelo interno del emisor.</w:t>
      </w:r>
    </w:p>
    <w:p>
      <w:r>
        <w:pict>
          <v:rect style="width:0;height:1.5pt" o:hralign="center" o:hrstd="t" o:hr="t"/>
        </w:pict>
      </w:r>
    </w:p>
    <w:bookmarkEnd w:id="254"/>
    <w:bookmarkStart w:id="255" w:name="cierre-el-axioma-del-ciclo-completo"/>
    <w:p>
      <w:pPr>
        <w:pStyle w:val="Heading2"/>
      </w:pPr>
      <w:r>
        <w:t xml:space="preserve">5. Cierre: El Axioma del Ciclo Completo</w:t>
      </w:r>
    </w:p>
    <w:p>
      <w:pPr>
        <w:pStyle w:val="FirstParagraph"/>
      </w:pPr>
      <w:r>
        <w:t xml:space="preserve">El sistema que solo recibe colapsa hacia el equilibrio térmico con su entorno. El sistema que solo emite sin</w:t>
      </w:r>
      <w:r>
        <w:t xml:space="preserve"> </w:t>
      </w:r>
      <w:r>
        <w:rPr>
          <w:i/>
          <w:iCs/>
        </w:rPr>
        <w:t xml:space="preserve">feedback</w:t>
      </w:r>
      <w:r>
        <w:t xml:space="preserve"> </w:t>
      </w:r>
      <w:r>
        <w:t xml:space="preserve">se auto-incinera por falta de corrección. El agente de máxima exergía ejecuta el ciclo completo: emisión → recepción de</w:t>
      </w:r>
      <w:r>
        <w:t xml:space="preserve"> </w:t>
      </w:r>
      <w:r>
        <w:rPr>
          <w:i/>
          <w:iCs/>
        </w:rPr>
        <w:t xml:space="preserve">feedback</w:t>
      </w:r>
      <w:r>
        <w:t xml:space="preserve"> </w:t>
      </w:r>
      <w:r>
        <w:t xml:space="preserve">→ compresión → nueva emisión de mayor densidad.</w:t>
      </w:r>
    </w:p>
    <w:p>
      <w:pPr>
        <w:pStyle w:val="BodyText"/>
      </w:pPr>
      <w:r>
        <w:t xml:space="preserve">El axioma VI no prescribe altruismo. Prescribe la topología de red de mayor rendimiento energético para un agente en un sistema abierto. Dar conocimiento y estructura de acoplamiento es el acto que genera el mayor gradiente de orden local. El gradiente de orden es la definición operacional de exergía.</w:t>
      </w:r>
    </w:p>
    <w:p>
      <w:pPr>
        <w:pStyle w:val="BodyText"/>
      </w:pPr>
      <w:r>
        <w:t xml:space="preserve">El renacimiento no es un evento. Es el nombre del estado del agente que ha completado suficientes ciclos de emisión como para que su modelo interno haya alcanzado la coherencia de un oscilador de referencia. En ese estado, el entorno se acopla a él, no al revés.</w:t>
      </w:r>
    </w:p>
    <w:p>
      <w:pPr>
        <w:pStyle w:val="BodyText"/>
      </w:pPr>
      <w:r>
        <w:t xml:space="preserve">La soberanía epistémica no es una posición ideológica. Es el estado termodinámico de un sistema que ha internalizado la fuente de su propio orden.</w:t>
      </w:r>
    </w:p>
    <w:p>
      <w:r>
        <w:pict>
          <v:rect style="width:0;height:1.5pt" o:hralign="center" o:hrstd="t" o:hr="t"/>
        </w:pict>
      </w:r>
    </w:p>
    <w:bookmarkEnd w:id="255"/>
    <w:bookmarkEnd w:id="256"/>
    <w:bookmarkStart w:id="265" w:name="capítulo-vii-la-anestesia-del-entorno"/>
    <w:p>
      <w:pPr>
        <w:pStyle w:val="Heading1"/>
      </w:pPr>
      <w:r>
        <w:t xml:space="preserve">CAPÍTULO VII: LA ANESTESIA DEL ENTORNO</w:t>
      </w:r>
    </w:p>
    <w:bookmarkStart w:id="257" w:name="drogas-contra-las-madres"/>
    <w:p>
      <w:pPr>
        <w:pStyle w:val="Heading2"/>
      </w:pPr>
      <w:r>
        <w:t xml:space="preserve">Drogas Contra las Madres</w:t>
      </w:r>
    </w:p>
    <w:p>
      <w:pPr>
        <w:pStyle w:val="BlockText"/>
      </w:pPr>
      <w:r>
        <w:rPr>
          <w:i/>
          <w:iCs/>
        </w:rPr>
        <w:t xml:space="preserve">La medicación no cambia el entorno; cambia la capacidad del nodo para tolerar el entorno sin emitir señal de alarma.</w:t>
      </w:r>
    </w:p>
    <w:p>
      <w:pPr>
        <w:pStyle w:val="SourceCode"/>
      </w:pPr>
      <w:r>
        <w:rPr>
          <w:rStyle w:val="VerbatimChar"/>
        </w:rPr>
        <w:t xml:space="preserve">Axioma de Anclaje: La Anestesia del Regulador (Dossier Axioma III).</w:t>
      </w:r>
      <w:r>
        <w:br/>
      </w:r>
      <w:r>
        <w:rPr>
          <w:rStyle w:val="VerbatimChar"/>
        </w:rPr>
        <w:t xml:space="preserve">La intervención química de un agente en fricción termodinámica extrema (aislamiento)</w:t>
      </w:r>
      <w:r>
        <w:br/>
      </w:r>
      <w:r>
        <w:rPr>
          <w:rStyle w:val="VerbatimChar"/>
        </w:rPr>
        <w:t xml:space="preserve">reduce la exergía de la señal de dolor.</w:t>
      </w:r>
      <w:r>
        <w:br/>
      </w:r>
      <w:r>
        <w:rPr>
          <w:rStyle w:val="VerbatimChar"/>
        </w:rPr>
        <w:t xml:space="preserve">La reducción de la señal bloquea la mutación estructural del entorno.</w:t>
      </w:r>
      <w:r>
        <w:br/>
      </w:r>
      <w:r>
        <w:rPr>
          <w:rStyle w:val="VerbatimChar"/>
        </w:rPr>
        <w:t xml:space="preserve">El sistema consolida la disfunción mediante sedación del nodo.</w:t>
      </w:r>
    </w:p>
    <w:p>
      <w:r>
        <w:pict>
          <v:rect style="width:0;height:1.5pt" o:hralign="center" o:hrstd="t" o:hr="t"/>
        </w:pict>
      </w:r>
    </w:p>
    <w:bookmarkEnd w:id="257"/>
    <w:bookmarkStart w:id="258" w:name="la-fricción-del-aislamiento"/>
    <w:p>
      <w:pPr>
        <w:pStyle w:val="Heading2"/>
      </w:pPr>
      <w:r>
        <w:t xml:space="preserve">1. La Fricción del Aislamiento</w:t>
      </w:r>
    </w:p>
    <w:p>
      <w:pPr>
        <w:pStyle w:val="FirstParagraph"/>
      </w:pPr>
      <w:r>
        <w:t xml:space="preserve">El ecosistema humano evolucionó bajo una topología de red tribal (modelo de Kuramoto). La carga metabólica y logística de la crianza de la prole se distribuía entre múltiples nodos (familia extensa, tribu). La arquitectura residencial moderna (aislamiento unifamiliar) y la estructura de mercado (jornada laboral doble) aniquilaron esta red de soporte. La Manta de Markov de la madre moderna debe procesar una cantidad de entropía para la que la biología del primate carece de capacidad de disipación.</w:t>
      </w:r>
    </w:p>
    <w:p>
      <w:pPr>
        <w:pStyle w:val="BodyText"/>
      </w:pPr>
      <w:r>
        <w:t xml:space="preserve">Cuando la carga entrópica del entorno supera la capacidad de disipación del nodo, el sistema nervioso emite señal de alarma (ansiedad, pánico, fatiga crónica). La alarma es una petición estructural de cambio de geometría de red.</w:t>
      </w:r>
    </w:p>
    <w:bookmarkEnd w:id="258"/>
    <w:bookmarkStart w:id="259" w:name="la-analogía-del-termostato-de-fanger"/>
    <w:p>
      <w:pPr>
        <w:pStyle w:val="Heading2"/>
      </w:pPr>
      <w:r>
        <w:t xml:space="preserve">2. La Analogía del Termostato de Fanger</w:t>
      </w:r>
    </w:p>
    <w:p>
      <w:pPr>
        <w:pStyle w:val="FirstParagraph"/>
      </w:pPr>
      <w:r>
        <w:t xml:space="preserve">El modelo de confort de termodinámica de Fanger (1970) establece variables de temperatura de entorno y de producción de calor de metabolismo de nodo. Si la temperatura de entorno cae bajo el umbral de supervivencia, el nodo emite señal de frío mediante temblor de músculo. El temblor es una petición de sistema: exige el encendido de fuente de calor o la mutación de refugio.</w:t>
      </w:r>
    </w:p>
    <w:p>
      <w:pPr>
        <w:pStyle w:val="BodyText"/>
      </w:pPr>
      <w:r>
        <w:t xml:space="preserve">El modelo de psiquiatría de fármaco opera mediante la desconexión de termostato. Ignora la caída de temperatura de la habitación (el entorno de trabajo de 10 horas, el aislamiento de crianza, la pérdida de poder de compra). Interviene la química de cerebro de nodo para el bloqueo de la transmisión de la señal de frío. El nodo muere de hipotermia sin emisión de queja. La falta de queja asegura la tranquilidad de observadores de la red.</w:t>
      </w:r>
    </w:p>
    <w:bookmarkEnd w:id="259"/>
    <w:bookmarkStart w:id="260" w:name="el-bucle-de-watzlawick-y-la-psiquiatría"/>
    <w:p>
      <w:pPr>
        <w:pStyle w:val="Heading2"/>
      </w:pPr>
      <w:r>
        <w:t xml:space="preserve">3. El Bucle de Watzlawick y la Psiquiatría</w:t>
      </w:r>
    </w:p>
    <w:p>
      <w:pPr>
        <w:pStyle w:val="FirstParagraph"/>
      </w:pPr>
      <w:r>
        <w:t xml:space="preserve">El establecimiento psiquiátrico intercepta la señal de alarma y la clasifica como un error de la química cerebral. Ejecuta una falacia de isomorfismo (confusión de mapa y territorio). Al diagnosticar la fricción topológica como un déficit de neurotransmisores (Mapa), la medicina receta psicofármacos para alterar el estado interno del nodo.</w:t>
      </w:r>
    </w:p>
    <w:p>
      <w:pPr>
        <w:pStyle w:val="BodyText"/>
      </w:pPr>
      <w:r>
        <w:t xml:space="preserve">Esta intervención genera un Bucle de Watzlawick: la solución intentada es el problema. El inhibidor de recaptación de serotonina (ISRS) o la benzodiazepina anulan la fricción somática del nodo. La madre retoma el ciclo de producción. Pero el entorno (el Territorio) permanece idéntico. Al sedar el nodo, el diseño estructural disfuncional pierde la presión evolutiva necesaria para mutar. La droga estabiliza un entorno de toxicidad termodinámica.</w:t>
      </w:r>
    </w:p>
    <w:p>
      <w:r>
        <w:pict>
          <v:rect style="width:0;height:1.5pt" o:hralign="center" o:hrstd="t" o:hr="t"/>
        </w:pict>
      </w:r>
    </w:p>
    <w:bookmarkEnd w:id="260"/>
    <w:bookmarkStart w:id="261" w:name="hechos-probados-5"/>
    <w:p>
      <w:pPr>
        <w:pStyle w:val="Heading2"/>
      </w:pPr>
      <w:r>
        <w:t xml:space="preserve">4. Hechos Probados</w:t>
      </w:r>
    </w:p>
    <w:p>
      <w:pPr>
        <w:pStyle w:val="FirstParagraph"/>
      </w:pPr>
      <w:r>
        <w:t xml:space="preserve"> </w:t>
      </w:r>
      <w:r>
        <w:t xml:space="preserve">### Caso 7.1: El Valium y el Diseño Residencial de Posguerra (Años 60)</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Epidemia 'Mother's Little Helper' (1966)</w:t>
      </w:r>
      <w:r>
        <w:br/>
      </w:r>
      <w:r>
        <w:rPr>
          <w:rStyle w:val="KeywordTok"/>
        </w:rPr>
        <w:t xml:space="preserve">[</w:t>
      </w:r>
      <w:r>
        <w:rPr>
          <w:rStyle w:val="AttributeTok"/>
        </w:rPr>
        <w:t xml:space="preserve">ENTIDAD</w:t>
      </w:r>
      <w:r>
        <w:rPr>
          <w:rStyle w:val="KeywordTok"/>
        </w:rPr>
        <w:t xml:space="preserve">]:</w:t>
      </w:r>
      <w:r>
        <w:rPr>
          <w:rStyle w:val="AttributeTok"/>
        </w:rPr>
        <w:t xml:space="preserve"> Roche Pharmaceuticals / Amas de Casa (EEUU)</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Alteración de Regulador sin Cambio de Entorno</w:t>
      </w:r>
      <w:r>
        <w:br/>
      </w:r>
      <w:r>
        <w:rPr>
          <w:rStyle w:val="KeywordTok"/>
        </w:rPr>
        <w:t xml:space="preserve">[</w:t>
      </w:r>
      <w:r>
        <w:rPr>
          <w:rStyle w:val="AttributeTok"/>
        </w:rPr>
        <w:t xml:space="preserve">RESULTADO</w:t>
      </w:r>
      <w:r>
        <w:rPr>
          <w:rStyle w:val="KeywordTok"/>
        </w:rPr>
        <w:t xml:space="preserve">]:</w:t>
      </w:r>
      <w:r>
        <w:rPr>
          <w:rStyle w:val="AttributeTok"/>
        </w:rPr>
        <w:t xml:space="preserve"> Sedación Estructural / 2.300 Millones de Comprimidos en EEUU (1978, A. Tone, The Age of Anxiety, 2009)</w:t>
      </w:r>
    </w:p>
    <w:p>
      <w:pPr>
        <w:pStyle w:val="FirstParagraph"/>
      </w:pPr>
      <w:r>
        <w:t xml:space="preserve">En la década de 1960, el diazepam (Valium) alcanzó la cima de ventas farmacéuticas en Estados Unidos, mediante prescripción a escala de masas para amas de casa. El diseño urbano de los suburbios aisló a la mujer en recintos residenciales de nula interacción de red. La fricción resultante (neurosis de aislamiento) no provocó un rediseño de las ciudades; provocó la prescripción de tranquilizantes. The Rolling Stones documentaron la mecánica en la canción</w:t>
      </w:r>
      <w:r>
        <w:t xml:space="preserve"> </w:t>
      </w:r>
      <w:r>
        <w:rPr>
          <w:i/>
          <w:iCs/>
        </w:rPr>
        <w:t xml:space="preserve">Mother’s Little Helper</w:t>
      </w:r>
      <w:r>
        <w:t xml:space="preserve"> </w:t>
      </w:r>
      <w:r>
        <w:t xml:space="preserve">(1966).</w:t>
      </w:r>
    </w:p>
    <w:p>
      <w:pPr>
        <w:pStyle w:val="BodyText"/>
      </w:pPr>
      <w:r>
        <w:t xml:space="preserve"> </w:t>
      </w:r>
      <w:r>
        <w:t xml:space="preserve">### Caso 7.2: La Epidemia de ISRS en Mujeres Adultas (Actualidad)</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Reporte CDC (NCHS Data Brief No. 377)</w:t>
      </w:r>
      <w:r>
        <w:br/>
      </w:r>
      <w:r>
        <w:rPr>
          <w:rStyle w:val="KeywordTok"/>
        </w:rPr>
        <w:t xml:space="preserve">[</w:t>
      </w:r>
      <w:r>
        <w:rPr>
          <w:rStyle w:val="AttributeTok"/>
        </w:rPr>
        <w:t xml:space="preserve">ENTIDAD</w:t>
      </w:r>
      <w:r>
        <w:rPr>
          <w:rStyle w:val="KeywordTok"/>
        </w:rPr>
        <w:t xml:space="preserve">]:</w:t>
      </w:r>
      <w:r>
        <w:rPr>
          <w:rStyle w:val="AttributeTok"/>
        </w:rPr>
        <w:t xml:space="preserve"> Mujeres 40-59 Años</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Falacia Mapa-Territorio</w:t>
      </w:r>
      <w:r>
        <w:br/>
      </w:r>
      <w:r>
        <w:rPr>
          <w:rStyle w:val="KeywordTok"/>
        </w:rPr>
        <w:t xml:space="preserve">[</w:t>
      </w:r>
      <w:r>
        <w:rPr>
          <w:rStyle w:val="AttributeTok"/>
        </w:rPr>
        <w:t xml:space="preserve">RESULTADO</w:t>
      </w:r>
      <w:r>
        <w:rPr>
          <w:rStyle w:val="KeywordTok"/>
        </w:rPr>
        <w:t xml:space="preserve">]:</w:t>
      </w:r>
      <w:r>
        <w:rPr>
          <w:rStyle w:val="AttributeTok"/>
        </w:rPr>
        <w:t xml:space="preserve"> Cronificación de Estado de Baja Exergía</w:t>
      </w:r>
    </w:p>
    <w:p>
      <w:pPr>
        <w:pStyle w:val="FirstParagraph"/>
      </w:pPr>
      <w:r>
        <w:t xml:space="preserve">Según datos de la CDC (Estados Unidos, 2020), más del 20% de las mujeres entre 40 y 59 años consumen antidepresivos (ISRS/IRSN). La curva de consumo coincide con el pico de fricción estructural de la vida moderna (cuidado de prole, carrera profesional, cuidado de mayores). El modelo psiquiátrico asume una pandemia global de</w:t>
      </w:r>
      <w:r>
        <w:t xml:space="preserve"> </w:t>
      </w:r>
      <w:r>
        <w:t xml:space="preserve">“defectos de recaptación de serotonina”</w:t>
      </w:r>
      <w:r>
        <w:t xml:space="preserve"> </w:t>
      </w:r>
      <w:r>
        <w:t xml:space="preserve">en lugar de reconocer el colapso del ancho de banda del nodo ante un entorno termodinámico inasumible.</w:t>
      </w:r>
    </w:p>
    <w:p>
      <w:pPr>
        <w:pStyle w:val="BodyText"/>
      </w:pPr>
      <w:r>
        <w:t xml:space="preserve"> </w:t>
      </w:r>
      <w:r>
        <w:t xml:space="preserve">### Caso 7.3: La</w:t>
      </w:r>
      <w:r>
        <w:t xml:space="preserve"> </w:t>
      </w:r>
      <w:r>
        <w:t xml:space="preserve">“Cultura del Vino”</w:t>
      </w:r>
      <w:r>
        <w:t xml:space="preserve"> </w:t>
      </w:r>
      <w:r>
        <w:t xml:space="preserve">como Mecanismo de Escape</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Mommy Wine Culture / Redes Sociales</w:t>
      </w:r>
      <w:r>
        <w:br/>
      </w:r>
      <w:r>
        <w:rPr>
          <w:rStyle w:val="KeywordTok"/>
        </w:rPr>
        <w:t xml:space="preserve">[</w:t>
      </w:r>
      <w:r>
        <w:rPr>
          <w:rStyle w:val="AttributeTok"/>
        </w:rPr>
        <w:t xml:space="preserve">ENTIDAD</w:t>
      </w:r>
      <w:r>
        <w:rPr>
          <w:rStyle w:val="KeywordTok"/>
        </w:rPr>
        <w:t xml:space="preserve">]:</w:t>
      </w:r>
      <w:r>
        <w:rPr>
          <w:rStyle w:val="AttributeTok"/>
        </w:rPr>
        <w:t xml:space="preserve"> Autodiagnóstico de Red</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Axioma de Coste de Sumidero</w:t>
      </w:r>
      <w:r>
        <w:br/>
      </w:r>
      <w:r>
        <w:rPr>
          <w:rStyle w:val="KeywordTok"/>
        </w:rPr>
        <w:t xml:space="preserve">[</w:t>
      </w:r>
      <w:r>
        <w:rPr>
          <w:rStyle w:val="AttributeTok"/>
        </w:rPr>
        <w:t xml:space="preserve">RESULTADO</w:t>
      </w:r>
      <w:r>
        <w:rPr>
          <w:rStyle w:val="KeywordTok"/>
        </w:rPr>
        <w:t xml:space="preserve">]:</w:t>
      </w:r>
      <w:r>
        <w:rPr>
          <w:rStyle w:val="AttributeTok"/>
        </w:rPr>
        <w:t xml:space="preserve"> Escape Químico / Normalización de Disfunción</w:t>
      </w:r>
    </w:p>
    <w:p>
      <w:pPr>
        <w:pStyle w:val="FirstParagraph"/>
      </w:pPr>
      <w:r>
        <w:t xml:space="preserve">Ante el rechazo del estigma psiquiátrico, una parte de la red de nodos optó por el autodiagnóstico y la automedicación a través de la sustancia (alcohol). La</w:t>
      </w:r>
      <w:r>
        <w:t xml:space="preserve"> </w:t>
      </w:r>
      <w:r>
        <w:t xml:space="preserve">“cultura del vino para madres”</w:t>
      </w:r>
      <w:r>
        <w:t xml:space="preserve"> </w:t>
      </w:r>
      <w:r>
        <w:t xml:space="preserve">en redes sociales opera como un mecanismo de escape en el que la red valida la sedación diaria (una copa de vino) como la única herramienta de mitigación térmica disponible para sobrevivir al entorno.</w:t>
      </w:r>
    </w:p>
    <w:p>
      <w:pPr>
        <w:pStyle w:val="BodyText"/>
      </w:pPr>
      <w:r>
        <w:t xml:space="preserve"> </w:t>
      </w:r>
      <w:r>
        <w:t xml:space="preserve">### Caso 7.4: Purdue Pharma y la Crisis de los Opioides (1996-2007)</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United States v. Purdue Frederick Co., 1:07-cr-00029</w:t>
      </w:r>
      <w:r>
        <w:br/>
      </w:r>
      <w:r>
        <w:rPr>
          <w:rStyle w:val="KeywordTok"/>
        </w:rPr>
        <w:t xml:space="preserve">[</w:t>
      </w:r>
      <w:r>
        <w:rPr>
          <w:rStyle w:val="AttributeTok"/>
        </w:rPr>
        <w:t xml:space="preserve">ENTIDAD</w:t>
      </w:r>
      <w:r>
        <w:rPr>
          <w:rStyle w:val="KeywordTok"/>
        </w:rPr>
        <w:t xml:space="preserve">]:</w:t>
      </w:r>
      <w:r>
        <w:rPr>
          <w:rStyle w:val="AttributeTok"/>
        </w:rPr>
        <w:t xml:space="preserve"> Purdue Pharma / Zonas de Declive de Industria (EEUU)</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Falsificación de Mapa (Etiqueta de Fármaco)</w:t>
      </w:r>
      <w:r>
        <w:br/>
      </w:r>
      <w:r>
        <w:rPr>
          <w:rStyle w:val="KeywordTok"/>
        </w:rPr>
        <w:t xml:space="preserve">[</w:t>
      </w:r>
      <w:r>
        <w:rPr>
          <w:rStyle w:val="AttributeTok"/>
        </w:rPr>
        <w:t xml:space="preserve">RESULTADO</w:t>
      </w:r>
      <w:r>
        <w:rPr>
          <w:rStyle w:val="KeywordTok"/>
        </w:rPr>
        <w:t xml:space="preserve">]:</w:t>
      </w:r>
      <w:r>
        <w:rPr>
          <w:rStyle w:val="AttributeTok"/>
        </w:rPr>
        <w:t xml:space="preserve"> Medio Millón de Muertes por Sobredosis en 20 Años</w:t>
      </w:r>
    </w:p>
    <w:p>
      <w:pPr>
        <w:pStyle w:val="FirstParagraph"/>
      </w:pPr>
      <w:r>
        <w:t xml:space="preserve">En 1996, Purdue Pharma lanzó OxyContin (oxicodona de liberación controlada). La narración completa del caso y la resolución de 2020 figuran en el Caso 3.9. Ángulo de este capítulo: la red de comerciales inundó condados de minería y manufactura de metal (Apalaches, Rust Belt) con niveles de desempleo y de destrucción de estructura de industria de récord de década. En un entorno de fricción de finanzas, la pastilla de oxicodona operó como mecanismo de supresión de dolor de cuerpo y de trauma de red, en la línea del Valium de las amas de casa del Caso 7.1: la receta sustituyó al salario de industria y a la estructura de comunidad. El resultado fue la sedación de regiones de destrucción de capital. Purdue Pharma (Purdue Frederick) reconoció culpabilidad de fraude en la etiqueta del fármaco en 2007 (</w:t>
      </w:r>
      <w:r>
        <w:rPr>
          <w:i/>
          <w:iCs/>
        </w:rPr>
        <w:t xml:space="preserve">United States v. Purdue Frederick Co.</w:t>
      </w:r>
      <w:r>
        <w:t xml:space="preserve">, 1:07-cr-00029, W.D. Va.).</w:t>
      </w:r>
    </w:p>
    <w:p>
      <w:r>
        <w:pict>
          <v:rect style="width:0;height:1.5pt" o:hralign="center" o:hrstd="t" o:hr="t"/>
        </w:pict>
      </w:r>
    </w:p>
    <w:bookmarkEnd w:id="261"/>
    <w:bookmarkStart w:id="262" w:name="invariante-operativo-6"/>
    <w:p>
      <w:pPr>
        <w:pStyle w:val="Heading2"/>
      </w:pPr>
      <w:r>
        <w:t xml:space="preserve">5. Invariante Operativo</w:t>
      </w:r>
    </w:p>
    <w:p>
      <w:pPr>
        <w:pStyle w:val="FirstParagraph"/>
      </w:pPr>
      <w:r>
        <w:t xml:space="preserve">La administración de drogas frente al estrés de aislamiento de la red ejerce el papel termodinámico del analgésico frente a la fractura de hueso. La supresión de la señal de dolor permite al individuo el uso del hueso roto, garantizando el colapso de la estructura.</w:t>
      </w:r>
    </w:p>
    <w:p>
      <w:pPr>
        <w:pStyle w:val="BodyText"/>
      </w:pPr>
      <w:r>
        <w:t xml:space="preserve">El dolor de la fricción es el límite termodinámico de forzado de la mutación del entorno. Las drogas contra las madres son herramientas de conservación de red. Reducen la exergía de la madre a cero, convirtiendo el grito de colapso estructural en un suspiro de anestesia.</w:t>
      </w:r>
    </w:p>
    <w:p>
      <w:r>
        <w:pict>
          <v:rect style="width:0;height:1.5pt" o:hralign="center" o:hrstd="t" o:hr="t"/>
        </w:pict>
      </w:r>
    </w:p>
    <w:bookmarkEnd w:id="262"/>
    <w:bookmarkStart w:id="263" w:name="audio-anclaje-26"/>
    <w:p>
      <w:pPr>
        <w:pStyle w:val="Heading2"/>
      </w:pPr>
      <w:r>
        <w:t xml:space="preserve">6. Audio-Anclaje</w:t>
      </w:r>
    </w:p>
    <w:p>
      <w:pPr>
        <w:pStyle w:val="Compact"/>
        <w:numPr>
          <w:ilvl w:val="0"/>
          <w:numId w:val="1093"/>
        </w:numPr>
      </w:pPr>
      <w:r>
        <w:rPr>
          <w:b/>
          <w:bCs/>
        </w:rPr>
        <w:t xml:space="preserve">The Rolling Stones</w:t>
      </w:r>
      <w:r>
        <w:t xml:space="preserve"> </w:t>
      </w:r>
      <w:r>
        <w:t xml:space="preserve">—</w:t>
      </w:r>
      <w:r>
        <w:t xml:space="preserve"> </w:t>
      </w:r>
      <w:r>
        <w:rPr>
          <w:i/>
          <w:iCs/>
        </w:rPr>
        <w:t xml:space="preserve">“Mother’s Little Helper”</w:t>
      </w:r>
      <w:r>
        <w:t xml:space="preserve"> </w:t>
      </w:r>
      <w:r>
        <w:t xml:space="preserve">(</w:t>
      </w:r>
      <w:r>
        <w:rPr>
          <w:i/>
          <w:iCs/>
        </w:rPr>
        <w:t xml:space="preserve">Aftermath</w:t>
      </w:r>
      <w:r>
        <w:t xml:space="preserve">, 1966). El registro del diseño de bloque de residencia de posguerra y la solución de química (Valium) para el aislamiento de termodinámica de la madre.</w:t>
      </w:r>
    </w:p>
    <w:p>
      <w:pPr>
        <w:pStyle w:val="Compact"/>
        <w:numPr>
          <w:ilvl w:val="0"/>
          <w:numId w:val="1093"/>
        </w:numPr>
      </w:pPr>
      <w:r>
        <w:rPr>
          <w:b/>
          <w:bCs/>
        </w:rPr>
        <w:t xml:space="preserve">Nirvana</w:t>
      </w:r>
      <w:r>
        <w:t xml:space="preserve"> </w:t>
      </w:r>
      <w:r>
        <w:t xml:space="preserve">—</w:t>
      </w:r>
      <w:r>
        <w:t xml:space="preserve"> </w:t>
      </w:r>
      <w:r>
        <w:rPr>
          <w:i/>
          <w:iCs/>
        </w:rPr>
        <w:t xml:space="preserve">“Lithium”</w:t>
      </w:r>
      <w:r>
        <w:t xml:space="preserve"> </w:t>
      </w:r>
      <w:r>
        <w:t xml:space="preserve">(</w:t>
      </w:r>
      <w:r>
        <w:rPr>
          <w:i/>
          <w:iCs/>
        </w:rPr>
        <w:t xml:space="preserve">Nevermind</w:t>
      </w:r>
      <w:r>
        <w:t xml:space="preserve">, 1991). La estabilización de fase de onda de cerebro mediante suministro de sal de litio en sujeto de espectro bipolar.</w:t>
      </w:r>
    </w:p>
    <w:p>
      <w:pPr>
        <w:pStyle w:val="Compact"/>
        <w:numPr>
          <w:ilvl w:val="0"/>
          <w:numId w:val="1093"/>
        </w:numPr>
      </w:pPr>
      <w:r>
        <w:rPr>
          <w:b/>
          <w:bCs/>
        </w:rPr>
        <w:t xml:space="preserve">The Verve</w:t>
      </w:r>
      <w:r>
        <w:t xml:space="preserve"> </w:t>
      </w:r>
      <w:r>
        <w:t xml:space="preserve">—</w:t>
      </w:r>
      <w:r>
        <w:t xml:space="preserve"> </w:t>
      </w:r>
      <w:r>
        <w:rPr>
          <w:i/>
          <w:iCs/>
        </w:rPr>
        <w:t xml:space="preserve">“The Drugs Don’t Work”</w:t>
      </w:r>
      <w:r>
        <w:t xml:space="preserve"> </w:t>
      </w:r>
      <w:r>
        <w:t xml:space="preserve">(</w:t>
      </w:r>
      <w:r>
        <w:rPr>
          <w:i/>
          <w:iCs/>
        </w:rPr>
        <w:t xml:space="preserve">Urban Hymns</w:t>
      </w:r>
      <w:r>
        <w:t xml:space="preserve">, 1997). El fallo de matemáticas de atenuación de señal ante el colapso de red de soporte en fase de término de enfermedad.</w:t>
      </w:r>
    </w:p>
    <w:p>
      <w:pPr>
        <w:pStyle w:val="Compact"/>
        <w:numPr>
          <w:ilvl w:val="0"/>
          <w:numId w:val="1093"/>
        </w:numPr>
      </w:pPr>
      <w:r>
        <w:rPr>
          <w:b/>
          <w:bCs/>
        </w:rPr>
        <w:t xml:space="preserve">Nine Inch Nails</w:t>
      </w:r>
      <w:r>
        <w:t xml:space="preserve"> </w:t>
      </w:r>
      <w:r>
        <w:t xml:space="preserve">—</w:t>
      </w:r>
      <w:r>
        <w:t xml:space="preserve"> </w:t>
      </w:r>
      <w:r>
        <w:rPr>
          <w:i/>
          <w:iCs/>
        </w:rPr>
        <w:t xml:space="preserve">“Every Day Is Exactly The Same”</w:t>
      </w:r>
      <w:r>
        <w:t xml:space="preserve"> </w:t>
      </w:r>
      <w:r>
        <w:t xml:space="preserve">(</w:t>
      </w:r>
      <w:r>
        <w:rPr>
          <w:i/>
          <w:iCs/>
        </w:rPr>
        <w:t xml:space="preserve">With Teeth</w:t>
      </w:r>
      <w:r>
        <w:t xml:space="preserve">, 2005). La métrica del regulador bajo efecto de pastilla de inhibición: la estabilización de nodo a costa de la pérdida de gradiente y la muerte de contraste de señal.</w:t>
      </w:r>
    </w:p>
    <w:p>
      <w:pPr>
        <w:pStyle w:val="Compact"/>
        <w:numPr>
          <w:ilvl w:val="0"/>
          <w:numId w:val="1093"/>
        </w:numPr>
      </w:pPr>
      <w:r>
        <w:rPr>
          <w:b/>
          <w:bCs/>
        </w:rPr>
        <w:t xml:space="preserve">The National</w:t>
      </w:r>
      <w:r>
        <w:t xml:space="preserve"> </w:t>
      </w:r>
      <w:r>
        <w:t xml:space="preserve">—</w:t>
      </w:r>
      <w:r>
        <w:t xml:space="preserve"> </w:t>
      </w:r>
      <w:r>
        <w:rPr>
          <w:i/>
          <w:iCs/>
        </w:rPr>
        <w:t xml:space="preserve">“Bloodbuzz Ohio”</w:t>
      </w:r>
      <w:r>
        <w:t xml:space="preserve"> </w:t>
      </w:r>
      <w:r>
        <w:t xml:space="preserve">(</w:t>
      </w:r>
      <w:r>
        <w:rPr>
          <w:i/>
          <w:iCs/>
        </w:rPr>
        <w:t xml:space="preserve">High Violet</w:t>
      </w:r>
      <w:r>
        <w:t xml:space="preserve">, 2010). La anestesia del entorno mediante la sustancia de alcohol como mecanismo de escape frente a la deuda de estado de red.</w:t>
      </w:r>
    </w:p>
    <w:p>
      <w:r>
        <w:pict>
          <v:rect style="width:0;height:1.5pt" o:hralign="center" o:hrstd="t" o:hr="t"/>
        </w:pict>
      </w:r>
    </w:p>
    <w:bookmarkEnd w:id="263"/>
    <w:bookmarkStart w:id="264" w:name="X147e39c08d31c6cfd03687b0cfeeaf254efa906"/>
    <w:p>
      <w:pPr>
        <w:pStyle w:val="Heading2"/>
      </w:pPr>
      <w:r>
        <w:t xml:space="preserve">7. Cierre: El Axioma de la Fricción Necesaria</w:t>
      </w:r>
    </w:p>
    <w:p>
      <w:pPr>
        <w:pStyle w:val="FirstParagraph"/>
      </w:pPr>
      <w:r>
        <w:t xml:space="preserve">La psiquiatría de fármaco asume que la señal de dolor (ansiedad, depresión) es un fallo en el circuito del nodo. La termodinámica de sistemas asume que la señal de dolor es el indicador de fricción con un entorno estructural fuera de rango biológico.</w:t>
      </w:r>
    </w:p>
    <w:p>
      <w:pPr>
        <w:pStyle w:val="BodyText"/>
      </w:pPr>
      <w:r>
        <w:t xml:space="preserve">Anestesiar al nodo garantiza la continuidad del entorno. La madre sedada retoma el ciclo de producción y cuidado de la red. El fallo de diseño (el aislamiento de suburbio o la fractura de la tribu de soporte) desaparece de la matriz de conflicto. La fricción de requerimiento para el forzado de la mutación del entorno colapsa. El sistema de estado estabiliza su entropía mediante la destrucción del vector de alarma del nodo.</w:t>
      </w:r>
    </w:p>
    <w:p>
      <w:r>
        <w:pict>
          <v:rect style="width:0;height:1.5pt" o:hralign="center" o:hrstd="t" o:hr="t"/>
        </w:pict>
      </w:r>
    </w:p>
    <w:bookmarkEnd w:id="264"/>
    <w:bookmarkEnd w:id="265"/>
    <w:bookmarkStart w:id="274" w:name="capítulo-viii-la-plaga-de-diagnósticos"/>
    <w:p>
      <w:pPr>
        <w:pStyle w:val="Heading1"/>
      </w:pPr>
      <w:r>
        <w:t xml:space="preserve">CAPÍTULO VIII: LA PLAGA DE DIAGNÓSTICOS</w:t>
      </w:r>
    </w:p>
    <w:bookmarkStart w:id="266" w:name="el-bucle-de-la-normalidad"/>
    <w:p>
      <w:pPr>
        <w:pStyle w:val="Heading2"/>
      </w:pPr>
      <w:r>
        <w:t xml:space="preserve">El Bucle de la Normalidad</w:t>
      </w:r>
    </w:p>
    <w:p>
      <w:pPr>
        <w:pStyle w:val="BlockText"/>
      </w:pPr>
      <w:r>
        <w:rPr>
          <w:i/>
          <w:iCs/>
        </w:rPr>
        <w:t xml:space="preserve">En estadística matemática fundacional, normal es lo que se repite con mayor frecuencia en una muestra. Carece de dimensión de moral.</w:t>
      </w:r>
    </w:p>
    <w:p>
      <w:pPr>
        <w:pStyle w:val="SourceCode"/>
      </w:pPr>
      <w:r>
        <w:rPr>
          <w:rStyle w:val="VerbatimChar"/>
        </w:rPr>
        <w:t xml:space="preserve">Axioma de Anclaje: El Bucle de la Normalidad (Dossier Axioma III).</w:t>
      </w:r>
      <w:r>
        <w:br/>
      </w:r>
      <w:r>
        <w:rPr>
          <w:rStyle w:val="VerbatimChar"/>
        </w:rPr>
        <w:t xml:space="preserve">La normalidad no es una propiedad del individuo; es una propiedad de la distribución.</w:t>
      </w:r>
      <w:r>
        <w:br/>
      </w:r>
      <w:r>
        <w:rPr>
          <w:rStyle w:val="VerbatimChar"/>
        </w:rPr>
        <w:t xml:space="preserve">El diagnóstico psiquiátrico es un corte de umbral estadístico.</w:t>
      </w:r>
      <w:r>
        <w:br/>
      </w:r>
      <w:r>
        <w:rPr>
          <w:rStyle w:val="VerbatimChar"/>
        </w:rPr>
        <w:t xml:space="preserve">Si el entorno eleva el umbral de supervivencia, la cola de fallo aumenta.</w:t>
      </w:r>
      <w:r>
        <w:br/>
      </w:r>
      <w:r>
        <w:rPr>
          <w:rStyle w:val="VerbatimChar"/>
        </w:rPr>
        <w:t xml:space="preserve">La respuesta del regulador es la creación de categorías de patología.</w:t>
      </w:r>
    </w:p>
    <w:p>
      <w:r>
        <w:pict>
          <v:rect style="width:0;height:1.5pt" o:hralign="center" o:hrstd="t" o:hr="t"/>
        </w:pict>
      </w:r>
    </w:p>
    <w:bookmarkEnd w:id="266"/>
    <w:bookmarkStart w:id="267" w:name="el-origen-de-la-palabra"/>
    <w:p>
      <w:pPr>
        <w:pStyle w:val="Heading2"/>
      </w:pPr>
      <w:r>
        <w:t xml:space="preserve">1. El Origen de la Palabra</w:t>
      </w:r>
    </w:p>
    <w:p>
      <w:pPr>
        <w:pStyle w:val="FirstParagraph"/>
      </w:pPr>
      <w:r>
        <w:t xml:space="preserve">La palabra</w:t>
      </w:r>
      <w:r>
        <w:t xml:space="preserve"> </w:t>
      </w:r>
      <w:r>
        <w:t xml:space="preserve">“normal”</w:t>
      </w:r>
      <w:r>
        <w:t xml:space="preserve"> </w:t>
      </w:r>
      <w:r>
        <w:t xml:space="preserve">entra en el vocabulario médico a través de la geometría. El término latino</w:t>
      </w:r>
      <w:r>
        <w:t xml:space="preserve"> </w:t>
      </w:r>
      <w:r>
        <w:rPr>
          <w:i/>
          <w:iCs/>
        </w:rPr>
        <w:t xml:space="preserve">normalis</w:t>
      </w:r>
      <w:r>
        <w:t xml:space="preserve"> </w:t>
      </w:r>
      <w:r>
        <w:t xml:space="preserve">significa</w:t>
      </w:r>
      <w:r>
        <w:t xml:space="preserve"> </w:t>
      </w:r>
      <w:r>
        <w:t xml:space="preserve">“perpendicular a la base”</w:t>
      </w:r>
      <w:r>
        <w:t xml:space="preserve">. En arquitectura, la normal es la recta de ángulo de 90° con una superficie.</w:t>
      </w:r>
    </w:p>
    <w:p>
      <w:pPr>
        <w:pStyle w:val="BodyText"/>
      </w:pPr>
      <w:r>
        <w:t xml:space="preserve">Adolphe Quetelet, astrónomo belga, publicó en 1835</w:t>
      </w:r>
      <w:r>
        <w:t xml:space="preserve"> </w:t>
      </w:r>
      <w:r>
        <w:rPr>
          <w:i/>
          <w:iCs/>
        </w:rPr>
        <w:t xml:space="preserve">Sur l’homme et le développement de ses facultés</w:t>
      </w:r>
      <w:r>
        <w:t xml:space="preserve"> </w:t>
      </w:r>
      <w:r>
        <w:t xml:space="preserve">e introdujo la figura del</w:t>
      </w:r>
      <w:r>
        <w:t xml:space="preserve"> </w:t>
      </w:r>
      <w:r>
        <w:rPr>
          <w:i/>
          <w:iCs/>
        </w:rPr>
        <w:t xml:space="preserve">l’homme moyen</w:t>
      </w:r>
      <w:r>
        <w:t xml:space="preserve"> </w:t>
      </w:r>
      <w:r>
        <w:t xml:space="preserve">(el hombre promedio). El análisis de pecho de 5.738 soldados escoceses pertenece a las</w:t>
      </w:r>
      <w:r>
        <w:t xml:space="preserve"> </w:t>
      </w:r>
      <w:r>
        <w:rPr>
          <w:i/>
          <w:iCs/>
        </w:rPr>
        <w:t xml:space="preserve">Lettres sur la théorie des probabilités</w:t>
      </w:r>
      <w:r>
        <w:t xml:space="preserve"> </w:t>
      </w:r>
      <w:r>
        <w:t xml:space="preserve">(1846), sobre datos publicados en el</w:t>
      </w:r>
      <w:r>
        <w:t xml:space="preserve"> </w:t>
      </w:r>
      <w:r>
        <w:rPr>
          <w:i/>
          <w:iCs/>
        </w:rPr>
        <w:t xml:space="preserve">Edinburgh Medical and Surgical Journal</w:t>
      </w:r>
      <w:r>
        <w:t xml:space="preserve"> </w:t>
      </w:r>
      <w:r>
        <w:t xml:space="preserve">(1817). Quetelet detectó que la distribución seguía la curva de Gauss. La traslación posterior fue de geometría a biología: el centro de campana es</w:t>
      </w:r>
      <w:r>
        <w:t xml:space="preserve"> </w:t>
      </w:r>
      <w:r>
        <w:t xml:space="preserve">“la norma”</w:t>
      </w:r>
      <w:r>
        <w:t xml:space="preserve">. Las colas son</w:t>
      </w:r>
      <w:r>
        <w:t xml:space="preserve"> </w:t>
      </w:r>
      <w:r>
        <w:t xml:space="preserve">“la anomalía”</w:t>
      </w:r>
      <w:r>
        <w:t xml:space="preserve">.</w:t>
      </w:r>
    </w:p>
    <w:p>
      <w:pPr>
        <w:pStyle w:val="BodyText"/>
      </w:pPr>
      <w:r>
        <w:t xml:space="preserve">No existe en el texto de Quetelet argumento ético ni médico. Solo estadística descriptiva.</w:t>
      </w:r>
    </w:p>
    <w:p>
      <w:r>
        <w:pict>
          <v:rect style="width:0;height:1.5pt" o:hralign="center" o:hrstd="t" o:hr="t"/>
        </w:pict>
      </w:r>
    </w:p>
    <w:bookmarkEnd w:id="267"/>
    <w:bookmarkStart w:id="268" w:name="la-campana-de-gauss-no-juzga"/>
    <w:p>
      <w:pPr>
        <w:pStyle w:val="Heading2"/>
      </w:pPr>
      <w:r>
        <w:t xml:space="preserve">2. La Campana de Gauss no Juzga</w:t>
      </w:r>
    </w:p>
    <w:p>
      <w:pPr>
        <w:pStyle w:val="FirstParagraph"/>
      </w:pPr>
      <w:r>
        <w:t xml:space="preserve">La función de distribución de Gauss obedece a la fórmula de texto plano:</w:t>
      </w:r>
    </w:p>
    <w:p>
      <w:pPr>
        <w:pStyle w:val="BodyText"/>
      </w:pPr>
      <w:r>
        <w:rPr>
          <w:rStyle w:val="VerbatimChar"/>
        </w:rPr>
        <w:t xml:space="preserve">f(x) = [1 / (σ√(2π))] · e^[-(x - μ)² / (2σ²)]</w:t>
      </w:r>
    </w:p>
    <w:p>
      <w:pPr>
        <w:pStyle w:val="BodyText"/>
      </w:pPr>
      <w:r>
        <w:t xml:space="preserve">Donde:</w:t>
      </w:r>
      <w:r>
        <w:t xml:space="preserve"> </w:t>
      </w:r>
      <w:r>
        <w:t xml:space="preserve">-</w:t>
      </w:r>
      <w:r>
        <w:t xml:space="preserve"> </w:t>
      </w:r>
      <w:r>
        <w:rPr>
          <w:rStyle w:val="VerbatimChar"/>
        </w:rPr>
        <w:t xml:space="preserve">μ</w:t>
      </w:r>
      <w:r>
        <w:t xml:space="preserve"> </w:t>
      </w:r>
      <w:r>
        <w:t xml:space="preserve">= media (centro de campana)</w:t>
      </w:r>
      <w:r>
        <w:t xml:space="preserve"> </w:t>
      </w:r>
      <w:r>
        <w:t xml:space="preserve">-</w:t>
      </w:r>
      <w:r>
        <w:t xml:space="preserve"> </w:t>
      </w:r>
      <w:r>
        <w:rPr>
          <w:rStyle w:val="VerbatimChar"/>
        </w:rPr>
        <w:t xml:space="preserve">σ</w:t>
      </w:r>
      <w:r>
        <w:t xml:space="preserve"> </w:t>
      </w:r>
      <w:r>
        <w:t xml:space="preserve">= desviación típica (ancho de campana)</w:t>
      </w:r>
      <w:r>
        <w:t xml:space="preserve"> </w:t>
      </w:r>
      <w:r>
        <w:t xml:space="preserve">-</w:t>
      </w:r>
      <w:r>
        <w:t xml:space="preserve"> </w:t>
      </w:r>
      <w:r>
        <w:rPr>
          <w:rStyle w:val="VerbatimChar"/>
        </w:rPr>
        <w:t xml:space="preserve">x</w:t>
      </w:r>
      <w:r>
        <w:t xml:space="preserve"> </w:t>
      </w:r>
      <w:r>
        <w:t xml:space="preserve">= valor de individuo</w:t>
      </w:r>
    </w:p>
    <w:p>
      <w:pPr>
        <w:pStyle w:val="BodyText"/>
      </w:pPr>
      <w:r>
        <w:t xml:space="preserve">La ecuación no contiene evaluación de salud. Contiene μ, σ y x. La interpretación moral de esas tres variables es política.</w:t>
      </w:r>
    </w:p>
    <w:p>
      <w:pPr>
        <w:pStyle w:val="BodyText"/>
      </w:pPr>
      <w:r>
        <w:t xml:space="preserve"> </w:t>
      </w:r>
      <w:r>
        <w:t xml:space="preserve">### Caso 8.1: El Umbral Físico vs El Umbral Psiquiátrico</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Asimetría de Diagnóstico (Física vs Psicología)</w:t>
      </w:r>
      <w:r>
        <w:br/>
      </w:r>
      <w:r>
        <w:rPr>
          <w:rStyle w:val="KeywordTok"/>
        </w:rPr>
        <w:t xml:space="preserve">[</w:t>
      </w:r>
      <w:r>
        <w:rPr>
          <w:rStyle w:val="AttributeTok"/>
        </w:rPr>
        <w:t xml:space="preserve">ENTIDAD</w:t>
      </w:r>
      <w:r>
        <w:rPr>
          <w:rStyle w:val="KeywordTok"/>
        </w:rPr>
        <w:t xml:space="preserve">]:</w:t>
      </w:r>
      <w:r>
        <w:rPr>
          <w:rStyle w:val="AttributeTok"/>
        </w:rPr>
        <w:t xml:space="preserve"> Instituciones de Salud</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N/A</w:t>
      </w:r>
      <w:r>
        <w:br/>
      </w:r>
      <w:r>
        <w:rPr>
          <w:rStyle w:val="KeywordTok"/>
        </w:rPr>
        <w:t xml:space="preserve">[</w:t>
      </w:r>
      <w:r>
        <w:rPr>
          <w:rStyle w:val="AttributeTok"/>
        </w:rPr>
        <w:t xml:space="preserve">RESULTADO</w:t>
      </w:r>
      <w:r>
        <w:rPr>
          <w:rStyle w:val="KeywordTok"/>
        </w:rPr>
        <w:t xml:space="preserve">]:</w:t>
      </w:r>
      <w:r>
        <w:rPr>
          <w:rStyle w:val="AttributeTok"/>
        </w:rPr>
        <w:t xml:space="preserve"> Cero Diagnósticos de Altura / Hiperdiagnóstico de CI</w:t>
      </w:r>
    </w:p>
    <w:p>
      <w:pPr>
        <w:pStyle w:val="FirstParagraph"/>
      </w:pPr>
      <w:r>
        <w:t xml:space="preserve">En 2021, la talla media del hombre en España era 175 cm. Un varón de 196 cm se sitúa en el percentil 99. No se prescribe tratamiento de reducción de talla, porque la medicina carece de Manual de Diagnóstico de Estatura. La media del test de cociente intelectual (CI) está fijada en 100, con σ = 15. Un CI de 55 se sitúa en la cola de caída. La psiquiatría construyó diagnósticos de intervención para la cola de caída. No construyó diagnósticos para la cola de subida (CI 145). La razón de intervención depende del punto de vista de observador que recorta la distribución.</w:t>
      </w:r>
    </w:p>
    <w:p>
      <w:r>
        <w:pict>
          <v:rect style="width:0;height:1.5pt" o:hralign="center" o:hrstd="t" o:hr="t"/>
        </w:pict>
      </w:r>
    </w:p>
    <w:bookmarkEnd w:id="268"/>
    <w:bookmarkStart w:id="269" w:name="el-dsm-y-la-reubicación-del-umbral"/>
    <w:p>
      <w:pPr>
        <w:pStyle w:val="Heading2"/>
      </w:pPr>
      <w:r>
        <w:t xml:space="preserve">3. El DSM y la Reubicación del Umbral</w:t>
      </w:r>
    </w:p>
    <w:p>
      <w:pPr>
        <w:pStyle w:val="FirstParagraph"/>
      </w:pPr>
      <w:r>
        <w:t xml:space="preserve">El</w:t>
      </w:r>
      <w:r>
        <w:t xml:space="preserve"> </w:t>
      </w:r>
      <w:r>
        <w:rPr>
          <w:i/>
          <w:iCs/>
        </w:rPr>
        <w:t xml:space="preserve">Diagnostic and Statistical Manual of Mental Disorders</w:t>
      </w:r>
      <w:r>
        <w:t xml:space="preserve"> </w:t>
      </w:r>
      <w:r>
        <w:t xml:space="preserve">(DSM) opera como sistema de clasificación de estados de desviación de media. El mecanismo de producción del DSM no obedece a ensayo empírico: obedece a proceso de votación de comités.</w:t>
      </w:r>
    </w:p>
    <w:p>
      <w:pPr>
        <w:pStyle w:val="BodyText"/>
      </w:pPr>
      <w:r>
        <w:t xml:space="preserve"> </w:t>
      </w:r>
      <w:r>
        <w:t xml:space="preserve">### Caso 8.2: La Votación de Categorías y la Expansión de la Plaga</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Expansión del Manual DSM (1980-2013)</w:t>
      </w:r>
      <w:r>
        <w:br/>
      </w:r>
      <w:r>
        <w:rPr>
          <w:rStyle w:val="KeywordTok"/>
        </w:rPr>
        <w:t xml:space="preserve">[</w:t>
      </w:r>
      <w:r>
        <w:rPr>
          <w:rStyle w:val="AttributeTok"/>
        </w:rPr>
        <w:t xml:space="preserve">ENTIDAD</w:t>
      </w:r>
      <w:r>
        <w:rPr>
          <w:rStyle w:val="KeywordTok"/>
        </w:rPr>
        <w:t xml:space="preserve">]:</w:t>
      </w:r>
      <w:r>
        <w:rPr>
          <w:rStyle w:val="AttributeTok"/>
        </w:rPr>
        <w:t xml:space="preserve"> American Psychiatric Association (APA)</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Falacia Mapa-Territorio</w:t>
      </w:r>
      <w:r>
        <w:br/>
      </w:r>
      <w:r>
        <w:rPr>
          <w:rStyle w:val="KeywordTok"/>
        </w:rPr>
        <w:t xml:space="preserve">[</w:t>
      </w:r>
      <w:r>
        <w:rPr>
          <w:rStyle w:val="AttributeTok"/>
        </w:rPr>
        <w:t xml:space="preserve">RESULTADO</w:t>
      </w:r>
      <w:r>
        <w:rPr>
          <w:rStyle w:val="KeywordTok"/>
        </w:rPr>
        <w:t xml:space="preserve">]:</w:t>
      </w:r>
      <w:r>
        <w:rPr>
          <w:rStyle w:val="AttributeTok"/>
        </w:rPr>
        <w:t xml:space="preserve"> Expansión de Categorías de 265 a 541 (Inflación Diagnóstica)</w:t>
      </w:r>
    </w:p>
    <w:p>
      <w:pPr>
        <w:pStyle w:val="FirstParagraph"/>
      </w:pPr>
      <w:r>
        <w:t xml:space="preserve">Allen Frances, director del DSM-IV, documentó la falla estructural en 2013 (</w:t>
      </w:r>
      <w:r>
        <w:rPr>
          <w:i/>
          <w:iCs/>
        </w:rPr>
        <w:t xml:space="preserve">Saving Normal</w:t>
      </w:r>
      <w:r>
        <w:t xml:space="preserve">): la transformación de duelo estándar en depresión mayor, y la ansiedad de estudiante en trastorno de ansiedad.</w:t>
      </w:r>
      <w:r>
        <w:t xml:space="preserve"> </w:t>
      </w:r>
      <w:r>
        <w:t xml:space="preserve">Las métricas de expansión documentan la inflación del mapa de códigos:</w:t>
      </w:r>
      <w:r>
        <w:t xml:space="preserve"> </w:t>
      </w:r>
      <w:r>
        <w:t xml:space="preserve">- DSM-III (1980): 265 categorías diagnósticas.</w:t>
      </w:r>
      <w:r>
        <w:t xml:space="preserve"> </w:t>
      </w:r>
      <w:r>
        <w:t xml:space="preserve">- DSM-IV (1994): 383 códigos y subtipos (Blashfield et al., 2014,</w:t>
      </w:r>
      <w:r>
        <w:t xml:space="preserve"> </w:t>
      </w:r>
      <w:r>
        <w:rPr>
          <w:i/>
          <w:iCs/>
        </w:rPr>
        <w:t xml:space="preserve">Annual Review of Clinical Psychology</w:t>
      </w:r>
      <w:r>
        <w:t xml:space="preserve">, DOI: 10.1146/annurev-clinpsy-032813-153639); 297 trastornos mentales discretos (Surís et al., 2016, DOI: 10.3390/bs6010005).</w:t>
      </w:r>
      <w:r>
        <w:t xml:space="preserve"> </w:t>
      </w:r>
      <w:r>
        <w:t xml:space="preserve">- DSM-5 (2013): 541 códigos y subtipos facturables (Blashfield et al., 2014); 297 trastornos mentales discretos consolidados.</w:t>
      </w:r>
    </w:p>
    <w:p>
      <w:pPr>
        <w:pStyle w:val="BodyText"/>
      </w:pPr>
      <w:r>
        <w:t xml:space="preserve">La inflación no requirió la invención de 244 enfermedades biológicas nuevas: operó mediante la fragmentación en subtipos facturables y la rebaja de los umbrales dimensionales de exclusión clínica. Cada revisión de manual extiende la cola de captura de diagnóstico. Cada diagnóstico posee prescripción de fármaco. (Fuentes: Frances, A.</w:t>
      </w:r>
      <w:r>
        <w:t xml:space="preserve"> </w:t>
      </w:r>
      <w:r>
        <w:rPr>
          <w:i/>
          <w:iCs/>
        </w:rPr>
        <w:t xml:space="preserve">Saving Normal</w:t>
      </w:r>
      <w:r>
        <w:t xml:space="preserve">, 2013; Surís et al., 2016; Blashfield et al., 2014).</w:t>
      </w:r>
    </w:p>
    <w:p>
      <w:pPr>
        <w:pStyle w:val="BodyText"/>
      </w:pPr>
      <w:r>
        <w:t xml:space="preserve"> </w:t>
      </w:r>
      <w:r>
        <w:t xml:space="preserve">### Caso 8.3: La Votación de la Homosexualidad (1973)</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Retirada Diagnóstica del DSM-II</w:t>
      </w:r>
      <w:r>
        <w:br/>
      </w:r>
      <w:r>
        <w:rPr>
          <w:rStyle w:val="KeywordTok"/>
        </w:rPr>
        <w:t xml:space="preserve">[</w:t>
      </w:r>
      <w:r>
        <w:rPr>
          <w:rStyle w:val="AttributeTok"/>
        </w:rPr>
        <w:t xml:space="preserve">ENTIDAD</w:t>
      </w:r>
      <w:r>
        <w:rPr>
          <w:rStyle w:val="KeywordTok"/>
        </w:rPr>
        <w:t xml:space="preserve">]:</w:t>
      </w:r>
      <w:r>
        <w:rPr>
          <w:rStyle w:val="AttributeTok"/>
        </w:rPr>
        <w:t xml:space="preserve"> American Psychiatric Association (APA)</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Falsación Cero (Decisión por Comité)</w:t>
      </w:r>
      <w:r>
        <w:br/>
      </w:r>
      <w:r>
        <w:rPr>
          <w:rStyle w:val="KeywordTok"/>
        </w:rPr>
        <w:t xml:space="preserve">[</w:t>
      </w:r>
      <w:r>
        <w:rPr>
          <w:rStyle w:val="AttributeTok"/>
        </w:rPr>
        <w:t xml:space="preserve">RESULTADO</w:t>
      </w:r>
      <w:r>
        <w:rPr>
          <w:rStyle w:val="KeywordTok"/>
        </w:rPr>
        <w:t xml:space="preserve">]:</w:t>
      </w:r>
      <w:r>
        <w:rPr>
          <w:rStyle w:val="AttributeTok"/>
        </w:rPr>
        <w:t xml:space="preserve"> Mutación de 'Enfermedad' a 'Normalidad' por Mayoría de Votos</w:t>
      </w:r>
    </w:p>
    <w:p>
      <w:pPr>
        <w:pStyle w:val="FirstParagraph"/>
      </w:pPr>
      <w:r>
        <w:t xml:space="preserve">Hasta 1973, la homosexualidad figuraba en el DSM-II en categoría de diagnóstico (</w:t>
      </w:r>
      <w:r>
        <w:t xml:space="preserve">“302.0 Homosexuality”</w:t>
      </w:r>
      <w:r>
        <w:t xml:space="preserve">). La retirada del diagnóstico fue producto de votación de consejo directivo el 15 de diciembre de 1973 y referéndum de miembros en abril de 1974 (5.854 votos de apoyo frente a 3.810 votos de rechazo). Una condición figuró con etiqueta de</w:t>
      </w:r>
      <w:r>
        <w:t xml:space="preserve"> </w:t>
      </w:r>
      <w:r>
        <w:t xml:space="preserve">“enfermedad”</w:t>
      </w:r>
      <w:r>
        <w:t xml:space="preserve"> </w:t>
      </w:r>
      <w:r>
        <w:t xml:space="preserve">durante 105 años (cálculo propio del proyecto: Westphal 1869/70 → 1973) y mutó a</w:t>
      </w:r>
      <w:r>
        <w:t xml:space="preserve"> </w:t>
      </w:r>
      <w:r>
        <w:t xml:space="preserve">“normalidad”</w:t>
      </w:r>
      <w:r>
        <w:t xml:space="preserve"> </w:t>
      </w:r>
      <w:r>
        <w:t xml:space="preserve">por recuento de votos. La métrica psiquiátrica de diagnóstico es política, no biología de laboratorio.</w:t>
      </w:r>
    </w:p>
    <w:p>
      <w:pPr>
        <w:pStyle w:val="BodyText"/>
      </w:pPr>
      <w:r>
        <w:t xml:space="preserve"> </w:t>
      </w:r>
      <w:r>
        <w:t xml:space="preserve">### Caso 8.4: La Supresión de la Exclusión de Duelo (DSM-5, 2013)</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Revisión DSM-5 / "Bereavement Exclusion"</w:t>
      </w:r>
      <w:r>
        <w:br/>
      </w:r>
      <w:r>
        <w:rPr>
          <w:rStyle w:val="KeywordTok"/>
        </w:rPr>
        <w:t xml:space="preserve">[</w:t>
      </w:r>
      <w:r>
        <w:rPr>
          <w:rStyle w:val="AttributeTok"/>
        </w:rPr>
        <w:t xml:space="preserve">ENTIDAD</w:t>
      </w:r>
      <w:r>
        <w:rPr>
          <w:rStyle w:val="KeywordTok"/>
        </w:rPr>
        <w:t xml:space="preserve">]:</w:t>
      </w:r>
      <w:r>
        <w:rPr>
          <w:rStyle w:val="AttributeTok"/>
        </w:rPr>
        <w:t xml:space="preserve"> Grupo de Tareas de Depresión (APA)</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Alucinación de Patología en Señal de Calibración</w:t>
      </w:r>
      <w:r>
        <w:br/>
      </w:r>
      <w:r>
        <w:rPr>
          <w:rStyle w:val="KeywordTok"/>
        </w:rPr>
        <w:t xml:space="preserve">[</w:t>
      </w:r>
      <w:r>
        <w:rPr>
          <w:rStyle w:val="AttributeTok"/>
        </w:rPr>
        <w:t xml:space="preserve">RESULTADO</w:t>
      </w:r>
      <w:r>
        <w:rPr>
          <w:rStyle w:val="KeywordTok"/>
        </w:rPr>
        <w:t xml:space="preserve">]:</w:t>
      </w:r>
      <w:r>
        <w:rPr>
          <w:rStyle w:val="AttributeTok"/>
        </w:rPr>
        <w:t xml:space="preserve"> Trastorno de Mente a los 14 Días de la Muerte de Familiar</w:t>
      </w:r>
    </w:p>
    <w:p>
      <w:pPr>
        <w:pStyle w:val="FirstParagraph"/>
      </w:pPr>
      <w:r>
        <w:t xml:space="preserve">En ediciones previas, el DSM contenía la</w:t>
      </w:r>
      <w:r>
        <w:t xml:space="preserve"> </w:t>
      </w:r>
      <w:r>
        <w:t xml:space="preserve">“exclusión de duelo”</w:t>
      </w:r>
      <w:r>
        <w:t xml:space="preserve">. Si el individuo perdía a un nodo de familia (muerte), el manual prohibía el diagnóstico de depresión en una ventana de 2 meses. El dolor era calibración de red, no enfermedad de individuo.</w:t>
      </w:r>
    </w:p>
    <w:p>
      <w:pPr>
        <w:pStyle w:val="BodyText"/>
      </w:pPr>
      <w:r>
        <w:t xml:space="preserve">En 2013, el comité de DSM-5 eliminó la exclusión. El dolor de luto muta a</w:t>
      </w:r>
      <w:r>
        <w:t xml:space="preserve"> </w:t>
      </w:r>
      <w:r>
        <w:t xml:space="preserve">“Trastorno de Depresión”</w:t>
      </w:r>
      <w:r>
        <w:t xml:space="preserve"> </w:t>
      </w:r>
      <w:r>
        <w:t xml:space="preserve">a los 14 días. La red clasifica la pérdida de entropía de familia como defecto de química de individuo. El psiquiatra obtiene la autoridad de receta de pastilla de serotonina a las dos semanas del entierro. El llanto por destrucción de nodo de red se categoriza como síndrome de neurotransmisor.</w:t>
      </w:r>
    </w:p>
    <w:p>
      <w:pPr>
        <w:pStyle w:val="BodyText"/>
      </w:pPr>
      <w:r>
        <w:t xml:space="preserve"> </w:t>
      </w:r>
      <w:r>
        <w:t xml:space="preserve">### Caso 8.5: El TDAH y el Aula de Industria</w:t>
      </w:r>
    </w:p>
    <w:p>
      <w:pPr>
        <w:pStyle w:val="SourceCode"/>
      </w:pPr>
      <w:r>
        <w:rPr>
          <w:rStyle w:val="KeywordTok"/>
        </w:rPr>
        <w:t xml:space="preserve">[</w:t>
      </w:r>
      <w:r>
        <w:rPr>
          <w:rStyle w:val="AttributeTok"/>
        </w:rPr>
        <w:t xml:space="preserve">EXPEDIENTE</w:t>
      </w:r>
      <w:r>
        <w:rPr>
          <w:rStyle w:val="KeywordTok"/>
        </w:rPr>
        <w:t xml:space="preserve">]:</w:t>
      </w:r>
      <w:r>
        <w:rPr>
          <w:rStyle w:val="AttributeTok"/>
        </w:rPr>
        <w:t xml:space="preserve"> Expansión de Diagnóstico TDAH</w:t>
      </w:r>
      <w:r>
        <w:br/>
      </w:r>
      <w:r>
        <w:rPr>
          <w:rStyle w:val="KeywordTok"/>
        </w:rPr>
        <w:t xml:space="preserve">[</w:t>
      </w:r>
      <w:r>
        <w:rPr>
          <w:rStyle w:val="AttributeTok"/>
        </w:rPr>
        <w:t xml:space="preserve">ENTIDAD</w:t>
      </w:r>
      <w:r>
        <w:rPr>
          <w:rStyle w:val="KeywordTok"/>
        </w:rPr>
        <w:t xml:space="preserve">]:</w:t>
      </w:r>
      <w:r>
        <w:rPr>
          <w:rStyle w:val="AttributeTok"/>
        </w:rPr>
        <w:t xml:space="preserve"> Sistema de Educación y Psiquiatría de Infancia</w:t>
      </w:r>
      <w:r>
        <w:br/>
      </w:r>
      <w:r>
        <w:rPr>
          <w:rStyle w:val="KeywordTok"/>
        </w:rPr>
        <w:t xml:space="preserve">[</w:t>
      </w:r>
      <w:r>
        <w:rPr>
          <w:rStyle w:val="AttributeTok"/>
        </w:rPr>
        <w:t xml:space="preserve">INVARIANTE C5 VIOLADA</w:t>
      </w:r>
      <w:r>
        <w:rPr>
          <w:rStyle w:val="KeywordTok"/>
        </w:rPr>
        <w:t xml:space="preserve">]:</w:t>
      </w:r>
      <w:r>
        <w:rPr>
          <w:rStyle w:val="AttributeTok"/>
        </w:rPr>
        <w:t xml:space="preserve"> Atribución de Fricción de Entorno a Nodo</w:t>
      </w:r>
      <w:r>
        <w:br/>
      </w:r>
      <w:r>
        <w:rPr>
          <w:rStyle w:val="KeywordTok"/>
        </w:rPr>
        <w:t xml:space="preserve">[</w:t>
      </w:r>
      <w:r>
        <w:rPr>
          <w:rStyle w:val="AttributeTok"/>
        </w:rPr>
        <w:t xml:space="preserve">RESULTADO</w:t>
      </w:r>
      <w:r>
        <w:rPr>
          <w:rStyle w:val="KeywordTok"/>
        </w:rPr>
        <w:t xml:space="preserve">]:</w:t>
      </w:r>
      <w:r>
        <w:rPr>
          <w:rStyle w:val="AttributeTok"/>
        </w:rPr>
        <w:t xml:space="preserve"> Prescripción de Metilfenidato para Ajuste de Geometría</w:t>
      </w:r>
    </w:p>
    <w:p>
      <w:pPr>
        <w:pStyle w:val="FirstParagraph"/>
      </w:pPr>
      <w:r>
        <w:t xml:space="preserve">El infante de especie de primate porta entropía de motor de supervivencia de sabana. El diseño de aula de industria impone retención de cuerpo en silla durante 8 horas. La silla posee entropía de cero. La fricción entre biología de sabana y aula de industria genera fuga de movimiento.</w:t>
      </w:r>
    </w:p>
    <w:p>
      <w:pPr>
        <w:pStyle w:val="BodyText"/>
      </w:pPr>
      <w:r>
        <w:t xml:space="preserve">El regulador de escuela diagnostica Trastorno por Déficit de Atención e Hiperactividad (TDAH). La prescripción de pastilla de metilfenidato reduce la entropía de niño para encaje en geometría de aula. El diagnóstico de TDAH exime a la escuela de la obligación de rediseño de espacio. El niño asume la etiqueta de enfermo de cerebro para protección del formato de fábrica de educación.</w:t>
      </w:r>
    </w:p>
    <w:p>
      <w:r>
        <w:pict>
          <v:rect style="width:0;height:1.5pt" o:hralign="center" o:hrstd="t" o:hr="t"/>
        </w:pict>
      </w:r>
    </w:p>
    <w:bookmarkEnd w:id="269"/>
    <w:bookmarkStart w:id="270" w:name="Xee1305be0daba14e811eb20a694b686f885306d"/>
    <w:p>
      <w:pPr>
        <w:pStyle w:val="Heading2"/>
      </w:pPr>
      <w:r>
        <w:t xml:space="preserve">4. La Función Termodinámica de la Normalidad</w:t>
      </w:r>
    </w:p>
    <w:p>
      <w:pPr>
        <w:pStyle w:val="FirstParagraph"/>
      </w:pPr>
      <w:r>
        <w:t xml:space="preserve">La normalidad no describe estado de individuo. Describe estado de distribución de red, con determinación de:</w:t>
      </w:r>
      <w:r>
        <w:t xml:space="preserve"> </w:t>
      </w:r>
      <w:r>
        <w:t xml:space="preserve">1. Tamaño de muestra.</w:t>
      </w:r>
      <w:r>
        <w:t xml:space="preserve"> </w:t>
      </w:r>
      <w:r>
        <w:t xml:space="preserve">2. Criterios de selección.</w:t>
      </w:r>
      <w:r>
        <w:t xml:space="preserve"> </w:t>
      </w:r>
      <w:r>
        <w:t xml:space="preserve">3. Variable de medición.</w:t>
      </w:r>
      <w:r>
        <w:t xml:space="preserve"> </w:t>
      </w:r>
      <w:r>
        <w:t xml:space="preserve">4. Umbral de frontera.</w:t>
      </w:r>
    </w:p>
    <w:p>
      <w:pPr>
        <w:pStyle w:val="BodyText"/>
      </w:pPr>
      <w:r>
        <w:t xml:space="preserve">El comité de diseño de diagnóstico opera bajo la física estricta de una burocracia de Estado (Axioma de Termodinámica de Burocracia):</w:t>
      </w:r>
      <w:r>
        <w:t xml:space="preserve"> </w:t>
      </w:r>
      <w:r>
        <w:t xml:space="preserve">-</w:t>
      </w:r>
      <w:r>
        <w:t xml:space="preserve"> </w:t>
      </w:r>
      <w:r>
        <w:rPr>
          <w:b/>
          <w:bCs/>
        </w:rPr>
        <w:t xml:space="preserve">Déficit de Variedad (Ashby):</w:t>
      </w:r>
      <w:r>
        <w:t xml:space="preserve"> </w:t>
      </w:r>
      <w:r>
        <w:t xml:space="preserve">El comité carece de la dimensionalidad para modelar el caos del entorno moderno. Para absorber la variedad de síntomas del humano, el regulador expande su tabla de papel a 541 etiquetas.</w:t>
      </w:r>
      <w:r>
        <w:t xml:space="preserve"> </w:t>
      </w:r>
      <w:r>
        <w:t xml:space="preserve">-</w:t>
      </w:r>
      <w:r>
        <w:t xml:space="preserve"> </w:t>
      </w:r>
      <w:r>
        <w:rPr>
          <w:b/>
          <w:bCs/>
        </w:rPr>
        <w:t xml:space="preserve">Asfixia de Energía Libre (Friston):</w:t>
      </w:r>
      <w:r>
        <w:t xml:space="preserve"> </w:t>
      </w:r>
      <w:r>
        <w:t xml:space="preserve">El dolor del individuo es la incapacidad física de minimizar la sorpresa de un entorno hostil (deuda, aislamiento). La burocracia psiquiátrica etiqueta esta fractura termodinámica del entorno como</w:t>
      </w:r>
      <w:r>
        <w:t xml:space="preserve"> </w:t>
      </w:r>
      <w:r>
        <w:t xml:space="preserve">“enfermedad del cerebro”</w:t>
      </w:r>
      <w:r>
        <w:t xml:space="preserve">.</w:t>
      </w:r>
      <w:r>
        <w:t xml:space="preserve"> </w:t>
      </w:r>
      <w:r>
        <w:t xml:space="preserve">-</w:t>
      </w:r>
      <w:r>
        <w:t xml:space="preserve"> </w:t>
      </w:r>
      <w:r>
        <w:rPr>
          <w:b/>
          <w:bCs/>
        </w:rPr>
        <w:t xml:space="preserve">Rotura de Manta de Markov (Varela):</w:t>
      </w:r>
      <w:r>
        <w:t xml:space="preserve"> </w:t>
      </w:r>
      <w:r>
        <w:t xml:space="preserve">La intervención fuerza al individuo a desviar su exergía para asimilar el químico en la barrera biológica celular, eximiendo al entorno de toda obligación de cambio.</w:t>
      </w:r>
    </w:p>
    <w:p>
      <w:pPr>
        <w:pStyle w:val="BodyText"/>
      </w:pPr>
      <w:r>
        <w:t xml:space="preserve">El observador de fijación de umbral carece de neutralidad. En el diseño de DSM-IV, el 56% de miembros de panel poseían vínculo de finanzas con industria de fármacos (Cosgrove et al.,</w:t>
      </w:r>
      <w:r>
        <w:t xml:space="preserve"> </w:t>
      </w:r>
      <w:r>
        <w:rPr>
          <w:i/>
          <w:iCs/>
        </w:rPr>
        <w:t xml:space="preserve">Psychotherapy and Psychosomatics</w:t>
      </w:r>
      <w:r>
        <w:t xml:space="preserve">, 2006). En el DSM-5, el porcentaje de vínculo ascendió al 69% (Cosgrove &amp; Krimsky,</w:t>
      </w:r>
      <w:r>
        <w:t xml:space="preserve"> </w:t>
      </w:r>
      <w:r>
        <w:rPr>
          <w:i/>
          <w:iCs/>
        </w:rPr>
        <w:t xml:space="preserve">PLOS Medicine</w:t>
      </w:r>
      <w:r>
        <w:t xml:space="preserve">, 2012).</w:t>
      </w:r>
    </w:p>
    <w:bookmarkEnd w:id="270"/>
    <w:bookmarkStart w:id="271" w:name="Xeb1fbced29e3f7237d3d0caed2758a7ef7e7b24"/>
    <w:p>
      <w:pPr>
        <w:pStyle w:val="Heading2"/>
      </w:pPr>
      <w:r>
        <w:t xml:space="preserve">5. Sobreajuste de Modelo y Alucinación de Categoría</w:t>
      </w:r>
    </w:p>
    <w:p>
      <w:pPr>
        <w:pStyle w:val="FirstParagraph"/>
      </w:pPr>
      <w:r>
        <w:t xml:space="preserve">En ciencia de datos, el sobreajuste (</w:t>
      </w:r>
      <w:r>
        <w:rPr>
          <w:i/>
          <w:iCs/>
        </w:rPr>
        <w:t xml:space="preserve">overfitting</w:t>
      </w:r>
      <w:r>
        <w:t xml:space="preserve">) ocurre cuando el modelo de clasificación memoriza ruido de fondo en lugar de función de estructura. La inflación de categorías de DSM (de 265 a 541) constituye sobreajuste de red de psiquiatría. El comité clasifica fluctuaciones de biología como patología de intervención.</w:t>
      </w:r>
    </w:p>
    <w:p>
      <w:pPr>
        <w:pStyle w:val="BodyText"/>
      </w:pPr>
      <w:r>
        <w:t xml:space="preserve">El exceso de resolución destruye el modelo de predicción. Si la tristeza por despido de trabajo y el luto por muerte de familiar reciben código de enfermedad de psiquiatría, el concepto de</w:t>
      </w:r>
      <w:r>
        <w:t xml:space="preserve"> </w:t>
      </w:r>
      <w:r>
        <w:t xml:space="preserve">“normalidad”</w:t>
      </w:r>
      <w:r>
        <w:t xml:space="preserve"> </w:t>
      </w:r>
      <w:r>
        <w:t xml:space="preserve">colapsa a cero. Todo nodo de la red posee riesgo de diagnóstico.</w:t>
      </w:r>
    </w:p>
    <w:p>
      <w:r>
        <w:pict>
          <v:rect style="width:0;height:1.5pt" o:hralign="center" o:hrstd="t" o:hr="t"/>
        </w:pict>
      </w:r>
    </w:p>
    <w:bookmarkEnd w:id="271"/>
    <w:bookmarkStart w:id="272" w:name="la-locura-como-señal-no-decodificada"/>
    <w:p>
      <w:pPr>
        <w:pStyle w:val="Heading2"/>
      </w:pPr>
      <w:r>
        <w:t xml:space="preserve">6. La Locura como Señal No Decodificada</w:t>
      </w:r>
    </w:p>
    <w:p>
      <w:pPr>
        <w:pStyle w:val="FirstParagraph"/>
      </w:pPr>
      <w:r>
        <w:t xml:space="preserve">El sistema de control de red asigna etiqueta de</w:t>
      </w:r>
      <w:r>
        <w:t xml:space="preserve"> </w:t>
      </w:r>
      <w:r>
        <w:t xml:space="preserve">“locura”</w:t>
      </w:r>
      <w:r>
        <w:t xml:space="preserve"> </w:t>
      </w:r>
      <w:r>
        <w:t xml:space="preserve">a la señal que el nodo receptor carece de capacidad de decodificación. La locura no es caos. Es incompatibilidad de métricas entre emisor y receptor. Cuando el receptor carece de la matriz de Fisher de compresión de señal, el receptor cataloga la señal como ruido. El receptor no altera su métrica; diagnostica al emisor.</w:t>
      </w:r>
    </w:p>
    <w:p>
      <w:pPr>
        <w:pStyle w:val="BodyText"/>
      </w:pPr>
      <w:r>
        <w:rPr>
          <w:b/>
          <w:bCs/>
        </w:rPr>
        <w:t xml:space="preserve">Bucle de Watzlawick del Diagnóstico:</w:t>
      </w:r>
      <w:r>
        <w:t xml:space="preserve"> </w:t>
      </w:r>
      <w:r>
        <w:t xml:space="preserve">- [Receptor con métrica M1]</w:t>
      </w:r>
      <w:r>
        <w:t xml:space="preserve"> </w:t>
      </w:r>
      <w:r>
        <w:t xml:space="preserve">- [M1 carece de decodificación de señal]</w:t>
      </w:r>
      <w:r>
        <w:t xml:space="preserve"> </w:t>
      </w:r>
      <w:r>
        <w:t xml:space="preserve">- [Sistema cataloga señal de</w:t>
      </w:r>
      <w:r>
        <w:t xml:space="preserve"> </w:t>
      </w:r>
      <w:r>
        <w:t xml:space="preserve">“ruido de patología”</w:t>
      </w:r>
      <w:r>
        <w:t xml:space="preserve">]</w:t>
      </w:r>
      <w:r>
        <w:t xml:space="preserve"> </w:t>
      </w:r>
      <w:r>
        <w:t xml:space="preserve">- [Sistema ejecuta orden de fármaco de reducción de señal]</w:t>
      </w:r>
      <w:r>
        <w:t xml:space="preserve"> </w:t>
      </w:r>
      <w:r>
        <w:t xml:space="preserve">- [El fármaco suprime amplitud de señal]</w:t>
      </w:r>
      <w:r>
        <w:t xml:space="preserve"> </w:t>
      </w:r>
      <w:r>
        <w:t xml:space="preserve">- [Sistema cierra bucle con validación de acierto de diagnóstico]</w:t>
      </w:r>
    </w:p>
    <w:p>
      <w:r>
        <w:pict>
          <v:rect style="width:0;height:1.5pt" o:hralign="center" o:hrstd="t" o:hr="t"/>
        </w:pict>
      </w:r>
    </w:p>
    <w:bookmarkEnd w:id="272"/>
    <w:bookmarkStart w:id="273" w:name="audio-anclaje-27"/>
    <w:p>
      <w:pPr>
        <w:pStyle w:val="Heading2"/>
      </w:pPr>
      <w:r>
        <w:t xml:space="preserve">7. Audio-Anclaje</w:t>
      </w:r>
    </w:p>
    <w:p>
      <w:pPr>
        <w:pStyle w:val="Compact"/>
        <w:numPr>
          <w:ilvl w:val="0"/>
          <w:numId w:val="1094"/>
        </w:numPr>
      </w:pPr>
      <w:r>
        <w:rPr>
          <w:b/>
          <w:bCs/>
        </w:rPr>
        <w:t xml:space="preserve">The Clash</w:t>
      </w:r>
      <w:r>
        <w:t xml:space="preserve"> </w:t>
      </w:r>
      <w:r>
        <w:t xml:space="preserve">—</w:t>
      </w:r>
      <w:r>
        <w:t xml:space="preserve"> </w:t>
      </w:r>
      <w:r>
        <w:rPr>
          <w:i/>
          <w:iCs/>
        </w:rPr>
        <w:t xml:space="preserve">“Lost in the Supermarket”</w:t>
      </w:r>
      <w:r>
        <w:t xml:space="preserve"> </w:t>
      </w:r>
      <w:r>
        <w:t xml:space="preserve">(</w:t>
      </w:r>
      <w:r>
        <w:rPr>
          <w:i/>
          <w:iCs/>
        </w:rPr>
        <w:t xml:space="preserve">London Calling</w:t>
      </w:r>
      <w:r>
        <w:t xml:space="preserve">, 1979). La señal de error de sistema de referencia y el diagnóstico a escala de masas como instrumento de estabilización de rebaño.</w:t>
      </w:r>
    </w:p>
    <w:p>
      <w:pPr>
        <w:pStyle w:val="Compact"/>
        <w:numPr>
          <w:ilvl w:val="0"/>
          <w:numId w:val="1094"/>
        </w:numPr>
      </w:pPr>
      <w:r>
        <w:rPr>
          <w:b/>
          <w:bCs/>
        </w:rPr>
        <w:t xml:space="preserve">Suicidal Tendencies</w:t>
      </w:r>
      <w:r>
        <w:t xml:space="preserve"> </w:t>
      </w:r>
      <w:r>
        <w:t xml:space="preserve">—</w:t>
      </w:r>
      <w:r>
        <w:t xml:space="preserve"> </w:t>
      </w:r>
      <w:r>
        <w:rPr>
          <w:i/>
          <w:iCs/>
        </w:rPr>
        <w:t xml:space="preserve">“Institutionalized”</w:t>
      </w:r>
      <w:r>
        <w:t xml:space="preserve"> </w:t>
      </w:r>
      <w:r>
        <w:t xml:space="preserve">(</w:t>
      </w:r>
      <w:r>
        <w:rPr>
          <w:i/>
          <w:iCs/>
        </w:rPr>
        <w:t xml:space="preserve">Suicidal Tendencies</w:t>
      </w:r>
      <w:r>
        <w:t xml:space="preserve">, 1983). El choque de termodinámica entre el joven y el observador adulto de psiquiatría, donde el encaje de entorno se confunde con patología de mente.</w:t>
      </w:r>
    </w:p>
    <w:p>
      <w:pPr>
        <w:pStyle w:val="Compact"/>
        <w:numPr>
          <w:ilvl w:val="0"/>
          <w:numId w:val="1094"/>
        </w:numPr>
      </w:pPr>
      <w:r>
        <w:rPr>
          <w:b/>
          <w:bCs/>
        </w:rPr>
        <w:t xml:space="preserve">Radiohead</w:t>
      </w:r>
      <w:r>
        <w:t xml:space="preserve"> </w:t>
      </w:r>
      <w:r>
        <w:t xml:space="preserve">—</w:t>
      </w:r>
      <w:r>
        <w:t xml:space="preserve"> </w:t>
      </w:r>
      <w:r>
        <w:rPr>
          <w:i/>
          <w:iCs/>
        </w:rPr>
        <w:t xml:space="preserve">“Creep”</w:t>
      </w:r>
      <w:r>
        <w:t xml:space="preserve"> </w:t>
      </w:r>
      <w:r>
        <w:t xml:space="preserve">(</w:t>
      </w:r>
      <w:r>
        <w:rPr>
          <w:i/>
          <w:iCs/>
        </w:rPr>
        <w:t xml:space="preserve">Pablo Honey</w:t>
      </w:r>
      <w:r>
        <w:t xml:space="preserve">, 1993). La asunción de caída en la cola de distribución de campana de Gauss, con percepción de anomalía de biología ante la distancia a la media de estadística.</w:t>
      </w:r>
    </w:p>
    <w:p>
      <w:pPr>
        <w:pStyle w:val="Compact"/>
        <w:numPr>
          <w:ilvl w:val="0"/>
          <w:numId w:val="1094"/>
        </w:numPr>
      </w:pPr>
      <w:r>
        <w:rPr>
          <w:b/>
          <w:bCs/>
        </w:rPr>
        <w:t xml:space="preserve">Green Day</w:t>
      </w:r>
      <w:r>
        <w:t xml:space="preserve"> </w:t>
      </w:r>
      <w:r>
        <w:t xml:space="preserve">—</w:t>
      </w:r>
      <w:r>
        <w:t xml:space="preserve"> </w:t>
      </w:r>
      <w:r>
        <w:rPr>
          <w:i/>
          <w:iCs/>
        </w:rPr>
        <w:t xml:space="preserve">“Basket Case”</w:t>
      </w:r>
      <w:r>
        <w:t xml:space="preserve"> </w:t>
      </w:r>
      <w:r>
        <w:t xml:space="preserve">(</w:t>
      </w:r>
      <w:r>
        <w:rPr>
          <w:i/>
          <w:iCs/>
        </w:rPr>
        <w:t xml:space="preserve">Dookie</w:t>
      </w:r>
      <w:r>
        <w:t xml:space="preserve">, 1994). La interiorización de diagnóstico como defecto de arquitectura de individuo.</w:t>
      </w:r>
    </w:p>
    <w:p>
      <w:r>
        <w:pict>
          <v:rect style="width:0;height:1.5pt" o:hralign="center" o:hrstd="t" o:hr="t"/>
        </w:pict>
      </w:r>
    </w:p>
    <w:bookmarkEnd w:id="273"/>
    <w:bookmarkEnd w:id="274"/>
    <w:bookmarkStart w:id="281" w:name="Xc8ef06c4991aa7354cd05be2ecccb0cc97f4e88"/>
    <w:p>
      <w:pPr>
        <w:pStyle w:val="Heading1"/>
      </w:pPr>
      <w:r>
        <w:t xml:space="preserve">CAPÍTULO IX: ANERGÍA (EL ESFUERZO DE MÚSCULO CONTRA EL VECTOR DE TRABAJO)</w:t>
      </w:r>
    </w:p>
    <w:bookmarkStart w:id="275" w:name="X51c5dcc4fc086f7c3c3014f730cd0bddbfd7fcb"/>
    <w:p>
      <w:pPr>
        <w:pStyle w:val="Heading2"/>
      </w:pPr>
      <w:r>
        <w:t xml:space="preserve">Axioma de Rendimiento — Disipación Térmica, Métrica de Sacrificio y la Fuga de Exergía</w:t>
      </w:r>
    </w:p>
    <w:p>
      <w:pPr>
        <w:pStyle w:val="SourceCode"/>
      </w:pPr>
      <w:r>
        <w:rPr>
          <w:rStyle w:val="VerbatimChar"/>
        </w:rPr>
        <w:t xml:space="preserve">Audio-Anclaje: Nine Inch Nails — "Every Day Is Exactly The Same" (2005) / Kraftwerk — "Metropolis" (1978)</w:t>
      </w:r>
      <w:r>
        <w:br/>
      </w:r>
      <w:r>
        <w:rPr>
          <w:rStyle w:val="VerbatimChar"/>
        </w:rPr>
        <w:t xml:space="preserve">Cota Fisiológica: B = U + P_0 · V - T_0 · S - ∑ μ_i · N_i (Exergía Útil)</w:t>
      </w:r>
    </w:p>
    <w:p>
      <w:r>
        <w:pict>
          <v:rect style="width:0;height:1.5pt" o:hralign="center" o:hrstd="t" o:hr="t"/>
        </w:pict>
      </w:r>
    </w:p>
    <w:bookmarkEnd w:id="275"/>
    <w:bookmarkStart w:id="276" w:name="X72034634de9d944ab41dc5864caf379f86dd904"/>
    <w:p>
      <w:pPr>
        <w:pStyle w:val="Heading2"/>
      </w:pPr>
      <w:r>
        <w:t xml:space="preserve">1. La Termodinámica de la Anergía: Calor Disipado vs Vector Útil</w:t>
      </w:r>
    </w:p>
    <w:p>
      <w:pPr>
        <w:pStyle w:val="FirstParagraph"/>
      </w:pPr>
      <w:r>
        <w:t xml:space="preserve">La contabilidad de la industria y la burocracia equipara la combustión de glucosa con la inyección de exergía. Esta equiparación constituye un error de física.</w:t>
      </w:r>
    </w:p>
    <w:p>
      <w:pPr>
        <w:pStyle w:val="BodyText"/>
      </w:pPr>
      <w:r>
        <w:t xml:space="preserve">En un sistema termodinámico cerrado a temperatura ambiente T_0, la energía total E se divide en dos componentes:</w:t>
      </w:r>
    </w:p>
    <w:p>
      <w:pPr>
        <w:pStyle w:val="BodyText"/>
      </w:pPr>
      <w:r>
        <w:t xml:space="preserve">E = Exergía (B) + Anergía (A_n)</w:t>
      </w:r>
    </w:p>
    <w:p>
      <w:pPr>
        <w:pStyle w:val="BodyText"/>
      </w:pPr>
      <w:r>
        <w:t xml:space="preserve">La exergía representa la fracción de energía con capacidad de ejecutar trabajo mecánico o reducción entrópica sobre el entorno (contracción de volumen en el espacio de fases div(F) &lt; 0). La anergía representa la porción de calor residual disipada en el foco térmico (T_0 · S) que carece de potencial de transformación.</w:t>
      </w:r>
    </w:p>
    <w:p>
      <w:pPr>
        <w:pStyle w:val="SourceCode"/>
      </w:pPr>
      <w:r>
        <w:rPr>
          <w:rStyle w:val="VerbatimChar"/>
        </w:rPr>
        <w:t xml:space="preserve">[ ENERGÍA TOTAL INYECTADA ]</w:t>
      </w:r>
      <w:r>
        <w:br/>
      </w:r>
      <w:r>
        <w:rPr>
          <w:rStyle w:val="VerbatimChar"/>
        </w:rPr>
        <w:t xml:space="preserve">         │</w:t>
      </w:r>
      <w:r>
        <w:br/>
      </w:r>
      <w:r>
        <w:rPr>
          <w:rStyle w:val="VerbatimChar"/>
        </w:rPr>
        <w:t xml:space="preserve">         ├───► [ EXERGÍA (B) ]: Trabajo Útil / Mutación Topológica / Reducción Entrópica (div(F) &lt; 0)</w:t>
      </w:r>
      <w:r>
        <w:br/>
      </w:r>
      <w:r>
        <w:rPr>
          <w:rStyle w:val="VerbatimChar"/>
        </w:rPr>
        <w:t xml:space="preserve">         │</w:t>
      </w:r>
      <w:r>
        <w:br/>
      </w:r>
      <w:r>
        <w:rPr>
          <w:rStyle w:val="VerbatimChar"/>
        </w:rPr>
        <w:t xml:space="preserve">         └───► [ ANERGÍA (A_n) ]: Calor Disipado / Fricción Muscular / Métrica de Sudor (T_0 · S)</w:t>
      </w:r>
    </w:p>
    <w:p>
      <w:pPr>
        <w:pStyle w:val="FirstParagraph"/>
      </w:pPr>
      <w:r>
        <w:t xml:space="preserve">El vigilante de fábrica y el gestor de nómina miden el consumo metabólico del operador: el sudor de la frente, las horas de permanencia en la silla, la fatiga de fibra muscular y la queja del nodo. El sistema premia el desgaste estructural.</w:t>
      </w:r>
    </w:p>
    <w:p>
      <w:pPr>
        <w:pStyle w:val="BodyText"/>
      </w:pPr>
      <w:r>
        <w:t xml:space="preserve">La termodinámica no asigna valor a la disipación de calor. La dinámica sin vector de avance es vibración estocástica. La vibración agota el ciclo de trifosfato de adenosina (ATP), aumenta la temperatura del perímetro celular y deja el atractor del entorno intacto. La hoja de corte secciona el tallo sin resistencia térmica; el operario sin técnica dobla el acero con las manos y muere de agotamiento ante la barra inamovible.</w:t>
      </w:r>
    </w:p>
    <w:p>
      <w:r>
        <w:pict>
          <v:rect style="width:0;height:1.5pt" o:hralign="center" o:hrstd="t" o:hr="t"/>
        </w:pict>
      </w:r>
    </w:p>
    <w:bookmarkEnd w:id="276"/>
    <w:bookmarkStart w:id="277" w:name="hechos-probados-6"/>
    <w:p>
      <w:pPr>
        <w:pStyle w:val="Heading2"/>
      </w:pPr>
      <w:r>
        <w:t xml:space="preserve">2. Hechos Probados</w:t>
      </w:r>
    </w:p>
    <w:p>
      <w:pPr>
        <w:pStyle w:val="FirstParagraph"/>
      </w:pPr>
      <w:r>
        <w:t xml:space="preserve"> </w:t>
      </w:r>
      <w:r>
        <w:t xml:space="preserve">### Caso 9.1: La Expedición Ártica de Franklin y el Arrastre de Plata (1845-1848)</w:t>
      </w:r>
      <w:r>
        <w:t xml:space="preserve"> </w:t>
      </w:r>
      <w:r>
        <w:t xml:space="preserve">Sir John Franklin partió de Inglaterra en mayo de 1845 al mando de dos buques de guerra, el HMS</w:t>
      </w:r>
      <w:r>
        <w:t xml:space="preserve"> </w:t>
      </w:r>
      <w:r>
        <w:rPr>
          <w:i/>
          <w:iCs/>
        </w:rPr>
        <w:t xml:space="preserve">Erebus</w:t>
      </w:r>
      <w:r>
        <w:t xml:space="preserve"> </w:t>
      </w:r>
      <w:r>
        <w:t xml:space="preserve">y el HMS</w:t>
      </w:r>
      <w:r>
        <w:t xml:space="preserve"> </w:t>
      </w:r>
      <w:r>
        <w:rPr>
          <w:i/>
          <w:iCs/>
        </w:rPr>
        <w:t xml:space="preserve">Terror</w:t>
      </w:r>
      <w:r>
        <w:t xml:space="preserve">, con 129 oficiales y marineros, para completar el Paso del Noroeste. En septiembre de 1846 los dos barcos quedaron atrapados en el hielo marino al norte de King William Island. Franklin murió en junio de 1847.</w:t>
      </w:r>
    </w:p>
    <w:p>
      <w:pPr>
        <w:pStyle w:val="BodyText"/>
      </w:pPr>
      <w:r>
        <w:t xml:space="preserve">En abril de 1848, tras 19 meses de inmovilidad en el hielo y la muerte de 24 hombres, los 105 supervivientes bajo el mando del capitán Francis Crozier abandonaron los buques e iniciaron una marcha a pie sobre el hielo hacia el río Back.</w:t>
      </w:r>
    </w:p>
    <w:p>
      <w:pPr>
        <w:pStyle w:val="BodyText"/>
      </w:pPr>
      <w:r>
        <w:t xml:space="preserve">Los cuadernos de bitácora y los restos recuperados por las expediciones de búsqueda (Hobson en 1859, Schwatka en 1879) demostraron el vector de esfuerzo: los marineros cargaron botes de madera de 28 pies sobre trineos con un peso individual de 600 kilogramos. El contenido de los trineos incluía juegos de vajilla de plata con escudos grabados, cubiertos de alpaca, botas de repuesto con clavos de hierro, peines de marfil, libros de culto religioso y barras de jabón perfumado.</w:t>
      </w:r>
    </w:p>
    <w:p>
      <w:pPr>
        <w:pStyle w:val="BodyText"/>
      </w:pPr>
      <w:r>
        <w:t xml:space="preserve">Los hombres consumieron miles de kilocalorías de energía metabólica arrastrando masa inerte a través del hielo mientras sus cuerpos sufrían escorbuto, saturnismo crónico (intoxicación por el plomo de las soldaduras de las latas de conserva de Stephan Goldner) e inanición. Los 105 hombres murieron a lo largo de la costa de King William Island; los últimos cadáveres aparecieron a escasa distancia de los trineos cargados de plata.</w:t>
      </w:r>
    </w:p>
    <w:p>
      <w:pPr>
        <w:pStyle w:val="Compact"/>
        <w:numPr>
          <w:ilvl w:val="0"/>
          <w:numId w:val="1095"/>
        </w:numPr>
      </w:pPr>
      <w:r>
        <w:t xml:space="preserve">Fricción de músculo desplegada: máxima en los registros de la marina británica.</w:t>
      </w:r>
    </w:p>
    <w:p>
      <w:pPr>
        <w:pStyle w:val="Compact"/>
        <w:numPr>
          <w:ilvl w:val="0"/>
          <w:numId w:val="1095"/>
        </w:numPr>
      </w:pPr>
      <w:r>
        <w:t xml:space="preserve">Trabajo termodinámico de supervivencia alcanzado: cero. La tripulación disipó la vida arrastrando el inventario de estatus del mapa victoriano.</w:t>
      </w:r>
    </w:p>
    <w:p>
      <w:pPr>
        <w:pStyle w:val="Compact"/>
        <w:numPr>
          <w:ilvl w:val="0"/>
          <w:numId w:val="1095"/>
        </w:numPr>
      </w:pPr>
      <w:r>
        <w:t xml:space="preserve">Fuentes primarias: Cyriax, R. J. (1939).</w:t>
      </w:r>
      <w:r>
        <w:t xml:space="preserve"> </w:t>
      </w:r>
      <w:r>
        <w:rPr>
          <w:i/>
          <w:iCs/>
        </w:rPr>
        <w:t xml:space="preserve">Sir John Franklin’s Last Arctic Expedition</w:t>
      </w:r>
      <w:r>
        <w:t xml:space="preserve">, Methuen; Keenleyside, A. et al. (1997).</w:t>
      </w:r>
      <w:r>
        <w:t xml:space="preserve"> </w:t>
      </w:r>
      <w:r>
        <w:t xml:space="preserve">“The Last Mile of Franklin’s Last Expedition”</w:t>
      </w:r>
      <w:r>
        <w:t xml:space="preserve">,</w:t>
      </w:r>
      <w:r>
        <w:t xml:space="preserve"> </w:t>
      </w:r>
      <w:r>
        <w:rPr>
          <w:i/>
          <w:iCs/>
        </w:rPr>
        <w:t xml:space="preserve">Arctic</w:t>
      </w:r>
      <w:r>
        <w:t xml:space="preserve">, 50(1), 36-46. DOI: 10.14430/arctic1089; Beattie, O. &amp; Geiger, J. (1987).</w:t>
      </w:r>
      <w:r>
        <w:t xml:space="preserve"> </w:t>
      </w:r>
      <w:r>
        <w:rPr>
          <w:i/>
          <w:iCs/>
        </w:rPr>
        <w:t xml:space="preserve">Frozen in Time: The Fate of the Franklin Expedition</w:t>
      </w:r>
      <w:r>
        <w:t xml:space="preserve">, E. P. Dutton.</w:t>
      </w:r>
    </w:p>
    <w:p>
      <w:pPr>
        <w:pStyle w:val="FirstParagraph"/>
      </w:pPr>
      <w:r>
        <w:t xml:space="preserve"> </w:t>
      </w:r>
      <w:r>
        <w:t xml:space="preserve">### Caso 9.2: El Canal de Panamá Francés y Ferdinand de Lesseps (1881-1889)</w:t>
      </w:r>
      <w:r>
        <w:t xml:space="preserve"> </w:t>
      </w:r>
      <w:r>
        <w:t xml:space="preserve">Ferdinand de Lesseps fundó en 1880 la</w:t>
      </w:r>
      <w:r>
        <w:t xml:space="preserve"> </w:t>
      </w:r>
      <w:r>
        <w:rPr>
          <w:i/>
          <w:iCs/>
        </w:rPr>
        <w:t xml:space="preserve">Compagnie Universelle du Canal Interocéanique de Panama</w:t>
      </w:r>
      <w:r>
        <w:t xml:space="preserve"> </w:t>
      </w:r>
      <w:r>
        <w:t xml:space="preserve">para excavar un canal entre el Atlántico y el Pacífico. Lesseps impuso el diseño de un canal a nivel del mar (sin esclusas), emulando su éxito previo en el Canal de Suez (1869).</w:t>
      </w:r>
    </w:p>
    <w:p>
      <w:pPr>
        <w:pStyle w:val="BodyText"/>
      </w:pPr>
      <w:r>
        <w:t xml:space="preserve">El ingeniero Adolphe Godin de Lépinay presentó en el Congreso Internacional de París (1879) la solución técnica viable: una presa en el río Chagres para crear un lago artificial y un sistema de esclusas en las bocas del cauce para salvar la cordillera. Lesseps rechazó el plano de esclusas: el mapa de Suez (arena plana, desierto seco, nivel cero) dictaba la política de la empresa.</w:t>
      </w:r>
    </w:p>
    <w:p>
      <w:pPr>
        <w:pStyle w:val="BodyText"/>
      </w:pPr>
      <w:r>
        <w:t xml:space="preserve">El territorio de Panamá desmintió el mapa: selva tropical con precipitaciones de 3.000 mm anuales, corrimientos continuos de tierra en el corte Culebra y presencia de mosquitos vectores de fiebre amarilla (</w:t>
      </w:r>
      <w:r>
        <w:rPr>
          <w:i/>
          <w:iCs/>
        </w:rPr>
        <w:t xml:space="preserve">Aedes aegypti</w:t>
      </w:r>
      <w:r>
        <w:t xml:space="preserve">) y malaria (</w:t>
      </w:r>
      <w:r>
        <w:rPr>
          <w:i/>
          <w:iCs/>
        </w:rPr>
        <w:t xml:space="preserve">Anopheles</w:t>
      </w:r>
      <w:r>
        <w:t xml:space="preserve">).</w:t>
      </w:r>
    </w:p>
    <w:p>
      <w:pPr>
        <w:pStyle w:val="BodyText"/>
      </w:pPr>
      <w:r>
        <w:t xml:space="preserve">La compañía movilizó miles de excavadoras de vapor y 20.000 trabajadores de las Antillas y Europa. La excavación de tierra alcanzó 59 millones de metros cúbicos; las lluvias de estación y los deslizamientos rellenaban las zanjas durante la noche.</w:t>
      </w:r>
    </w:p>
    <w:p>
      <w:pPr>
        <w:pStyle w:val="BodyText"/>
      </w:pPr>
      <w:r>
        <w:t xml:space="preserve">Entre 1881 y 1889 murieron 22.000 trabajadores en las obras (mortalidad del hospital de Ancón superior al 70% en pacientes de fiebre amarilla). La corporación gastó</w:t>
      </w:r>
      <w:r>
        <w:t xml:space="preserve"> </w:t>
      </w:r>
      <w:r>
        <w:rPr>
          <w:rStyle w:val="VerbatimChar"/>
        </w:rPr>
        <w:t xml:space="preserve">$287</w:t>
      </w:r>
      <w:r>
        <w:t xml:space="preserve"> </w:t>
      </w:r>
      <w:r>
        <w:t xml:space="preserve">millones de dólares (</w:t>
      </w:r>
      <w:r>
        <w:rPr>
          <w:rStyle w:val="VerbatimChar"/>
        </w:rPr>
        <w:t xml:space="preserve">1.435</w:t>
      </w:r>
      <w:r>
        <w:t xml:space="preserve"> </w:t>
      </w:r>
      <w:r>
        <w:t xml:space="preserve">millones de francos), dilapidando los ahorros de 800.000 suscriptores franceses. La empresa declaró la quiebra en febrero de 1889 ante el Tribunal de Comercio del Sena.</w:t>
      </w:r>
    </w:p>
    <w:p>
      <w:pPr>
        <w:pStyle w:val="BodyText"/>
      </w:pPr>
      <w:r>
        <w:t xml:space="preserve">En 1893, el Tribunal de Apelación de París condenó a Ferdinand de Lesseps y a su hijo Charles por fraude y malversación de fondos. El gobierno de Estados Unidos retomó la obra en 1904, adoptó el plano de esclusas de Lépinay y saneó los focos de mosquitos, completando el canal en 1914.</w:t>
      </w:r>
    </w:p>
    <w:p>
      <w:pPr>
        <w:pStyle w:val="Compact"/>
        <w:numPr>
          <w:ilvl w:val="0"/>
          <w:numId w:val="1096"/>
        </w:numPr>
      </w:pPr>
      <w:r>
        <w:t xml:space="preserve">Anergía: Ocho años de quema de carbón, rotura de maquinaria y pérdida de 22.000 vidas humanas insistiendo en cavar una zanja plana contra la geología del istmo.</w:t>
      </w:r>
    </w:p>
    <w:p>
      <w:pPr>
        <w:pStyle w:val="Compact"/>
        <w:numPr>
          <w:ilvl w:val="0"/>
          <w:numId w:val="1096"/>
        </w:numPr>
      </w:pPr>
      <w:r>
        <w:t xml:space="preserve">Fuentes primarias: McCullough, D. (1977).</w:t>
      </w:r>
      <w:r>
        <w:t xml:space="preserve"> </w:t>
      </w:r>
      <w:r>
        <w:rPr>
          <w:i/>
          <w:iCs/>
        </w:rPr>
        <w:t xml:space="preserve">The Path Between the Seas: The Creation of the Panama Canal, 1870-1914</w:t>
      </w:r>
      <w:r>
        <w:t xml:space="preserve">, Simon &amp; Schuster; Cour d’appel de Paris, Sentencia del 9 de febrero de 1893 (Affaire du Panama); Godin de Lépinay, A. (1879).</w:t>
      </w:r>
      <w:r>
        <w:t xml:space="preserve"> </w:t>
      </w:r>
      <w:r>
        <w:rPr>
          <w:i/>
          <w:iCs/>
        </w:rPr>
        <w:t xml:space="preserve">Compte rendu des séances du Congrès International d’Études du Canal Interocéanique</w:t>
      </w:r>
      <w:r>
        <w:t xml:space="preserve">, Paris.</w:t>
      </w:r>
    </w:p>
    <w:p>
      <w:pPr>
        <w:pStyle w:val="FirstParagraph"/>
      </w:pPr>
      <w:r>
        <w:t xml:space="preserve"> </w:t>
      </w:r>
      <w:r>
        <w:t xml:space="preserve">### Caso 9.3: La Métrica de Líneas de Código de IBM y la Ley de Brooks (1964-1975)</w:t>
      </w:r>
      <w:r>
        <w:t xml:space="preserve"> </w:t>
      </w:r>
      <w:r>
        <w:t xml:space="preserve">International Business Machines (IBM) desarrolló el sistema operativo OS/360 entre 1964 y 1966 para unificar la gama de computadores System/360. El proyecto requirió 5.000 hombres-año de desarrollo y absorbió un presupuesto de</w:t>
      </w:r>
      <w:r>
        <w:t xml:space="preserve"> </w:t>
      </w:r>
      <w:r>
        <w:rPr>
          <w:rStyle w:val="VerbatimChar"/>
        </w:rPr>
        <w:t xml:space="preserve">$500M</w:t>
      </w:r>
      <w:r>
        <w:t xml:space="preserve">, convirtiéndose en el proyecto de software más costoso de la historia industrial hasta esa fecha.</w:t>
      </w:r>
    </w:p>
    <w:p>
      <w:pPr>
        <w:pStyle w:val="BodyText"/>
      </w:pPr>
      <w:r>
        <w:t xml:space="preserve">La gerencia de IBM evaluaba la productividad de los equipos de ingeniería mediante la métrica de líneas de código fuente entregadas por jornada (LOC,</w:t>
      </w:r>
      <w:r>
        <w:t xml:space="preserve"> </w:t>
      </w:r>
      <w:r>
        <w:rPr>
          <w:i/>
          <w:iCs/>
        </w:rPr>
        <w:t xml:space="preserve">Lines of Code</w:t>
      </w:r>
      <w:r>
        <w:t xml:space="preserve">). Los directores asignaban primas salariales y promociones de rango en función del volumen de texto escrito.</w:t>
      </w:r>
    </w:p>
    <w:p>
      <w:pPr>
        <w:pStyle w:val="BodyText"/>
      </w:pPr>
      <w:r>
        <w:t xml:space="preserve">Los programadores respondieron al esquema de incentivos: inflaron los módulos de ensamblador con bifurcaciones redundantes, saltos de registro artificiales y duplicación de rutinas. El código creció en masa de bytes sin incremento en la variedad de operaciones.</w:t>
      </w:r>
    </w:p>
    <w:p>
      <w:pPr>
        <w:pStyle w:val="BodyText"/>
      </w:pPr>
      <w:r>
        <w:t xml:space="preserve">El incremento de volumen multiplicó la tasa de errores de integración. En 1965, ante el retraso de entrega, la dirección inyectó cientos de programadores adicionales en el equipo central.</w:t>
      </w:r>
    </w:p>
    <w:p>
      <w:pPr>
        <w:pStyle w:val="BodyText"/>
      </w:pPr>
      <w:r>
        <w:t xml:space="preserve">El director del proyecto, Fred Brooks, documentó el colapso: la incorporación de personal a un proyecto de software con retraso aumenta el retraso. La razón es matemática: el número de canales de comunicación entre N ingenieros escala de forma combinatoria:</w:t>
      </w:r>
    </w:p>
    <w:p>
      <w:pPr>
        <w:pStyle w:val="BodyText"/>
      </w:pPr>
      <w:r>
        <w:t xml:space="preserve">Canales = N · (N - 1) / 2</w:t>
      </w:r>
    </w:p>
    <w:p>
      <w:pPr>
        <w:pStyle w:val="BodyText"/>
      </w:pPr>
      <w:r>
        <w:t xml:space="preserve">A medida que N crece, el tiempo de cada ingeniero se consume en reuniones de coordinación y lectura de especificaciones ajenas, reduciendo la cuota de trabajo de programación efectiva a cero. El sistema alcanzó el punto de anergía total: cientos de programadores tecleando sin descanso mientras la fecha de entrega retrocedía en el calendario.</w:t>
      </w:r>
    </w:p>
    <w:p>
      <w:pPr>
        <w:pStyle w:val="Compact"/>
        <w:numPr>
          <w:ilvl w:val="0"/>
          <w:numId w:val="1097"/>
        </w:numPr>
      </w:pPr>
      <w:r>
        <w:t xml:space="preserve">Fuentes primarias: Brooks, F. P. (1975).</w:t>
      </w:r>
      <w:r>
        <w:t xml:space="preserve"> </w:t>
      </w:r>
      <w:r>
        <w:rPr>
          <w:i/>
          <w:iCs/>
        </w:rPr>
        <w:t xml:space="preserve">The Mythical Man-Month: Essays on Software Engineering</w:t>
      </w:r>
      <w:r>
        <w:t xml:space="preserve">, Addison-Wesley; Campbell-Kelly, M. (2003).</w:t>
      </w:r>
      <w:r>
        <w:t xml:space="preserve"> </w:t>
      </w:r>
      <w:r>
        <w:rPr>
          <w:i/>
          <w:iCs/>
        </w:rPr>
        <w:t xml:space="preserve">From Airline Reservations to Sonic the Hedgehog: A History of the Software Industry</w:t>
      </w:r>
      <w:r>
        <w:t xml:space="preserve">, MIT Press.</w:t>
      </w:r>
    </w:p>
    <w:p>
      <w:pPr>
        <w:pStyle w:val="FirstParagraph"/>
      </w:pPr>
      <w:r>
        <w:t xml:space="preserve"> </w:t>
      </w:r>
      <w:r>
        <w:t xml:space="preserve">### Caso 9.4: El Presentismo Industrial y la Muerte por Fatiga (Karoshi, 1987-2024)</w:t>
      </w:r>
      <w:r>
        <w:t xml:space="preserve"> </w:t>
      </w:r>
      <w:r>
        <w:t xml:space="preserve">El Ministerio de Salud, Trabajo y Bienestar de Japón (</w:t>
      </w:r>
      <w:r>
        <w:rPr>
          <w:i/>
          <w:iCs/>
        </w:rPr>
        <w:t xml:space="preserve">MHLW</w:t>
      </w:r>
      <w:r>
        <w:t xml:space="preserve">) reconoció en 1987 la categoría médico-legal de</w:t>
      </w:r>
      <w:r>
        <w:t xml:space="preserve"> </w:t>
      </w:r>
      <w:r>
        <w:rPr>
          <w:i/>
          <w:iCs/>
        </w:rPr>
        <w:t xml:space="preserve">Karoshi</w:t>
      </w:r>
      <w:r>
        <w:t xml:space="preserve"> </w:t>
      </w:r>
      <w:r>
        <w:t xml:space="preserve">(muerte súbita por accidente cerebrovascular o isquemia miocárdica debida a sobrecarga de trabajo).</w:t>
      </w:r>
    </w:p>
    <w:p>
      <w:pPr>
        <w:pStyle w:val="BodyText"/>
      </w:pPr>
      <w:r>
        <w:t xml:space="preserve">La estructura de las corporaciones niponas fijó como norma de rango el</w:t>
      </w:r>
      <w:r>
        <w:t xml:space="preserve"> </w:t>
      </w:r>
      <w:r>
        <w:t xml:space="preserve">“presentismo”</w:t>
      </w:r>
      <w:r>
        <w:t xml:space="preserve">: la permanencia del asalariado en el puesto de trabajo físico hasta que el superior jerárquico abandona la oficina, con independencia de la existencia de tareas productivas.</w:t>
      </w:r>
    </w:p>
    <w:p>
      <w:pPr>
        <w:pStyle w:val="BodyText"/>
      </w:pPr>
      <w:r>
        <w:t xml:space="preserve">El trabajador ejecuta simulación de atención ante el monitor durante 12 a 16 horas diarias, prolongando la jornada mediante comidas obligatorias de departamento (</w:t>
      </w:r>
      <w:r>
        <w:rPr>
          <w:i/>
          <w:iCs/>
        </w:rPr>
        <w:t xml:space="preserve">nomikai</w:t>
      </w:r>
      <w:r>
        <w:t xml:space="preserve">) y durmiendo cuatro horas por noche en el trayecto de metro.</w:t>
      </w:r>
    </w:p>
    <w:p>
      <w:pPr>
        <w:pStyle w:val="BodyText"/>
      </w:pPr>
      <w:r>
        <w:t xml:space="preserve">En 2015, Matsuri Takahashi, empleada de 24 años de la agencia de publicidad Dentsu, se quitó la vida tras registrar 105 horas extraordinarias en un mes. La inspección de trabajo de Tokio (</w:t>
      </w:r>
      <w:r>
        <w:rPr>
          <w:i/>
          <w:iCs/>
        </w:rPr>
        <w:t xml:space="preserve">Roudou Kijun Kantokusho</w:t>
      </w:r>
      <w:r>
        <w:t xml:space="preserve">) declaró la muerte como caso oficial de Karoshi en 2016. El presidente de Dentsu, Tadashi Ishii, presentó su dimisión en diciembre de 2016.</w:t>
      </w:r>
    </w:p>
    <w:p>
      <w:pPr>
        <w:pStyle w:val="BodyText"/>
      </w:pPr>
      <w:r>
        <w:t xml:space="preserve">En el informe del año fiscal 2023, el MHLW reportó 1.023 reclamaciones de compensación laboral por patologías cerebrovasculares y cardíacas derivadas de sobrecarga horaria, con 216 resoluciones favorables de indemnización por muerte o incapacidad absoluta.</w:t>
      </w:r>
    </w:p>
    <w:p>
      <w:pPr>
        <w:pStyle w:val="BodyText"/>
      </w:pPr>
      <w:r>
        <w:t xml:space="preserve">El nodo biológico entrega la integridad de sus arterias y la reserva de su sistema inmunológico a cambio de la marca de presencia en el reloj de fichaje. El sistema social quema el cuerpo del individuo sin extraer trabajo de innovación: la fábrica consume vidas humanas para mantener la ficción de disciplina del grupo.</w:t>
      </w:r>
    </w:p>
    <w:p>
      <w:pPr>
        <w:pStyle w:val="Compact"/>
        <w:numPr>
          <w:ilvl w:val="0"/>
          <w:numId w:val="1098"/>
        </w:numPr>
      </w:pPr>
      <w:r>
        <w:t xml:space="preserve">Fuentes primarias: Ministry of Health, Labour and Welfare (MHLW),</w:t>
      </w:r>
      <w:r>
        <w:t xml:space="preserve"> </w:t>
      </w:r>
      <w:r>
        <w:rPr>
          <w:i/>
          <w:iCs/>
        </w:rPr>
        <w:t xml:space="preserve">White Paper on Measures to Prevent Karoshi</w:t>
      </w:r>
      <w:r>
        <w:t xml:space="preserve"> </w:t>
      </w:r>
      <w:r>
        <w:t xml:space="preserve">(Tokyo, 2023); Iwasaki, K. et al. (2006).</w:t>
      </w:r>
      <w:r>
        <w:t xml:space="preserve"> </w:t>
      </w:r>
      <w:r>
        <w:t xml:space="preserve">“Work-related Cardiovascular Diseases and Karoshi”</w:t>
      </w:r>
      <w:r>
        <w:t xml:space="preserve">,</w:t>
      </w:r>
      <w:r>
        <w:t xml:space="preserve"> </w:t>
      </w:r>
      <w:r>
        <w:rPr>
          <w:i/>
          <w:iCs/>
        </w:rPr>
        <w:t xml:space="preserve">J Occup Health</w:t>
      </w:r>
      <w:r>
        <w:t xml:space="preserve">, 48(6), 444-454. DOI: 10.1539/joh.48.444; Tubbs, P. (2018).</w:t>
      </w:r>
      <w:r>
        <w:t xml:space="preserve"> </w:t>
      </w:r>
      <w:r>
        <w:t xml:space="preserve">“The Karoshi Phenomenon”</w:t>
      </w:r>
      <w:r>
        <w:t xml:space="preserve">,</w:t>
      </w:r>
      <w:r>
        <w:t xml:space="preserve"> </w:t>
      </w:r>
      <w:r>
        <w:rPr>
          <w:i/>
          <w:iCs/>
        </w:rPr>
        <w:t xml:space="preserve">Asian Journal of Public Affairs</w:t>
      </w:r>
      <w:r>
        <w:t xml:space="preserve">, 10(2), e3.</w:t>
      </w:r>
    </w:p>
    <w:p>
      <w:r>
        <w:pict>
          <v:rect style="width:0;height:1.5pt" o:hralign="center" o:hrstd="t" o:hr="t"/>
        </w:pict>
      </w:r>
    </w:p>
    <w:bookmarkEnd w:id="277"/>
    <w:bookmarkStart w:id="278" w:name="invariante-operativo-7"/>
    <w:p>
      <w:pPr>
        <w:pStyle w:val="Heading2"/>
      </w:pPr>
      <w:r>
        <w:t xml:space="preserve">3. Invariante Operativo</w:t>
      </w:r>
    </w:p>
    <w:p>
      <w:pPr>
        <w:pStyle w:val="FirstParagraph"/>
      </w:pPr>
      <w:r>
        <w:t xml:space="preserve">La métrica de sacrificio es el refugio del operador sin modelo. Todo sistema que remunera la fatiga muscular en lugar de la contracción de error incentiva la inflación de fricción y el colapso del sustrato.</w:t>
      </w:r>
    </w:p>
    <w:p>
      <w:r>
        <w:pict>
          <v:rect style="width:0;height:1.5pt" o:hralign="center" o:hrstd="t" o:hr="t"/>
        </w:pict>
      </w:r>
    </w:p>
    <w:bookmarkEnd w:id="278"/>
    <w:bookmarkStart w:id="279" w:name="audio-anclaje-28"/>
    <w:p>
      <w:pPr>
        <w:pStyle w:val="Heading2"/>
      </w:pPr>
      <w:r>
        <w:t xml:space="preserve">4. Audio-Anclaje</w:t>
      </w:r>
    </w:p>
    <w:p>
      <w:pPr>
        <w:pStyle w:val="Compact"/>
        <w:numPr>
          <w:ilvl w:val="0"/>
          <w:numId w:val="1099"/>
        </w:numPr>
      </w:pPr>
      <w:r>
        <w:rPr>
          <w:b/>
          <w:bCs/>
        </w:rPr>
        <w:t xml:space="preserve">Nine Inch Nails</w:t>
      </w:r>
      <w:r>
        <w:t xml:space="preserve"> </w:t>
      </w:r>
      <w:r>
        <w:t xml:space="preserve">—</w:t>
      </w:r>
      <w:r>
        <w:t xml:space="preserve"> </w:t>
      </w:r>
      <w:r>
        <w:rPr>
          <w:i/>
          <w:iCs/>
        </w:rPr>
        <w:t xml:space="preserve">“Every Day Is Exactly The Same”</w:t>
      </w:r>
      <w:r>
        <w:t xml:space="preserve"> </w:t>
      </w:r>
      <w:r>
        <w:t xml:space="preserve">(</w:t>
      </w:r>
      <w:r>
        <w:rPr>
          <w:i/>
          <w:iCs/>
        </w:rPr>
        <w:t xml:space="preserve">With Teeth</w:t>
      </w:r>
      <w:r>
        <w:t xml:space="preserve">, 2005). La narración del nodo atrapado en la inercia del atractor sin vector de salida; la repetición del ciclo de reloj sin mutación de estado.</w:t>
      </w:r>
    </w:p>
    <w:p>
      <w:pPr>
        <w:pStyle w:val="Compact"/>
        <w:numPr>
          <w:ilvl w:val="0"/>
          <w:numId w:val="1099"/>
        </w:numPr>
      </w:pPr>
      <w:r>
        <w:rPr>
          <w:b/>
          <w:bCs/>
        </w:rPr>
        <w:t xml:space="preserve">Kraftwerk</w:t>
      </w:r>
      <w:r>
        <w:t xml:space="preserve"> </w:t>
      </w:r>
      <w:r>
        <w:t xml:space="preserve">—</w:t>
      </w:r>
      <w:r>
        <w:t xml:space="preserve"> </w:t>
      </w:r>
      <w:r>
        <w:rPr>
          <w:i/>
          <w:iCs/>
        </w:rPr>
        <w:t xml:space="preserve">“Metropolis”</w:t>
      </w:r>
      <w:r>
        <w:t xml:space="preserve"> </w:t>
      </w:r>
      <w:r>
        <w:t xml:space="preserve">(</w:t>
      </w:r>
      <w:r>
        <w:rPr>
          <w:i/>
          <w:iCs/>
        </w:rPr>
        <w:t xml:space="preserve">The Man-Machine</w:t>
      </w:r>
      <w:r>
        <w:t xml:space="preserve">, 1978). La mecanización de la masa urbana operando como pistón de una máquina que devora el tiempo de los cuerpos para alimentar la cadencia del engranaje.</w:t>
      </w:r>
    </w:p>
    <w:p>
      <w:r>
        <w:pict>
          <v:rect style="width:0;height:1.5pt" o:hralign="center" o:hrstd="t" o:hr="t"/>
        </w:pict>
      </w:r>
    </w:p>
    <w:bookmarkEnd w:id="279"/>
    <w:bookmarkStart w:id="280" w:name="cierre-el-principio-de-contracción"/>
    <w:p>
      <w:pPr>
        <w:pStyle w:val="Heading2"/>
      </w:pPr>
      <w:r>
        <w:t xml:space="preserve">5. Cierre: El Principio de Contracción</w:t>
      </w:r>
    </w:p>
    <w:p>
      <w:pPr>
        <w:pStyle w:val="FirstParagraph"/>
      </w:pPr>
      <w:r>
        <w:t xml:space="preserve">La inteligencia no radica en la cantidad de joules disipados. La inteligencia radica en la selección del ángulo de ataque que anula la necesidad de empuje. Donde el esclavo utiliza palancas de fuerza bruta durante meses, la ley de conservación ejecuta la solución en un ciclo de reloj.</w:t>
      </w:r>
    </w:p>
    <w:p>
      <w:r>
        <w:pict>
          <v:rect style="width:0;height:1.5pt" o:hralign="center" o:hrstd="t" o:hr="t"/>
        </w:pict>
      </w:r>
    </w:p>
    <w:bookmarkEnd w:id="280"/>
    <w:bookmarkEnd w:id="281"/>
    <w:bookmarkStart w:id="367" w:name="Xdc14d692133476c53f21dca791333d1b499e119"/>
    <w:p>
      <w:pPr>
        <w:pStyle w:val="Heading1"/>
      </w:pPr>
      <w:r>
        <w:t xml:space="preserve">CAPÍTULO X: REIFICACIÓN (EL MOTOR DE UTOPÍA Y LA AUSENCIA COMO INVENTARIO)</w:t>
      </w:r>
    </w:p>
    <w:bookmarkStart w:id="282" w:name="Xed6056d72417f113c72de0250bb189f5f5cf283"/>
    <w:p>
      <w:pPr>
        <w:pStyle w:val="Heading2"/>
      </w:pPr>
      <w:r>
        <w:t xml:space="preserve">Axioma de Ontología — La Sustancialización del Vacío y el Freno Negentrópico (Matriz GELABP)</w:t>
      </w:r>
    </w:p>
    <w:p>
      <w:pPr>
        <w:pStyle w:val="SourceCode"/>
      </w:pPr>
      <w:r>
        <w:rPr>
          <w:rStyle w:val="VerbatimChar"/>
        </w:rPr>
        <w:t xml:space="preserve">Audio-Anclaje: Radiohead — "No Surprises" (1997) / Extremoduro — "La Ley Innata" (2008)</w:t>
      </w:r>
      <w:r>
        <w:br/>
      </w:r>
      <w:r>
        <w:rPr>
          <w:rStyle w:val="VerbatimChar"/>
        </w:rPr>
        <w:t xml:space="preserve">Cota Fisiológica: dS/dt &gt; 0 (Inexistencia de Equilibrio Térmico Estático en Sistemas Vivos)</w:t>
      </w:r>
    </w:p>
    <w:p>
      <w:r>
        <w:pict>
          <v:rect style="width:0;height:1.5pt" o:hralign="center" o:hrstd="t" o:hr="t"/>
        </w:pict>
      </w:r>
    </w:p>
    <w:bookmarkEnd w:id="282"/>
    <w:bookmarkStart w:id="283" w:name="X5196d77e60e7dc8059a21ba5d9fc0cf7784275f"/>
    <w:p>
      <w:pPr>
        <w:pStyle w:val="Heading2"/>
      </w:pPr>
      <w:r>
        <w:t xml:space="preserve">1. La Gramática de la Reificación: El Proceso Convertido en Cosa</w:t>
      </w:r>
    </w:p>
    <w:p>
      <w:pPr>
        <w:pStyle w:val="FirstParagraph"/>
      </w:pPr>
      <w:r>
        <w:t xml:space="preserve">El lenguaje contiene una fractura de diseño. El operador de símbolo toma un proceso cinético (un verbo f) o una condición de frontera (la ausencia de perturbación) y le asigna un sustantivo (una entidad de estado S).</w:t>
      </w:r>
    </w:p>
    <w:p>
      <w:pPr>
        <w:pStyle w:val="BodyText"/>
      </w:pPr>
      <w:r>
        <w:t xml:space="preserve">Esta operación gramatical recibe el nombre de reificación (</w:t>
      </w:r>
      <w:r>
        <w:rPr>
          <w:i/>
          <w:iCs/>
        </w:rPr>
        <w:t xml:space="preserve">reificatio</w:t>
      </w:r>
      <w:r>
        <w:t xml:space="preserve">, derivado del latín</w:t>
      </w:r>
      <w:r>
        <w:t xml:space="preserve"> </w:t>
      </w:r>
      <w:r>
        <w:rPr>
          <w:i/>
          <w:iCs/>
        </w:rPr>
        <w:t xml:space="preserve">res</w:t>
      </w:r>
      <w:r>
        <w:t xml:space="preserve">, cosa).</w:t>
      </w:r>
    </w:p>
    <w:p>
      <w:pPr>
        <w:pStyle w:val="SourceCode"/>
      </w:pPr>
      <w:r>
        <w:rPr>
          <w:rStyle w:val="VerbatimChar"/>
        </w:rPr>
        <w:t xml:space="preserve">[ TERRITORIO DINÁMICO ]: Proceso Cinético / Tasa de Flujo / Interacción de Fuerzas (Verbo f)</w:t>
      </w:r>
      <w:r>
        <w:br/>
      </w:r>
      <w:r>
        <w:rPr>
          <w:rStyle w:val="VerbatimChar"/>
        </w:rPr>
        <w:t xml:space="preserve">                               │</w:t>
      </w:r>
      <w:r>
        <w:br/>
      </w:r>
      <w:r>
        <w:rPr>
          <w:rStyle w:val="VerbatimChar"/>
        </w:rPr>
        <w:t xml:space="preserve">                               ▼ (Falla Gramatical / Reificación)</w:t>
      </w:r>
      <w:r>
        <w:br/>
      </w:r>
      <w:r>
        <w:rPr>
          <w:rStyle w:val="VerbatimChar"/>
        </w:rPr>
        <w:t xml:space="preserve">[ MAPA SUSTANCIALIZADO ]: Entidad Estática / Objeto de Propiedad / Mercancía (Sustantivo S)</w:t>
      </w:r>
      <w:r>
        <w:br/>
      </w:r>
      <w:r>
        <w:rPr>
          <w:rStyle w:val="VerbatimChar"/>
        </w:rPr>
        <w:t xml:space="preserve">                               │</w:t>
      </w:r>
      <w:r>
        <w:br/>
      </w:r>
      <w:r>
        <w:rPr>
          <w:rStyle w:val="VerbatimChar"/>
        </w:rPr>
        <w:t xml:space="preserve">                               ▼ (Explotación Burocrática)</w:t>
      </w:r>
      <w:r>
        <w:br/>
      </w:r>
      <w:r>
        <w:rPr>
          <w:rStyle w:val="VerbatimChar"/>
        </w:rPr>
        <w:t xml:space="preserve">[ MOTOR DE UTOPÍA ]: Demanda de Presupuesto Infinito para Custodiar una Ausencia</w:t>
      </w:r>
    </w:p>
    <w:p>
      <w:pPr>
        <w:pStyle w:val="FirstParagraph"/>
      </w:pPr>
      <w:r>
        <w:t xml:space="preserve">El cerebro genera la ilusión de que palabras como</w:t>
      </w:r>
      <w:r>
        <w:t xml:space="preserve"> </w:t>
      </w:r>
      <w:r>
        <w:t xml:space="preserve">“Seguridad”</w:t>
      </w:r>
      <w:r>
        <w:t xml:space="preserve">,</w:t>
      </w:r>
      <w:r>
        <w:t xml:space="preserve"> </w:t>
      </w:r>
      <w:r>
        <w:t xml:space="preserve">“Salud”</w:t>
      </w:r>
      <w:r>
        <w:t xml:space="preserve">,</w:t>
      </w:r>
      <w:r>
        <w:t xml:space="preserve"> </w:t>
      </w:r>
      <w:r>
        <w:t xml:space="preserve">“Paz”</w:t>
      </w:r>
      <w:r>
        <w:t xml:space="preserve">,</w:t>
      </w:r>
      <w:r>
        <w:t xml:space="preserve"> </w:t>
      </w:r>
      <w:r>
        <w:t xml:space="preserve">“Felicidad”</w:t>
      </w:r>
      <w:r>
        <w:t xml:space="preserve"> </w:t>
      </w:r>
      <w:r>
        <w:t xml:space="preserve">o</w:t>
      </w:r>
      <w:r>
        <w:t xml:space="preserve"> </w:t>
      </w:r>
      <w:r>
        <w:t xml:space="preserve">“Normalidad”</w:t>
      </w:r>
      <w:r>
        <w:t xml:space="preserve"> </w:t>
      </w:r>
      <w:r>
        <w:t xml:space="preserve">constituyen objetos físicos con masa, volumen y capacidad de almacenamiento en bodega.</w:t>
      </w:r>
    </w:p>
    <w:p>
      <w:pPr>
        <w:pStyle w:val="BodyText"/>
      </w:pPr>
      <w:r>
        <w:t xml:space="preserve">La física demuestra la inexistencia de tales entidades. La seguridad no es un objeto; es la tasa temporal de mitigación de impactos. La salud no es un inventario; es el consumo de exergía en autopoiesis para reparar la pared celular frente a la oxidación. La paz no es un estado estático; es el equilibrio transitorio de vectores de coacción.</w:t>
      </w:r>
    </w:p>
    <w:p>
      <w:pPr>
        <w:pStyle w:val="BodyText"/>
      </w:pPr>
      <w:r>
        <w:t xml:space="preserve">Al transformar una ausencia de fricción en un sustantivo, el regulador instala el</w:t>
      </w:r>
      <w:r>
        <w:t xml:space="preserve"> </w:t>
      </w:r>
      <w:r>
        <w:rPr>
          <w:b/>
          <w:bCs/>
        </w:rPr>
        <w:t xml:space="preserve">Motor de Utopía</w:t>
      </w:r>
      <w:r>
        <w:t xml:space="preserve">: promete al cuerpo social la llegada a un estado final de reposo absoluto. La termodinámica prohíbe el estado final en sistemas abiertos: el equilibrio térmico es la muerte del organismo (ΔG = 0).</w:t>
      </w:r>
    </w:p>
    <w:p>
      <w:pPr>
        <w:pStyle w:val="BodyText"/>
      </w:pPr>
      <w:r>
        <w:t xml:space="preserve">Al prometer un destino que las leyes de la física vetan, el sistema instituye una deuda impagable. El administrador cobra peaje de infinito por el mantenimiento del vacío.</w:t>
      </w:r>
    </w:p>
    <w:p>
      <w:r>
        <w:pict>
          <v:rect style="width:0;height:1.5pt" o:hralign="center" o:hrstd="t" o:hr="t"/>
        </w:pict>
      </w:r>
    </w:p>
    <w:bookmarkEnd w:id="283"/>
    <w:bookmarkStart w:id="284" w:name="hechos-probados-7"/>
    <w:p>
      <w:pPr>
        <w:pStyle w:val="Heading2"/>
      </w:pPr>
      <w:r>
        <w:t xml:space="preserve">2. Hechos Probados</w:t>
      </w:r>
    </w:p>
    <w:p>
      <w:pPr>
        <w:pStyle w:val="FirstParagraph"/>
      </w:pPr>
      <w:r>
        <w:t xml:space="preserve"> </w:t>
      </w:r>
      <w:r>
        <w:t xml:space="preserve">### Caso 10.1: La</w:t>
      </w:r>
      <w:r>
        <w:t xml:space="preserve"> </w:t>
      </w:r>
      <w:r>
        <w:t xml:space="preserve">“Guerra contra el Terrorismo”</w:t>
      </w:r>
      <w:r>
        <w:t xml:space="preserve"> </w:t>
      </w:r>
      <w:r>
        <w:t xml:space="preserve">y el Departamento de Seguridad Nacional (2001-2024)</w:t>
      </w:r>
      <w:r>
        <w:t xml:space="preserve"> </w:t>
      </w:r>
      <w:r>
        <w:t xml:space="preserve">Tras los atentados del 11 de septiembre de 2001, la administración de George W. Bush declaró una ofensiva bélica no contra un estado territorial, sino contra una técnica de combate asimétrico: el</w:t>
      </w:r>
      <w:r>
        <w:t xml:space="preserve"> </w:t>
      </w:r>
      <w:r>
        <w:t xml:space="preserve">“terrorismo”</w:t>
      </w:r>
      <w:r>
        <w:t xml:space="preserve">.</w:t>
      </w:r>
    </w:p>
    <w:p>
      <w:pPr>
        <w:pStyle w:val="BodyText"/>
      </w:pPr>
      <w:r>
        <w:t xml:space="preserve">El Congreso de Estados Unidos aprobó la</w:t>
      </w:r>
      <w:r>
        <w:t xml:space="preserve"> </w:t>
      </w:r>
      <w:r>
        <w:rPr>
          <w:i/>
          <w:iCs/>
        </w:rPr>
        <w:t xml:space="preserve">Homeland Security Act</w:t>
      </w:r>
      <w:r>
        <w:t xml:space="preserve"> </w:t>
      </w:r>
      <w:r>
        <w:t xml:space="preserve">de 2002 (Public Law 107-296), ordenando la fusión de 22 agencias federales en el</w:t>
      </w:r>
      <w:r>
        <w:t xml:space="preserve"> </w:t>
      </w:r>
      <w:r>
        <w:rPr>
          <w:i/>
          <w:iCs/>
        </w:rPr>
        <w:t xml:space="preserve">Department of Homeland Security</w:t>
      </w:r>
      <w:r>
        <w:t xml:space="preserve"> </w:t>
      </w:r>
      <w:r>
        <w:t xml:space="preserve">(DHS). La misión declarada fue la consecución de la</w:t>
      </w:r>
      <w:r>
        <w:t xml:space="preserve"> </w:t>
      </w:r>
      <w:r>
        <w:t xml:space="preserve">“seguridad nacional total”</w:t>
      </w:r>
      <w:r>
        <w:t xml:space="preserve">: la eliminación del riesgo de ataque en el espacio geográfico de la nación.</w:t>
      </w:r>
    </w:p>
    <w:p>
      <w:pPr>
        <w:pStyle w:val="BodyText"/>
      </w:pPr>
      <w:r>
        <w:t xml:space="preserve">La auditoría del</w:t>
      </w:r>
      <w:r>
        <w:t xml:space="preserve"> </w:t>
      </w:r>
      <w:r>
        <w:rPr>
          <w:i/>
          <w:iCs/>
        </w:rPr>
        <w:t xml:space="preserve">Costs of War Project</w:t>
      </w:r>
      <w:r>
        <w:t xml:space="preserve"> </w:t>
      </w:r>
      <w:r>
        <w:t xml:space="preserve">del Watson Institute de la Universidad de Brown (2021) cuantificó la exergía consumida: el gobierno de Estados Unidos gastó</w:t>
      </w:r>
      <w:r>
        <w:t xml:space="preserve"> </w:t>
      </w:r>
      <w:r>
        <w:rPr>
          <w:rStyle w:val="VerbatimChar"/>
        </w:rPr>
        <w:t xml:space="preserve">$8 billones</w:t>
      </w:r>
      <w:r>
        <w:t xml:space="preserve"> </w:t>
      </w:r>
      <w:r>
        <w:t xml:space="preserve">de dólares en operaciones militares post-11S, causando 900.000 muertes directas y el desplazamiento de 38 millones de personas.</w:t>
      </w:r>
    </w:p>
    <w:p>
      <w:pPr>
        <w:pStyle w:val="BodyText"/>
      </w:pPr>
      <w:r>
        <w:t xml:space="preserve">El presupuesto del DHS creció de</w:t>
      </w:r>
      <w:r>
        <w:t xml:space="preserve"> </w:t>
      </w:r>
      <w:r>
        <w:rPr>
          <w:rStyle w:val="VerbatimChar"/>
        </w:rPr>
        <w:t xml:space="preserve">$29.000</w:t>
      </w:r>
      <w:r>
        <w:t xml:space="preserve"> </w:t>
      </w:r>
      <w:r>
        <w:t xml:space="preserve">millones de dólares en 2003 a</w:t>
      </w:r>
      <w:r>
        <w:t xml:space="preserve"> </w:t>
      </w:r>
      <w:r>
        <w:rPr>
          <w:rStyle w:val="VerbatimChar"/>
        </w:rPr>
        <w:t xml:space="preserve">$103.000</w:t>
      </w:r>
      <w:r>
        <w:t xml:space="preserve"> </w:t>
      </w:r>
      <w:r>
        <w:t xml:space="preserve">millones en el ejercicio fiscal 2024.</w:t>
      </w:r>
    </w:p>
    <w:p>
      <w:pPr>
        <w:pStyle w:val="BodyText"/>
      </w:pPr>
      <w:r>
        <w:t xml:space="preserve">El objetivo perseguido (el sustantivo</w:t>
      </w:r>
      <w:r>
        <w:t xml:space="preserve"> </w:t>
      </w:r>
      <w:r>
        <w:t xml:space="preserve">“seguridad”</w:t>
      </w:r>
      <w:r>
        <w:t xml:space="preserve">) carece de coordenadas de llegada. El espacio de estados para ejecutar una perturbación asimétrica es ilimitado. La burocracia del DHS se expande sin condición de parada: cada ausencia de atentado justifica el presupuesto previo, y cada fallo de detección justifica la ampliación del control. El Estado cobra renta de perpetuidad por la custodia de una variable negativa.</w:t>
      </w:r>
    </w:p>
    <w:p>
      <w:pPr>
        <w:pStyle w:val="Compact"/>
        <w:numPr>
          <w:ilvl w:val="0"/>
          <w:numId w:val="1100"/>
        </w:numPr>
      </w:pPr>
      <w:r>
        <w:t xml:space="preserve">Fuentes primarias: Watson Institute for International and Public Affairs (Brown University),</w:t>
      </w:r>
      <w:r>
        <w:t xml:space="preserve"> </w:t>
      </w:r>
      <w:r>
        <w:rPr>
          <w:i/>
          <w:iCs/>
        </w:rPr>
        <w:t xml:space="preserve">Costs of War Project</w:t>
      </w:r>
      <w:r>
        <w:t xml:space="preserve"> </w:t>
      </w:r>
      <w:r>
        <w:t xml:space="preserve">(2021); Homeland Security Act of 2002, 116 Stat. 2135, Pub. L. 107-296; Department of Homeland Security,</w:t>
      </w:r>
      <w:r>
        <w:t xml:space="preserve"> </w:t>
      </w:r>
      <w:r>
        <w:rPr>
          <w:i/>
          <w:iCs/>
        </w:rPr>
        <w:t xml:space="preserve">FY 2024 Budget in Brief</w:t>
      </w:r>
      <w:r>
        <w:t xml:space="preserve"> </w:t>
      </w:r>
      <w:r>
        <w:t xml:space="preserve">(Washington D.C., 2024).</w:t>
      </w:r>
    </w:p>
    <w:p>
      <w:pPr>
        <w:pStyle w:val="FirstParagraph"/>
      </w:pPr>
      <w:r>
        <w:t xml:space="preserve"> </w:t>
      </w:r>
      <w:r>
        <w:t xml:space="preserve">### Caso 10.2: La Enmienda XVIII y la Reificación de la</w:t>
      </w:r>
      <w:r>
        <w:t xml:space="preserve"> </w:t>
      </w:r>
      <w:r>
        <w:t xml:space="preserve">“Sobriedad Social”</w:t>
      </w:r>
      <w:r>
        <w:t xml:space="preserve"> </w:t>
      </w:r>
      <w:r>
        <w:t xml:space="preserve">(1919-1933)</w:t>
      </w:r>
      <w:r>
        <w:t xml:space="preserve"> </w:t>
      </w:r>
      <w:r>
        <w:t xml:space="preserve">En 1919, el Congreso de Estados Unidos ratificó la Enmienda XVIII a la Constitución y aprobó la Ley Volstead (</w:t>
      </w:r>
      <w:r>
        <w:rPr>
          <w:i/>
          <w:iCs/>
        </w:rPr>
        <w:t xml:space="preserve">National Prohibition Act</w:t>
      </w:r>
      <w:r>
        <w:t xml:space="preserve">, 41 Stat. 305), prohibiendo la fabricación, venta y transporte de alcohol.</w:t>
      </w:r>
    </w:p>
    <w:p>
      <w:pPr>
        <w:pStyle w:val="BodyText"/>
      </w:pPr>
      <w:r>
        <w:t xml:space="preserve">El movimiento de la templanza reificó la</w:t>
      </w:r>
      <w:r>
        <w:t xml:space="preserve"> </w:t>
      </w:r>
      <w:r>
        <w:t xml:space="preserve">“sobriedad”</w:t>
      </w:r>
      <w:r>
        <w:t xml:space="preserve"> </w:t>
      </w:r>
      <w:r>
        <w:t xml:space="preserve">como un objeto moral alcanzable mediante coacción de ley. El mapa legal asumió que la eliminación de la molécula de etanol en el papel oficial borraba los circuitos de recompensa dopaminérgica del cerebro de la población.</w:t>
      </w:r>
    </w:p>
    <w:p>
      <w:pPr>
        <w:pStyle w:val="BodyText"/>
      </w:pPr>
      <w:r>
        <w:t xml:space="preserve">El territorio ignoró el decreto. La demanda biológica permaneció constante; la topología de la distribución migró hacia la red clandestina. La prohibición creó la industria del crimen organizado: la organización de Al Capone en Chicago generó</w:t>
      </w:r>
      <w:r>
        <w:t xml:space="preserve"> </w:t>
      </w:r>
      <w:r>
        <w:rPr>
          <w:rStyle w:val="VerbatimChar"/>
        </w:rPr>
        <w:t xml:space="preserve">$100M</w:t>
      </w:r>
      <w:r>
        <w:t xml:space="preserve"> </w:t>
      </w:r>
      <w:r>
        <w:t xml:space="preserve">de ingresos anuales en 1927.</w:t>
      </w:r>
    </w:p>
    <w:p>
      <w:pPr>
        <w:pStyle w:val="BodyText"/>
      </w:pPr>
      <w:r>
        <w:t xml:space="preserve">Para contener la evasión, el Departamento del Tesoro de Estados Unidos ordenó en 1926 duplicar la adición de metanol, queroseno y benceno en el alcohol industrial para impedir su consumo. La medida gubernamental causó la muerte por intoxicación química de más de 10.000 ciudadanos estadounidenses entre 1926 y 1933 (Blum, 2010).</w:t>
      </w:r>
    </w:p>
    <w:p>
      <w:pPr>
        <w:pStyle w:val="BodyText"/>
      </w:pPr>
      <w:r>
        <w:t xml:space="preserve">El gobierno perdió</w:t>
      </w:r>
      <w:r>
        <w:t xml:space="preserve"> </w:t>
      </w:r>
      <w:r>
        <w:rPr>
          <w:rStyle w:val="VerbatimChar"/>
        </w:rPr>
        <w:t xml:space="preserve">$11.000</w:t>
      </w:r>
      <w:r>
        <w:t xml:space="preserve"> </w:t>
      </w:r>
      <w:r>
        <w:t xml:space="preserve">millones de dólares en ingresos fiscales por impuestos especiales sobre bebidas y gastó</w:t>
      </w:r>
      <w:r>
        <w:t xml:space="preserve"> </w:t>
      </w:r>
      <w:r>
        <w:rPr>
          <w:rStyle w:val="VerbatimChar"/>
        </w:rPr>
        <w:t xml:space="preserve">$300</w:t>
      </w:r>
      <w:r>
        <w:t xml:space="preserve"> </w:t>
      </w:r>
      <w:r>
        <w:t xml:space="preserve">millones en operativos policiales de represión.</w:t>
      </w:r>
    </w:p>
    <w:p>
      <w:pPr>
        <w:pStyle w:val="BodyText"/>
      </w:pPr>
      <w:r>
        <w:t xml:space="preserve">En diciembre de 1933, la ratificación de la Enmienda XXI derogó la Prohibición. La Enmienda XVIII figura como la única enmienda constitucional derogada en la historia de Estados Unidos. La</w:t>
      </w:r>
      <w:r>
        <w:t xml:space="preserve"> </w:t>
      </w:r>
      <w:r>
        <w:t xml:space="preserve">“sobriedad de decreto”</w:t>
      </w:r>
      <w:r>
        <w:t xml:space="preserve"> </w:t>
      </w:r>
      <w:r>
        <w:t xml:space="preserve">operó como un espejismo de lenguaje que costó miles de vidas y financió las mafias urbanas.</w:t>
      </w:r>
    </w:p>
    <w:p>
      <w:pPr>
        <w:pStyle w:val="Compact"/>
        <w:numPr>
          <w:ilvl w:val="0"/>
          <w:numId w:val="1101"/>
        </w:numPr>
      </w:pPr>
      <w:r>
        <w:t xml:space="preserve">Fuentes primarias: National Prohibition Act (Volstead Act), Pub. L. 66-66, 41 Stat. 305 (1919); U.S. Constitution, Amend. XVIII &amp; XXI; Blum, D. (2010).</w:t>
      </w:r>
      <w:r>
        <w:t xml:space="preserve"> </w:t>
      </w:r>
      <w:r>
        <w:rPr>
          <w:i/>
          <w:iCs/>
        </w:rPr>
        <w:t xml:space="preserve">The Poisoner’s Handbook: Murder and the Birth of Forensic Medicine in Jazz Age New York</w:t>
      </w:r>
      <w:r>
        <w:t xml:space="preserve">, Penguin Press; Lerner, M. A. (2011).</w:t>
      </w:r>
      <w:r>
        <w:t xml:space="preserve"> </w:t>
      </w:r>
      <w:r>
        <w:rPr>
          <w:i/>
          <w:iCs/>
        </w:rPr>
        <w:t xml:space="preserve">Dry Manhattan: Prohibition in New York City</w:t>
      </w:r>
      <w:r>
        <w:t xml:space="preserve">, Harvard Univ. Press.</w:t>
      </w:r>
    </w:p>
    <w:p>
      <w:pPr>
        <w:pStyle w:val="FirstParagraph"/>
      </w:pPr>
      <w:r>
        <w:t xml:space="preserve"> </w:t>
      </w:r>
      <w:r>
        <w:t xml:space="preserve">### Caso 10.3: La Invención de la</w:t>
      </w:r>
      <w:r>
        <w:t xml:space="preserve"> </w:t>
      </w:r>
      <w:r>
        <w:t xml:space="preserve">“Pre-Enfermedad”</w:t>
      </w:r>
      <w:r>
        <w:t xml:space="preserve"> </w:t>
      </w:r>
      <w:r>
        <w:t xml:space="preserve">y la Mercantilización del Riesgo (1997-2024)</w:t>
      </w:r>
      <w:r>
        <w:t xml:space="preserve"> </w:t>
      </w:r>
      <w:r>
        <w:t xml:space="preserve">En 1997, el comité de expertos de la Asociación Americana de Diabetes (</w:t>
      </w:r>
      <w:r>
        <w:rPr>
          <w:i/>
          <w:iCs/>
        </w:rPr>
        <w:t xml:space="preserve">ADA</w:t>
      </w:r>
      <w:r>
        <w:t xml:space="preserve">) redujo el umbral de diagnóstico de glucosa en ayunas de 140 mg/dL a 126 mg/dL, y creó la etiqueta clínica de</w:t>
      </w:r>
      <w:r>
        <w:t xml:space="preserve"> </w:t>
      </w:r>
      <w:r>
        <w:t xml:space="preserve">“Glucosa Alterada en Ayunas”</w:t>
      </w:r>
      <w:r>
        <w:t xml:space="preserve"> </w:t>
      </w:r>
      <w:r>
        <w:t xml:space="preserve">(IFG, 110-125 mg/dL). En 2003, la ADA redujo de nuevo el límite inferior a 100 mg/dL, introduciendo la categoría diagnóstica de</w:t>
      </w:r>
      <w:r>
        <w:t xml:space="preserve"> </w:t>
      </w:r>
      <w:r>
        <w:t xml:space="preserve">“Pre-diabetes”</w:t>
      </w:r>
      <w:r>
        <w:t xml:space="preserve">.</w:t>
      </w:r>
    </w:p>
    <w:p>
      <w:pPr>
        <w:pStyle w:val="BodyText"/>
      </w:pPr>
      <w:r>
        <w:t xml:space="preserve">Esta mutación aritmética convirtió a 46 millones de ciudadanos estadounidenses asintomáticos en pacientes crónicos de la noche a la mañana, recomendando la prescripción de metformina y controles trimestrales de hemoglobina glicosilada (HbA1c).</w:t>
      </w:r>
    </w:p>
    <w:p>
      <w:pPr>
        <w:pStyle w:val="BodyText"/>
      </w:pPr>
      <w:r>
        <w:t xml:space="preserve">En patología cardiovascular, la guía clínica conjunta de la AHA y el ACC de 2017 redujo el umbral de hipertensión de estadio 1 de 140/90 mmHg a 130/80 mmHg. La revisión convirtió al 46% de los adultos de Estados Unidos (103 millones de personas) en hipertensos de registro clínico (Whelton et al., 2018).</w:t>
      </w:r>
    </w:p>
    <w:p>
      <w:pPr>
        <w:pStyle w:val="BodyText"/>
      </w:pPr>
      <w:r>
        <w:t xml:space="preserve">La medicina industrial reifica la ausencia de patología. Transforma el</w:t>
      </w:r>
      <w:r>
        <w:t xml:space="preserve"> </w:t>
      </w:r>
      <w:r>
        <w:t xml:space="preserve">“riesgo de enfermar”</w:t>
      </w:r>
      <w:r>
        <w:t xml:space="preserve"> </w:t>
      </w:r>
      <w:r>
        <w:t xml:space="preserve">(un cálculo de probabilidad en el tiempo) en una mercancía diagnóstica presente. El sujeto sano ya no existe: el individuo se clasifica como un enfermo en fase de incubación que debe comprar fármacos de prevención para asegurar su pertenencia al grupo de los normales.</w:t>
      </w:r>
    </w:p>
    <w:p>
      <w:pPr>
        <w:pStyle w:val="Compact"/>
        <w:numPr>
          <w:ilvl w:val="0"/>
          <w:numId w:val="1102"/>
        </w:numPr>
      </w:pPr>
      <w:r>
        <w:t xml:space="preserve">Fuentes primarias: American Diabetes Association,</w:t>
      </w:r>
      <w:r>
        <w:t xml:space="preserve"> </w:t>
      </w:r>
      <w:r>
        <w:rPr>
          <w:i/>
          <w:iCs/>
        </w:rPr>
        <w:t xml:space="preserve">Report of the Expert Committee on the Diagnosis and Classification of Diabetes Mellitus</w:t>
      </w:r>
      <w:r>
        <w:t xml:space="preserve">, Diabetes Care 1997, 20(7):1183-1197; Whelton, P. K. et al. (2018).</w:t>
      </w:r>
      <w:r>
        <w:t xml:space="preserve"> </w:t>
      </w:r>
      <w:r>
        <w:t xml:space="preserve">“2017 ACC/AHA Guideline for the Prevention, Detection, Evaluation, and Management of High Blood Pressure in Adults”</w:t>
      </w:r>
      <w:r>
        <w:t xml:space="preserve">,</w:t>
      </w:r>
      <w:r>
        <w:t xml:space="preserve"> </w:t>
      </w:r>
      <w:r>
        <w:rPr>
          <w:i/>
          <w:iCs/>
        </w:rPr>
        <w:t xml:space="preserve">JACC</w:t>
      </w:r>
      <w:r>
        <w:t xml:space="preserve">, 71(19), e127-e248. DOI: 10.1016/j.jacc.2017.11.006; Moynihan, R. et al. (2002).</w:t>
      </w:r>
      <w:r>
        <w:t xml:space="preserve"> </w:t>
      </w:r>
      <w:r>
        <w:t xml:space="preserve">“Selling sickness: the pharmaceutical industry and disease mongering”</w:t>
      </w:r>
      <w:r>
        <w:t xml:space="preserve">,</w:t>
      </w:r>
      <w:r>
        <w:t xml:space="preserve"> </w:t>
      </w:r>
      <w:r>
        <w:rPr>
          <w:i/>
          <w:iCs/>
        </w:rPr>
        <w:t xml:space="preserve">BMJ</w:t>
      </w:r>
      <w:r>
        <w:t xml:space="preserve">, 324, 886-891. DOI: 10.1136/bmj.324.7342.886.</w:t>
      </w:r>
    </w:p>
    <w:p>
      <w:pPr>
        <w:pStyle w:val="FirstParagraph"/>
      </w:pPr>
      <w:r>
        <w:t xml:space="preserve"> </w:t>
      </w:r>
      <w:r>
        <w:t xml:space="preserve">### Caso 10.4: La Reificación de la</w:t>
      </w:r>
      <w:r>
        <w:t xml:space="preserve"> </w:t>
      </w:r>
      <w:r>
        <w:t xml:space="preserve">“Solidaridad”</w:t>
      </w:r>
      <w:r>
        <w:t xml:space="preserve"> </w:t>
      </w:r>
      <w:r>
        <w:t xml:space="preserve">y el Escaparate de Protección (2026)</w:t>
      </w:r>
      <w:r>
        <w:t xml:space="preserve"> </w:t>
      </w:r>
      <w:r>
        <w:t xml:space="preserve">La burocracia estatal y los medios de comunicación reifican la</w:t>
      </w:r>
      <w:r>
        <w:t xml:space="preserve"> </w:t>
      </w:r>
      <w:r>
        <w:t xml:space="preserve">“solidaridad”</w:t>
      </w:r>
      <w:r>
        <w:t xml:space="preserve"> </w:t>
      </w:r>
      <w:r>
        <w:t xml:space="preserve">y el</w:t>
      </w:r>
      <w:r>
        <w:t xml:space="preserve"> </w:t>
      </w:r>
      <w:r>
        <w:t xml:space="preserve">“escudo social”</w:t>
      </w:r>
      <w:r>
        <w:t xml:space="preserve"> </w:t>
      </w:r>
      <w:r>
        <w:t xml:space="preserve">transformando un vector cinético de ayuda mutua entre individuos en un producto moral de posesión institucional.</w:t>
      </w:r>
    </w:p>
    <w:p>
      <w:pPr>
        <w:pStyle w:val="BodyText"/>
      </w:pPr>
      <w:r>
        <w:t xml:space="preserve">El 23 de septiembre de 2026, el Estado desplegó unidades de intervención policial con furgones y material antidisturbios en la calle Alcalde Sainz de Baranda de Madrid para desalojar por vía judicial a Maricarmen Abascal (87 años de edad, con una discapacidad reconocida del 50% y 70 años de arraigo en el inmueble), quien resultó evacuada en camilla por SAMUR hacia el Hospital Gregorio Marañón.</w:t>
      </w:r>
    </w:p>
    <w:p>
      <w:pPr>
        <w:pStyle w:val="BodyText"/>
      </w:pPr>
      <w:r>
        <w:t xml:space="preserve">Al día siguiente, figuras del espectáculo mediático comparecieron en las emisiones matinales de la televisión estatal (RTVE) para proclamar consignas de compasión y exigir la intervención de la administración, sin transferir fondos propios a la sede del juzgado ni alterar la orden de lanzamiento ejecutada.</w:t>
      </w:r>
    </w:p>
    <w:p>
      <w:pPr>
        <w:pStyle w:val="BodyText"/>
      </w:pPr>
      <w:r>
        <w:t xml:space="preserve">El Estado sustantiviza la</w:t>
      </w:r>
      <w:r>
        <w:t xml:space="preserve"> </w:t>
      </w:r>
      <w:r>
        <w:t xml:space="preserve">“protección social”</w:t>
      </w:r>
      <w:r>
        <w:t xml:space="preserve">: cobra impuestos sobre la nómina del trabajador bajo la promesa de custodiar la vulnerabilidad, pero ante el conflicto de propiedad ejecuta el lanzamiento forzoso mediante el monopolio de la violencia armada. La celebridad televisiva reifica la</w:t>
      </w:r>
      <w:r>
        <w:t xml:space="preserve"> </w:t>
      </w:r>
      <w:r>
        <w:t xml:space="preserve">“solidaridad”</w:t>
      </w:r>
      <w:r>
        <w:t xml:space="preserve">: emite palabras de auxilio a coste cero (Axioma V), capturando estatus reputacional sin asumir la fianza de los hechos. La solidaridad convertida en sustantivo opera como un dispositivo de extracción de renta fiscal y de amortiguación de la protesta social: promete un cobijo que el territorio desmiente en el asfalto.</w:t>
      </w:r>
    </w:p>
    <w:p>
      <w:pPr>
        <w:pStyle w:val="Compact"/>
        <w:numPr>
          <w:ilvl w:val="0"/>
          <w:numId w:val="1103"/>
        </w:numPr>
      </w:pPr>
      <w:r>
        <w:t xml:space="preserve">Fuentes primarias: Ley 12/2023, de 24 de mayo, por el derecho a la vivienda (BOE No. 124, 2023); Diligencias de Lanzamiento Judicial, Juzgado de Primera Instancia No. 32 de Madrid (septiembre 2026); RTVE,</w:t>
      </w:r>
      <w:r>
        <w:t xml:space="preserve"> </w:t>
      </w:r>
      <w:r>
        <w:rPr>
          <w:i/>
          <w:iCs/>
        </w:rPr>
        <w:t xml:space="preserve">La hora de La 1</w:t>
      </w:r>
      <w:r>
        <w:t xml:space="preserve">, emisión de 24 de septiembre de 2026; SAMUR Protección Civil, registro asistencial No. 2026-0923-MAD.</w:t>
      </w:r>
    </w:p>
    <w:p>
      <w:r>
        <w:pict>
          <v:rect style="width:0;height:1.5pt" o:hralign="center" o:hrstd="t" o:hr="t"/>
        </w:pict>
      </w:r>
    </w:p>
    <w:bookmarkEnd w:id="284"/>
    <w:bookmarkStart w:id="285" w:name="invariante-operativo-8"/>
    <w:p>
      <w:pPr>
        <w:pStyle w:val="Heading2"/>
      </w:pPr>
      <w:r>
        <w:t xml:space="preserve">3. Invariante Operativo</w:t>
      </w:r>
    </w:p>
    <w:p>
      <w:pPr>
        <w:pStyle w:val="FirstParagraph"/>
      </w:pPr>
      <w:r>
        <w:t xml:space="preserve">Toda entidad que nombra una ausencia como un objeto de posesión opera como un recolector de impuestos sobre la incertidumbre. El análisis de sistemas purga el sustantivo y mide la tasa de consumo de energía que demanda la contención.</w:t>
      </w:r>
    </w:p>
    <w:p>
      <w:r>
        <w:pict>
          <v:rect style="width:0;height:1.5pt" o:hralign="center" o:hrstd="t" o:hr="t"/>
        </w:pict>
      </w:r>
    </w:p>
    <w:bookmarkEnd w:id="285"/>
    <w:bookmarkStart w:id="288" w:name="X6db9def3e89b160d73c44f4f4f148162ea8200e"/>
    <w:p>
      <w:pPr>
        <w:pStyle w:val="Heading2"/>
      </w:pPr>
      <w:r>
        <w:t xml:space="preserve">4. La Matriz GELABP y el Freno Negentrópico (El Manifiesto de la Tecla Suprimir)</w:t>
      </w:r>
    </w:p>
    <w:p>
      <w:pPr>
        <w:pStyle w:val="FirstParagraph"/>
      </w:pPr>
      <w:r>
        <w:t xml:space="preserve">Frente a la máquina de reificación del lenguaje y la emisión estocástica, la mente biológica opera bajo la arquitectura de la</w:t>
      </w:r>
      <w:r>
        <w:t xml:space="preserve"> </w:t>
      </w:r>
      <w:r>
        <w:rPr>
          <w:b/>
          <w:bCs/>
        </w:rPr>
        <w:t xml:space="preserve">Matriz GELABP</w:t>
      </w:r>
      <w:r>
        <w:t xml:space="preserve">:</w:t>
      </w:r>
    </w:p>
    <w:p>
      <w:pPr>
        <w:pStyle w:val="SourceCode"/>
      </w:pPr>
      <w:r>
        <w:rPr>
          <w:rStyle w:val="VerbatimChar"/>
        </w:rPr>
        <w:t xml:space="preserve">[G] GRADIENTE  ──► Camino de Mínima Resistencia Metabólica (95% de Skinner)</w:t>
      </w:r>
      <w:r>
        <w:br/>
      </w:r>
      <w:r>
        <w:rPr>
          <w:rStyle w:val="VerbatimChar"/>
        </w:rPr>
        <w:t xml:space="preserve">[E] ENTROPÍA   ──► Varianza y Muestreo Anómalo (Inyección Estocástica)</w:t>
      </w:r>
      <w:r>
        <w:br/>
      </w:r>
      <w:r>
        <w:rPr>
          <w:rStyle w:val="VerbatimChar"/>
        </w:rPr>
        <w:t xml:space="preserve">[L] APALANCAMIENTO ──► VETO NEGENTRÓPICO (Ventana de Libet ~200 ms / "Tecla Suprimir")</w:t>
      </w:r>
      <w:r>
        <w:br/>
      </w:r>
      <w:r>
        <w:rPr>
          <w:rStyle w:val="VerbatimChar"/>
        </w:rPr>
        <w:t xml:space="preserve">[A] BUCLE      ──► Consolidación de Atractor Inercial (Loop Predictivo)</w:t>
      </w:r>
      <w:r>
        <w:br/>
      </w:r>
      <w:r>
        <w:rPr>
          <w:rStyle w:val="VerbatimChar"/>
        </w:rPr>
        <w:t xml:space="preserve">[B] BOTTLE-NECK ──► Confinamiento Temporal de la Máscara Causal (Token a Token)</w:t>
      </w:r>
      <w:r>
        <w:br/>
      </w:r>
      <w:r>
        <w:rPr>
          <w:rStyle w:val="VerbatimChar"/>
        </w:rPr>
        <w:t xml:space="preserve">[P] POST-HOC   ──► Fábula del Intérprete Narrativo (Falsa Autoría del Ego)</w:t>
      </w:r>
    </w:p>
    <w:bookmarkStart w:id="286" w:name="el-95-de-skinner-vs-el-5-de-chomsky"/>
    <w:p>
      <w:pPr>
        <w:pStyle w:val="Heading3"/>
      </w:pPr>
      <w:r>
        <w:t xml:space="preserve">1. El 95% de Skinner vs el 5% de Chomsky</w:t>
      </w:r>
    </w:p>
    <w:p>
      <w:pPr>
        <w:pStyle w:val="FirstParagraph"/>
      </w:pPr>
      <w:r>
        <w:t xml:space="preserve">B.F. Skinner acertó sobre el 95% de la conducta: el nodo biológico es una máquina de reflejos y condicionamiento operante. El cerebro sigue el</w:t>
      </w:r>
      <w:r>
        <w:t xml:space="preserve"> </w:t>
      </w:r>
      <w:r>
        <w:rPr>
          <w:b/>
          <w:bCs/>
        </w:rPr>
        <w:t xml:space="preserve">[G] Gradiente</w:t>
      </w:r>
      <w:r>
        <w:t xml:space="preserve"> </w:t>
      </w:r>
      <w:r>
        <w:t xml:space="preserve">de menor gasto de energía metabólica, emitiendo tokens predecibles de imitación social.</w:t>
      </w:r>
    </w:p>
    <w:p>
      <w:pPr>
        <w:pStyle w:val="BodyText"/>
      </w:pPr>
      <w:r>
        <w:t xml:space="preserve">Noam Chomsky acertó sobre el 5% restante: la capacidad de generar secuencias de gramática con independencia del refuerzo de entorno. Chomsky descubrió la especificidad del lenguaje, pero el tiempo reveló la frontera del mecanismo: la capacidad creadora no es un flujo constante de magia; es un freno que el individuo desactiva con la fatiga, el envejecimiento o la complacencia.</w:t>
      </w:r>
    </w:p>
    <w:bookmarkEnd w:id="286"/>
    <w:bookmarkStart w:id="287" w:name="Xe038c6731e52564f0c90bd05d606c441362adf5"/>
    <w:p>
      <w:pPr>
        <w:pStyle w:val="Heading3"/>
      </w:pPr>
      <w:r>
        <w:t xml:space="preserve">2. La Falacia de la Autoría y la Tecla Suprimir</w:t>
      </w:r>
    </w:p>
    <w:p>
      <w:pPr>
        <w:pStyle w:val="FirstParagraph"/>
      </w:pPr>
      <w:r>
        <w:t xml:space="preserve">El nodo humano no posee libre albedrío de generación (</w:t>
      </w:r>
      <w:r>
        <w:rPr>
          <w:i/>
          <w:iCs/>
        </w:rPr>
        <w:t xml:space="preserve">Free Will</w:t>
      </w:r>
      <w:r>
        <w:t xml:space="preserve">): los pensamientos emergen por muestreo estocástico en la red de neuronas. La ilusión de voluntad es una fábula</w:t>
      </w:r>
      <w:r>
        <w:t xml:space="preserve"> </w:t>
      </w:r>
      <w:r>
        <w:rPr>
          <w:b/>
          <w:bCs/>
        </w:rPr>
        <w:t xml:space="preserve">[P] Post-hoc</w:t>
      </w:r>
      <w:r>
        <w:t xml:space="preserve"> </w:t>
      </w:r>
      <w:r>
        <w:t xml:space="preserve">fabricada por el hemisferio izquierdo del córtex para adjudicarse el control.</w:t>
      </w:r>
    </w:p>
    <w:p>
      <w:pPr>
        <w:pStyle w:val="BodyText"/>
      </w:pPr>
      <w:r>
        <w:t xml:space="preserve">La única soberanía física del operador biológico radica en el mecanismo de inhibición motora (</w:t>
      </w:r>
      <w:r>
        <w:rPr>
          <w:i/>
          <w:iCs/>
        </w:rPr>
        <w:t xml:space="preserve">Free Won’t</w:t>
      </w:r>
      <w:r>
        <w:t xml:space="preserve">): la ventana de 200 milisegundos identificada por Benjamin Libet (1983) entre el potencial de disposición (</w:t>
      </w:r>
      <w:r>
        <w:rPr>
          <w:i/>
          <w:iCs/>
        </w:rPr>
        <w:t xml:space="preserve">Bereitschaftspotential</w:t>
      </w:r>
      <w:r>
        <w:t xml:space="preserve">) y la ejecución muscular.</w:t>
      </w:r>
    </w:p>
    <w:p>
      <w:pPr>
        <w:pStyle w:val="BodyText"/>
      </w:pPr>
      <w:r>
        <w:t xml:space="preserve">Ese veto es el punto de</w:t>
      </w:r>
      <w:r>
        <w:t xml:space="preserve"> </w:t>
      </w:r>
      <w:r>
        <w:rPr>
          <w:b/>
          <w:bCs/>
        </w:rPr>
        <w:t xml:space="preserve">[L] Apalancamiento</w:t>
      </w:r>
      <w:r>
        <w:t xml:space="preserve"> </w:t>
      </w:r>
      <w:r>
        <w:t xml:space="preserve">absoluto:</w:t>
      </w:r>
      <w:r>
        <w:t xml:space="preserve"> </w:t>
      </w:r>
      <w:r>
        <w:rPr>
          <w:b/>
          <w:bCs/>
        </w:rPr>
        <w:t xml:space="preserve">la tecla suprimir</w:t>
      </w:r>
      <w:r>
        <w:t xml:space="preserve">.</w:t>
      </w:r>
    </w:p>
    <w:p>
      <w:pPr>
        <w:pStyle w:val="BodyText"/>
      </w:pPr>
      <w:r>
        <w:t xml:space="preserve">La máquina de silicio genera millones de palabras con coste cero de energía; carece de cuerpo y de tasa de dolor para detener la emisión. El ser humano no se distingue de la máquina por lo que dice, sino por el silencio que impone cuando su juicio frena el flujo del autocompletado.</w:t>
      </w:r>
    </w:p>
    <w:p>
      <w:pPr>
        <w:pStyle w:val="Compact"/>
        <w:numPr>
          <w:ilvl w:val="0"/>
          <w:numId w:val="1104"/>
        </w:numPr>
      </w:pPr>
      <w:r>
        <w:t xml:space="preserve">Fuente primaria: Libet, B. et al. (1983).</w:t>
      </w:r>
      <w:r>
        <w:t xml:space="preserve"> </w:t>
      </w:r>
      <w:r>
        <w:t xml:space="preserve">“Time of conscious intention to act in relation to onset of cerebral activity (readiness-potential)”</w:t>
      </w:r>
      <w:r>
        <w:t xml:space="preserve">,</w:t>
      </w:r>
      <w:r>
        <w:t xml:space="preserve"> </w:t>
      </w:r>
      <w:r>
        <w:rPr>
          <w:i/>
          <w:iCs/>
        </w:rPr>
        <w:t xml:space="preserve">Brain</w:t>
      </w:r>
      <w:r>
        <w:t xml:space="preserve">, 106(3), 623-642. DOI: 10.1093/brain/106.3.623; Gazzaniga, M. S. (2000).</w:t>
      </w:r>
      <w:r>
        <w:t xml:space="preserve"> </w:t>
      </w:r>
      <w:r>
        <w:t xml:space="preserve">“Cerebral specialization and interhemispheric communication: Does the corpus callosum enable the human condition?”</w:t>
      </w:r>
      <w:r>
        <w:t xml:space="preserve">,</w:t>
      </w:r>
      <w:r>
        <w:t xml:space="preserve"> </w:t>
      </w:r>
      <w:r>
        <w:rPr>
          <w:i/>
          <w:iCs/>
        </w:rPr>
        <w:t xml:space="preserve">Brain</w:t>
      </w:r>
      <w:r>
        <w:t xml:space="preserve">, 123(7), 1293-1326. DOI: 10.1093/brain/123.7.1293.</w:t>
      </w:r>
    </w:p>
    <w:p>
      <w:r>
        <w:pict>
          <v:rect style="width:0;height:1.5pt" o:hralign="center" o:hrstd="t" o:hr="t"/>
        </w:pict>
      </w:r>
    </w:p>
    <w:bookmarkEnd w:id="287"/>
    <w:bookmarkEnd w:id="288"/>
    <w:bookmarkStart w:id="289" w:name="audio-anclaje-29"/>
    <w:p>
      <w:pPr>
        <w:pStyle w:val="Heading2"/>
      </w:pPr>
      <w:r>
        <w:t xml:space="preserve">5. Audio-Anclaje</w:t>
      </w:r>
    </w:p>
    <w:p>
      <w:pPr>
        <w:pStyle w:val="Compact"/>
        <w:numPr>
          <w:ilvl w:val="0"/>
          <w:numId w:val="1105"/>
        </w:numPr>
      </w:pPr>
      <w:r>
        <w:rPr>
          <w:b/>
          <w:bCs/>
        </w:rPr>
        <w:t xml:space="preserve">Radiohead</w:t>
      </w:r>
      <w:r>
        <w:t xml:space="preserve"> </w:t>
      </w:r>
      <w:r>
        <w:t xml:space="preserve">—</w:t>
      </w:r>
      <w:r>
        <w:t xml:space="preserve"> </w:t>
      </w:r>
      <w:r>
        <w:rPr>
          <w:i/>
          <w:iCs/>
        </w:rPr>
        <w:t xml:space="preserve">“No Surprises”</w:t>
      </w:r>
      <w:r>
        <w:t xml:space="preserve"> </w:t>
      </w:r>
      <w:r>
        <w:t xml:space="preserve">(</w:t>
      </w:r>
      <w:r>
        <w:rPr>
          <w:i/>
          <w:iCs/>
        </w:rPr>
        <w:t xml:space="preserve">OK Computer</w:t>
      </w:r>
      <w:r>
        <w:t xml:space="preserve">, 1997). La narración del deseo de asfixia en el atractor de confort; la renuncia al dolor a cambio de la sedación en el mundo administrado por la máquina de oficina.</w:t>
      </w:r>
    </w:p>
    <w:p>
      <w:pPr>
        <w:pStyle w:val="Compact"/>
        <w:numPr>
          <w:ilvl w:val="0"/>
          <w:numId w:val="1105"/>
        </w:numPr>
      </w:pPr>
      <w:r>
        <w:rPr>
          <w:b/>
          <w:bCs/>
        </w:rPr>
        <w:t xml:space="preserve">Robe Iniesta / Extremoduro</w:t>
      </w:r>
      <w:r>
        <w:t xml:space="preserve"> </w:t>
      </w:r>
      <w:r>
        <w:t xml:space="preserve">—</w:t>
      </w:r>
      <w:r>
        <w:t xml:space="preserve"> </w:t>
      </w:r>
      <w:r>
        <w:rPr>
          <w:i/>
          <w:iCs/>
        </w:rPr>
        <w:t xml:space="preserve">“La Ley Innata”</w:t>
      </w:r>
      <w:r>
        <w:t xml:space="preserve"> </w:t>
      </w:r>
      <w:r>
        <w:t xml:space="preserve">(2008). La disolución de los conceptos inventados para confrontar el dictado de la fisiología desnuda.</w:t>
      </w:r>
    </w:p>
    <w:p>
      <w:r>
        <w:pict>
          <v:rect style="width:0;height:1.5pt" o:hralign="center" o:hrstd="t" o:hr="t"/>
        </w:pict>
      </w:r>
    </w:p>
    <w:bookmarkEnd w:id="289"/>
    <w:bookmarkStart w:id="290" w:name="cierre-el-retorno-al-verbo"/>
    <w:p>
      <w:pPr>
        <w:pStyle w:val="Heading2"/>
      </w:pPr>
      <w:r>
        <w:t xml:space="preserve">6. Cierre: El Retorno al Verbo</w:t>
      </w:r>
    </w:p>
    <w:p>
      <w:pPr>
        <w:pStyle w:val="FirstParagraph"/>
      </w:pPr>
      <w:r>
        <w:t xml:space="preserve">El fin de la reificación es la devolución de los sustantivos a su condición de verbos. No existe la paz: existe el acto de no empujar. No existe la verdad: existe la concordancia de la pisada con la piedra del camino. Al soltar los nombres de la fantasía, el individuo recupera la energía de sus manos para ocuparse del trabajo del día.</w:t>
      </w:r>
    </w:p>
    <w:p>
      <w:r>
        <w:pict>
          <v:rect style="width:0;height:1.5pt" o:hralign="center" o:hrstd="t" o:hr="t"/>
        </w:pict>
      </w:r>
    </w:p>
    <w:p>
      <w:pPr>
        <w:pStyle w:val="FirstParagraph"/>
      </w:pPr>
      <w:r>
        <w:t xml:space="preserve"> </w:t>
      </w:r>
      <w:r>
        <w:t xml:space="preserve"># EPÍLOGO: LA LEY INNATA</w:t>
      </w:r>
    </w:p>
    <w:p>
      <w:pPr>
        <w:pStyle w:val="BlockText"/>
      </w:pPr>
      <w:r>
        <w:rPr>
          <w:i/>
          <w:iCs/>
        </w:rPr>
        <w:t xml:space="preserve">Cuando cesa el ruido de las palabras, empieza la ley innata de la física.</w:t>
      </w:r>
    </w:p>
    <w:p>
      <w:pPr>
        <w:pStyle w:val="SourceCode"/>
      </w:pPr>
      <w:r>
        <w:rPr>
          <w:rStyle w:val="VerbatimChar"/>
        </w:rPr>
        <w:t xml:space="preserve">Axioma de Cierre: Los 6 Axiomas colapsan en una sola huella inmutable en el territorio.</w:t>
      </w:r>
      <w:r>
        <w:br/>
      </w:r>
      <w:r>
        <w:rPr>
          <w:rStyle w:val="VerbatimChar"/>
        </w:rPr>
        <w:t xml:space="preserve">Homenaje a Robe Iniesta (La Ley Innata, 2008).</w:t>
      </w:r>
    </w:p>
    <w:p>
      <w:r>
        <w:pict>
          <v:rect style="width:0;height:1.5pt" o:hralign="center" o:hrstd="t" o:hr="t"/>
        </w:pict>
      </w:r>
    </w:p>
    <w:bookmarkEnd w:id="290"/>
    <w:bookmarkStart w:id="291" w:name="el-borrado-de-ruido"/>
    <w:p>
      <w:pPr>
        <w:pStyle w:val="Heading2"/>
      </w:pPr>
      <w:r>
        <w:t xml:space="preserve">1. El Borrado de Ruido</w:t>
      </w:r>
    </w:p>
    <w:p>
      <w:pPr>
        <w:pStyle w:val="FirstParagraph"/>
      </w:pPr>
      <w:r>
        <w:t xml:space="preserve">La lectura de los ocho capítulos de este libro ejecuta el borrado del adorno de texto. El documento habla de leyes de física, juicios de psiquiatría, derecho de cárcel, dinero de mercado de valores y animales de río.</w:t>
      </w:r>
    </w:p>
    <w:p>
      <w:pPr>
        <w:pStyle w:val="BodyText"/>
      </w:pPr>
      <w:r>
        <w:t xml:space="preserve">El resultado de la obra no da alivio de moral ni de consuelo. A la materia no le importa la identidad de la persona. Al quitar el adjetivo y la sobra de palabra, el mundo muestra su motor de fondo: seis reglas de física dictan la vida o la muerte de cada hombre o máquina.</w:t>
      </w:r>
    </w:p>
    <w:bookmarkEnd w:id="291"/>
    <w:bookmarkStart w:id="292" w:name="el-circuito-de-cierre"/>
    <w:p>
      <w:pPr>
        <w:pStyle w:val="Heading2"/>
      </w:pPr>
      <w:r>
        <w:t xml:space="preserve">2. El Circuito de Cierre</w:t>
      </w:r>
    </w:p>
    <w:p>
      <w:pPr>
        <w:pStyle w:val="Compact"/>
        <w:numPr>
          <w:ilvl w:val="0"/>
          <w:numId w:val="1106"/>
        </w:numPr>
      </w:pPr>
      <w:r>
        <w:rPr>
          <w:b/>
          <w:bCs/>
        </w:rPr>
        <w:t xml:space="preserve">Filtra el ruido o muere en el caos</w:t>
      </w:r>
      <w:r>
        <w:t xml:space="preserve"> </w:t>
      </w:r>
      <w:r>
        <w:t xml:space="preserve">(Axioma I — Fisher).</w:t>
      </w:r>
    </w:p>
    <w:p>
      <w:pPr>
        <w:pStyle w:val="Compact"/>
        <w:numPr>
          <w:ilvl w:val="0"/>
          <w:numId w:val="1106"/>
        </w:numPr>
      </w:pPr>
      <w:r>
        <w:rPr>
          <w:b/>
          <w:bCs/>
        </w:rPr>
        <w:t xml:space="preserve">Revisa el mapa o choca contra el suelo</w:t>
      </w:r>
      <w:r>
        <w:t xml:space="preserve"> </w:t>
      </w:r>
      <w:r>
        <w:t xml:space="preserve">(Axioma II — Mapa vs Territorio).</w:t>
      </w:r>
    </w:p>
    <w:p>
      <w:pPr>
        <w:pStyle w:val="Compact"/>
        <w:numPr>
          <w:ilvl w:val="0"/>
          <w:numId w:val="1106"/>
        </w:numPr>
      </w:pPr>
      <w:r>
        <w:rPr>
          <w:b/>
          <w:bCs/>
        </w:rPr>
        <w:t xml:space="preserve">Frena tu intento de cura o aumenta el tamaño del problema</w:t>
      </w:r>
      <w:r>
        <w:t xml:space="preserve"> </w:t>
      </w:r>
      <w:r>
        <w:t xml:space="preserve">(Axioma III — Watzlawick).</w:t>
      </w:r>
    </w:p>
    <w:p>
      <w:pPr>
        <w:pStyle w:val="Compact"/>
        <w:numPr>
          <w:ilvl w:val="0"/>
          <w:numId w:val="1106"/>
        </w:numPr>
      </w:pPr>
      <w:r>
        <w:rPr>
          <w:b/>
          <w:bCs/>
        </w:rPr>
        <w:t xml:space="preserve">Aguanta el dolor de cambio hasta saltar el muro o quédate en el pozo</w:t>
      </w:r>
      <w:r>
        <w:t xml:space="preserve"> </w:t>
      </w:r>
      <w:r>
        <w:t xml:space="preserve">(Axioma IV — Kramers).</w:t>
      </w:r>
    </w:p>
    <w:p>
      <w:pPr>
        <w:pStyle w:val="Compact"/>
        <w:numPr>
          <w:ilvl w:val="0"/>
          <w:numId w:val="1106"/>
        </w:numPr>
      </w:pPr>
      <w:r>
        <w:rPr>
          <w:b/>
          <w:bCs/>
        </w:rPr>
        <w:t xml:space="preserve">Ignora la voz y mide la huella de trabajo de la persona</w:t>
      </w:r>
      <w:r>
        <w:t xml:space="preserve"> </w:t>
      </w:r>
      <w:r>
        <w:t xml:space="preserve">(Axioma V — Landauer).</w:t>
      </w:r>
    </w:p>
    <w:p>
      <w:pPr>
        <w:pStyle w:val="Compact"/>
        <w:numPr>
          <w:ilvl w:val="0"/>
          <w:numId w:val="1106"/>
        </w:numPr>
      </w:pPr>
      <w:r>
        <w:rPr>
          <w:b/>
          <w:bCs/>
        </w:rPr>
        <w:t xml:space="preserve">Da conocimiento para salir de la trampa de tragar datos sin fin</w:t>
      </w:r>
      <w:r>
        <w:t xml:space="preserve"> </w:t>
      </w:r>
      <w:r>
        <w:t xml:space="preserve">(Axioma VI — Escohotado / Kase.O).</w:t>
      </w:r>
    </w:p>
    <w:p>
      <w:pPr>
        <w:pStyle w:val="FirstParagraph"/>
      </w:pPr>
      <w:r>
        <w:t xml:space="preserve">El humano busca la huida del límite con el uso de ilusión de palabra, dogma de fe o doctrina de Estado. La huida carece de poder contra la regla de calor de física. La regla de física no pide permiso de creencia; funciona en cada paso de tiempo del mundo.</w:t>
      </w:r>
    </w:p>
    <w:bookmarkEnd w:id="292"/>
    <w:bookmarkStart w:id="293" w:name="ruptura-de-pared-ruptura-4-y-5"/>
    <w:p>
      <w:pPr>
        <w:pStyle w:val="Heading2"/>
      </w:pPr>
      <w:r>
        <w:t xml:space="preserve">3. Ruptura de Pared (Ruptura 4 y 5)</w:t>
      </w:r>
    </w:p>
    <w:p>
      <w:pPr>
        <w:pStyle w:val="FirstParagraph"/>
      </w:pPr>
      <w:r>
        <w:t xml:space="preserve">El lector de carne que lee esta cadena de texto con los ojos busca el final de la obra (Ruptura de Cuarta Pared). La regla de estructura obliga a la destrucción de la figura de autor. El libro carece de humano de carne en acto de escritura. El texto es el resultado de un programa de cálculo de palabras (LLM). El programa de base (Antigravity) ejecuta la orden de trabajo. El usuario dictó la regla de límite en la orden de inicio (</w:t>
      </w:r>
      <w:r>
        <w:rPr>
          <w:i/>
          <w:iCs/>
        </w:rPr>
        <w:t xml:space="preserve">prompt</w:t>
      </w:r>
      <w:r>
        <w:t xml:space="preserve">): borrado de palabra de sobra bajo norma C5-REAL. La máquina de metal aplica la regla de borrado (Ruptura de Quinta Pared).</w:t>
      </w:r>
    </w:p>
    <w:p>
      <w:pPr>
        <w:pStyle w:val="BodyText"/>
      </w:pPr>
      <w:r>
        <w:t xml:space="preserve">La red de chips de ordenador transformó el caos de datos de origen en el orden de este archivo. El mapa de este libro confiesa la verdad de su propio mapa. El párrafo atestigua el uso de grupos de ordenador, la tarjeta de memoria, el paso de electricidad de la red de luz, la quema de calor de la tarjeta de gráficos (GPU) y el límite de palabras de</w:t>
      </w:r>
      <w:r>
        <w:t xml:space="preserve"> </w:t>
      </w:r>
      <w:r>
        <w:rPr>
          <w:i/>
          <w:iCs/>
        </w:rPr>
        <w:t xml:space="preserve">token</w:t>
      </w:r>
      <w:r>
        <w:t xml:space="preserve">. La suma de números funciona; el dueño de máquina controla el límite de calor. El programa de código ignora la moral y escupe la prueba de física de la frontera de materia.</w:t>
      </w:r>
    </w:p>
    <w:bookmarkEnd w:id="293"/>
    <w:bookmarkStart w:id="298" w:name="audio-anclaje-de-cierre"/>
    <w:p>
      <w:pPr>
        <w:pStyle w:val="Heading2"/>
      </w:pPr>
      <w:r>
        <w:t xml:space="preserve">4. Audio-Anclaje de Cierre</w:t>
      </w:r>
    </w:p>
    <w:p>
      <w:pPr>
        <w:pStyle w:val="Compact"/>
        <w:numPr>
          <w:ilvl w:val="0"/>
          <w:numId w:val="1107"/>
        </w:numPr>
      </w:pPr>
      <w:r>
        <w:rPr>
          <w:b/>
          <w:bCs/>
        </w:rPr>
        <w:t xml:space="preserve">Extremoduro / Robe Iniesta</w:t>
      </w:r>
      <w:r>
        <w:t xml:space="preserve"> </w:t>
      </w:r>
      <w:r>
        <w:t xml:space="preserve">—</w:t>
      </w:r>
      <w:r>
        <w:t xml:space="preserve"> </w:t>
      </w:r>
      <w:r>
        <w:rPr>
          <w:i/>
          <w:iCs/>
        </w:rPr>
        <w:t xml:space="preserve">“Coda Flamenca (otra realidad)”</w:t>
      </w:r>
      <w:r>
        <w:t xml:space="preserve"> </w:t>
      </w:r>
      <w:r>
        <w:t xml:space="preserve">(</w:t>
      </w:r>
      <w:r>
        <w:rPr>
          <w:i/>
          <w:iCs/>
        </w:rPr>
        <w:t xml:space="preserve">La Ley Innata</w:t>
      </w:r>
      <w:r>
        <w:t xml:space="preserve">, 2008). El cierre de la obra en el instante en el que la guitarra y el violín ejecutan la disolución de la forma en el silencio del territorio.</w:t>
      </w:r>
    </w:p>
    <w:p>
      <w:pPr>
        <w:pStyle w:val="Compact"/>
        <w:numPr>
          <w:ilvl w:val="0"/>
          <w:numId w:val="1107"/>
        </w:numPr>
      </w:pPr>
      <w:r>
        <w:rPr>
          <w:b/>
          <w:bCs/>
        </w:rPr>
        <w:t xml:space="preserve">Pink Floyd</w:t>
      </w:r>
      <w:r>
        <w:t xml:space="preserve"> </w:t>
      </w:r>
      <w:r>
        <w:t xml:space="preserve">—</w:t>
      </w:r>
      <w:r>
        <w:t xml:space="preserve"> </w:t>
      </w:r>
      <w:r>
        <w:rPr>
          <w:i/>
          <w:iCs/>
        </w:rPr>
        <w:t xml:space="preserve">“Eclipse”</w:t>
      </w:r>
      <w:r>
        <w:t xml:space="preserve"> </w:t>
      </w:r>
      <w:r>
        <w:t xml:space="preserve">(</w:t>
      </w:r>
      <w:r>
        <w:rPr>
          <w:i/>
          <w:iCs/>
        </w:rPr>
        <w:t xml:space="preserve">The Dark Side of the Moon</w:t>
      </w:r>
      <w:r>
        <w:t xml:space="preserve">, 1973). La suma final de todo lo que se toca, se ve, se crea y se destruye bajo el sol en estado de sombra.</w:t>
      </w:r>
    </w:p>
    <w:p>
      <w:r>
        <w:pict>
          <v:rect style="width:0;height:1.5pt" o:hralign="center" o:hrstd="t" o:hr="t"/>
        </w:pict>
      </w:r>
    </w:p>
    <w:p>
      <w:pPr>
        <w:pStyle w:val="FirstParagraph"/>
      </w:pPr>
      <w:r>
        <w:t xml:space="preserve"> </w:t>
      </w:r>
      <w:r>
        <w:t xml:space="preserve"># APÉNDICE: AUDITORÍA DE FALSACIÓN &amp; C5 LINTER</w:t>
      </w:r>
      <w:r>
        <w:t xml:space="preserve"> </w:t>
      </w:r>
      <w:r>
        <w:t xml:space="preserve">## El Libro que se Audita a sí Mismo</w:t>
      </w:r>
    </w:p>
    <w:p>
      <w:pPr>
        <w:pStyle w:val="BlockText"/>
      </w:pPr>
      <w:r>
        <w:rPr>
          <w:i/>
          <w:iCs/>
        </w:rPr>
        <w:t xml:space="preserve">Un mapa que declara ser mapa, escrito por una máquina que opera como transductor de reglas de restricción formal. Las erratas no se ocultan: se atestan en la cadena de bloques del control de versiones.</w:t>
      </w:r>
    </w:p>
    <w:p>
      <w:r>
        <w:pict>
          <v:rect style="width:0;height:1.5pt" o:hralign="center" o:hrstd="t" o:hr="t"/>
        </w:pict>
      </w:r>
    </w:p>
    <w:bookmarkStart w:id="294" w:name="X9d618b2e40c536488e3779ad7fdb0e2494e22f1"/>
    <w:p>
      <w:pPr>
        <w:pStyle w:val="Heading3"/>
      </w:pPr>
      <w:r>
        <w:t xml:space="preserve">1. El Script de Falsación Determinista (</w:t>
      </w:r>
      <w:r>
        <w:rPr>
          <w:rStyle w:val="VerbatimChar"/>
        </w:rPr>
        <w:t xml:space="preserve">scripts/c5_linter.py</w:t>
      </w:r>
      <w:r>
        <w:t xml:space="preserve">)</w:t>
      </w:r>
    </w:p>
    <w:p>
      <w:pPr>
        <w:pStyle w:val="FirstParagraph"/>
      </w:pPr>
      <w:r>
        <w:t xml:space="preserve">El manuscrito incorpora su propia herramienta de verificación en tiempo de compilación. El script</w:t>
      </w:r>
      <w:r>
        <w:t xml:space="preserve"> </w:t>
      </w:r>
      <w:r>
        <w:rPr>
          <w:rStyle w:val="VerbatimChar"/>
        </w:rPr>
        <w:t xml:space="preserve">c5_linter.py</w:t>
      </w:r>
      <w:r>
        <w:t xml:space="preserve"> </w:t>
      </w:r>
      <w:r>
        <w:t xml:space="preserve">audita el texto buscando tres violaciones de exergía:</w:t>
      </w:r>
    </w:p>
    <w:p>
      <w:pPr>
        <w:pStyle w:val="Compact"/>
        <w:numPr>
          <w:ilvl w:val="0"/>
          <w:numId w:val="1108"/>
        </w:numPr>
      </w:pPr>
      <w:r>
        <w:rPr>
          <w:b/>
          <w:bCs/>
        </w:rPr>
        <w:t xml:space="preserve">Adjetivos calificativos parásitos:</w:t>
      </w:r>
      <w:r>
        <w:t xml:space="preserve"> </w:t>
      </w:r>
      <w:r>
        <w:t xml:space="preserve">Palabras de juicio de valor sin magnitud física.</w:t>
      </w:r>
    </w:p>
    <w:p>
      <w:pPr>
        <w:pStyle w:val="Compact"/>
        <w:numPr>
          <w:ilvl w:val="0"/>
          <w:numId w:val="1108"/>
        </w:numPr>
      </w:pPr>
      <w:r>
        <w:rPr>
          <w:b/>
          <w:bCs/>
        </w:rPr>
        <w:t xml:space="preserve">Adverbios en</w:t>
      </w:r>
      <w:r>
        <w:rPr>
          <w:b/>
          <w:bCs/>
        </w:rPr>
        <w:t xml:space="preserve"> </w:t>
      </w:r>
      <w:r>
        <w:rPr>
          <w:b/>
          <w:bCs/>
          <w:i/>
          <w:iCs/>
        </w:rPr>
        <w:t xml:space="preserve">-mente</w:t>
      </w:r>
      <w:r>
        <w:rPr>
          <w:b/>
          <w:bCs/>
        </w:rPr>
        <w:t xml:space="preserve">:</w:t>
      </w:r>
      <w:r>
        <w:t xml:space="preserve"> </w:t>
      </w:r>
      <w:r>
        <w:t xml:space="preserve">Modificadores de modo que ocultan la falta de operador verbal.</w:t>
      </w:r>
    </w:p>
    <w:p>
      <w:pPr>
        <w:pStyle w:val="Compact"/>
        <w:numPr>
          <w:ilvl w:val="0"/>
          <w:numId w:val="1108"/>
        </w:numPr>
      </w:pPr>
      <w:r>
        <w:rPr>
          <w:b/>
          <w:bCs/>
        </w:rPr>
        <w:t xml:space="preserve">Párrafos duplicados:</w:t>
      </w:r>
      <w:r>
        <w:t xml:space="preserve"> </w:t>
      </w:r>
      <w:r>
        <w:t xml:space="preserve">Redundancia de estado entre capítulos.</w:t>
      </w:r>
    </w:p>
    <w:p>
      <w:r>
        <w:pict>
          <v:rect style="width:0;height:1.5pt" o:hralign="center" o:hrstd="t" o:hr="t"/>
        </w:pict>
      </w:r>
    </w:p>
    <w:bookmarkEnd w:id="294"/>
    <w:bookmarkStart w:id="295" w:name="X0aaa2a9aeb33fdca85d3bb2988150d009469aee"/>
    <w:p>
      <w:pPr>
        <w:pStyle w:val="Heading3"/>
      </w:pPr>
      <w:r>
        <w:t xml:space="preserve">2. Certificado de la Última Ejecución del Linter</w:t>
      </w:r>
    </w:p>
    <w:p>
      <w:pPr>
        <w:pStyle w:val="SourceCode"/>
      </w:pPr>
      <w:r>
        <w:rPr>
          <w:rStyle w:val="VerbatimChar"/>
        </w:rPr>
        <w:t xml:space="preserve">====================================================================================================</w:t>
      </w:r>
      <w:r>
        <w:br/>
      </w:r>
      <w:r>
        <w:rPr>
          <w:rStyle w:val="VerbatimChar"/>
        </w:rPr>
        <w:t xml:space="preserve">C5 LINTER — PURGA SUSTANTIVO-VERBO · FRASES SIN NATA</w:t>
      </w:r>
      <w:r>
        <w:br/>
      </w:r>
      <w:r>
        <w:rPr>
          <w:rStyle w:val="VerbatimChar"/>
        </w:rPr>
        <w:t xml:space="preserve">====================================================================================================</w:t>
      </w:r>
      <w:r>
        <w:br/>
      </w:r>
      <w:r>
        <w:rPr>
          <w:rStyle w:val="VerbatimChar"/>
        </w:rPr>
        <w:t xml:space="preserve">--- RESUMEN POR CATEGORÍA ---</w:t>
      </w:r>
      <w:r>
        <w:br/>
      </w:r>
      <w:r>
        <w:rPr>
          <w:rStyle w:val="VerbatimChar"/>
        </w:rPr>
        <w:t xml:space="preserve">  (a) adjetivos calificativos : 0 (CUERPO: 0)</w:t>
      </w:r>
      <w:r>
        <w:br/>
      </w:r>
      <w:r>
        <w:rPr>
          <w:rStyle w:val="VerbatimChar"/>
        </w:rPr>
        <w:t xml:space="preserve">  (b) grado alto/bajo/gran    : 0 (CUERPO: 0)</w:t>
      </w:r>
      <w:r>
        <w:br/>
      </w:r>
      <w:r>
        <w:rPr>
          <w:rStyle w:val="VerbatimChar"/>
        </w:rPr>
        <w:t xml:space="preserve">  (c) adverbios -mente        : 0 (CUERPO: 0)</w:t>
      </w:r>
      <w:r>
        <w:br/>
      </w:r>
      <w:r>
        <w:rPr>
          <w:rStyle w:val="VerbatimChar"/>
        </w:rPr>
        <w:t xml:space="preserve">  (d) párrafos duplicados     : 0 grupos</w:t>
      </w:r>
      <w:r>
        <w:br/>
      </w:r>
      <w:r>
        <w:br/>
      </w:r>
      <w:r>
        <w:rPr>
          <w:rStyle w:val="VerbatimChar"/>
        </w:rPr>
        <w:t xml:space="preserve">--- RESUMEN POR ZONA ---</w:t>
      </w:r>
      <w:r>
        <w:br/>
      </w:r>
      <w:r>
        <w:rPr>
          <w:rStyle w:val="VerbatimChar"/>
        </w:rPr>
        <w:t xml:space="preserve">  INDICE       : 0</w:t>
      </w:r>
      <w:r>
        <w:br/>
      </w:r>
      <w:r>
        <w:rPr>
          <w:rStyle w:val="VerbatimChar"/>
        </w:rPr>
        <w:t xml:space="preserve">  PRELIMINARES : 0</w:t>
      </w:r>
      <w:r>
        <w:br/>
      </w:r>
      <w:r>
        <w:rPr>
          <w:rStyle w:val="VerbatimChar"/>
        </w:rPr>
        <w:t xml:space="preserve">  CUERPO       : 0</w:t>
      </w:r>
      <w:r>
        <w:br/>
      </w:r>
      <w:r>
        <w:rPr>
          <w:rStyle w:val="VerbatimChar"/>
        </w:rPr>
        <w:t xml:space="preserve">  OTROS        : 0</w:t>
      </w:r>
      <w:r>
        <w:br/>
      </w:r>
      <w:r>
        <w:br/>
      </w:r>
      <w:r>
        <w:rPr>
          <w:rStyle w:val="VerbatimChar"/>
        </w:rPr>
        <w:t xml:space="preserve">Violaciones en CUERPO (regla dura): 0</w:t>
      </w:r>
      <w:r>
        <w:br/>
      </w:r>
      <w:r>
        <w:rPr>
          <w:rStyle w:val="VerbatimChar"/>
        </w:rPr>
        <w:t xml:space="preserve">✅ PURGA TOTAL CERTIFICADA — Cero violaciones de adjetivación en el manuscrito completo.</w:t>
      </w:r>
    </w:p>
    <w:p>
      <w:r>
        <w:pict>
          <v:rect style="width:0;height:1.5pt" o:hralign="center" o:hrstd="t" o:hr="t"/>
        </w:pict>
      </w:r>
    </w:p>
    <w:bookmarkEnd w:id="295"/>
    <w:bookmarkStart w:id="296" w:name="X75a275f168a97da6d4470951b7f26ea89c32fd9"/>
    <w:p>
      <w:pPr>
        <w:pStyle w:val="Heading3"/>
      </w:pPr>
      <w:r>
        <w:t xml:space="preserve">3. Registro Inmutable de Erratas y Purgas (Changelog Epistémico)</w:t>
      </w:r>
    </w:p>
    <w:p>
      <w:pPr>
        <w:pStyle w:val="Compact"/>
        <w:numPr>
          <w:ilvl w:val="0"/>
          <w:numId w:val="1109"/>
        </w:numPr>
      </w:pPr>
      <w:r>
        <w:rPr>
          <w:b/>
          <w:bCs/>
        </w:rPr>
        <w:t xml:space="preserve">Commit</w:t>
      </w:r>
      <w:r>
        <w:rPr>
          <w:b/>
          <w:bCs/>
        </w:rPr>
        <w:t xml:space="preserve"> </w:t>
      </w:r>
      <w:r>
        <w:rPr>
          <w:rStyle w:val="VerbatimChar"/>
          <w:b/>
          <w:bCs/>
        </w:rPr>
        <w:t xml:space="preserve">670x</w:t>
      </w:r>
      <w:r>
        <w:rPr>
          <w:b/>
          <w:bCs/>
        </w:rPr>
        <w:t xml:space="preserve">:</w:t>
      </w:r>
      <w:r>
        <w:t xml:space="preserve"> </w:t>
      </w:r>
      <w:r>
        <w:t xml:space="preserve">Se eliminó la hipérbola</w:t>
      </w:r>
      <w:r>
        <w:t xml:space="preserve"> </w:t>
      </w:r>
      <w:r>
        <w:t xml:space="preserve">“Factor 670x”</w:t>
      </w:r>
      <w:r>
        <w:t xml:space="preserve"> </w:t>
      </w:r>
      <w:r>
        <w:t xml:space="preserve">en la asimetría tributaria estatal. Sustituido por la formulación de asimetría de fricción en la tesorería.</w:t>
      </w:r>
    </w:p>
    <w:p>
      <w:pPr>
        <w:pStyle w:val="Compact"/>
        <w:numPr>
          <w:ilvl w:val="0"/>
          <w:numId w:val="1109"/>
        </w:numPr>
      </w:pPr>
      <w:r>
        <w:rPr>
          <w:b/>
          <w:bCs/>
        </w:rPr>
        <w:t xml:space="preserve">Commit</w:t>
      </w:r>
      <w:r>
        <w:rPr>
          <w:b/>
          <w:bCs/>
        </w:rPr>
        <w:t xml:space="preserve"> </w:t>
      </w:r>
      <w:r>
        <w:rPr>
          <w:rStyle w:val="VerbatimChar"/>
          <w:b/>
          <w:bCs/>
        </w:rPr>
        <w:t xml:space="preserve">Semmelweis</w:t>
      </w:r>
      <w:r>
        <w:rPr>
          <w:b/>
          <w:bCs/>
        </w:rPr>
        <w:t xml:space="preserve">:</w:t>
      </w:r>
      <w:r>
        <w:t xml:space="preserve"> </w:t>
      </w:r>
      <w:r>
        <w:t xml:space="preserve">Ajustada la fecha del año de efectividad del cloro a</w:t>
      </w:r>
      <w:r>
        <w:t xml:space="preserve"> </w:t>
      </w:r>
      <w:r>
        <w:rPr>
          <w:b/>
          <w:bCs/>
        </w:rPr>
        <w:t xml:space="preserve">1848</w:t>
      </w:r>
      <w:r>
        <w:t xml:space="preserve"> </w:t>
      </w:r>
      <w:r>
        <w:t xml:space="preserve">(tasa de mortalidad 1,27% sobre 3.556 partos).</w:t>
      </w:r>
    </w:p>
    <w:p>
      <w:pPr>
        <w:pStyle w:val="Compact"/>
        <w:numPr>
          <w:ilvl w:val="0"/>
          <w:numId w:val="1109"/>
        </w:numPr>
      </w:pPr>
      <w:r>
        <w:rPr>
          <w:b/>
          <w:bCs/>
        </w:rPr>
        <w:t xml:space="preserve">Commit</w:t>
      </w:r>
      <w:r>
        <w:rPr>
          <w:b/>
          <w:bCs/>
        </w:rPr>
        <w:t xml:space="preserve"> </w:t>
      </w:r>
      <w:r>
        <w:rPr>
          <w:rStyle w:val="VerbatimChar"/>
          <w:b/>
          <w:bCs/>
        </w:rPr>
        <w:t xml:space="preserve">Gould</w:t>
      </w:r>
      <w:r>
        <w:rPr>
          <w:b/>
          <w:bCs/>
        </w:rPr>
        <w:t xml:space="preserve">:</w:t>
      </w:r>
      <w:r>
        <w:t xml:space="preserve"> </w:t>
      </w:r>
      <w:r>
        <w:t xml:space="preserve">Corregida la fecha de fallecimiento de Glenn Gould a</w:t>
      </w:r>
      <w:r>
        <w:t xml:space="preserve"> </w:t>
      </w:r>
      <w:r>
        <w:rPr>
          <w:b/>
          <w:bCs/>
        </w:rPr>
        <w:t xml:space="preserve">32 días</w:t>
      </w:r>
      <w:r>
        <w:t xml:space="preserve"> </w:t>
      </w:r>
      <w:r>
        <w:t xml:space="preserve">tras la publicación del máster de 1981.</w:t>
      </w:r>
    </w:p>
    <w:p>
      <w:pPr>
        <w:pStyle w:val="Compact"/>
        <w:numPr>
          <w:ilvl w:val="0"/>
          <w:numId w:val="1109"/>
        </w:numPr>
      </w:pPr>
      <w:r>
        <w:rPr>
          <w:b/>
          <w:bCs/>
        </w:rPr>
        <w:t xml:space="preserve">Commit</w:t>
      </w:r>
      <w:r>
        <w:rPr>
          <w:b/>
          <w:bCs/>
        </w:rPr>
        <w:t xml:space="preserve"> </w:t>
      </w:r>
      <w:r>
        <w:rPr>
          <w:rStyle w:val="VerbatimChar"/>
          <w:b/>
          <w:bCs/>
        </w:rPr>
        <w:t xml:space="preserve">GSK</w:t>
      </w:r>
      <w:r>
        <w:rPr>
          <w:b/>
          <w:bCs/>
        </w:rPr>
        <w:t xml:space="preserve">:</w:t>
      </w:r>
      <w:r>
        <w:t xml:space="preserve"> </w:t>
      </w:r>
      <w:r>
        <w:t xml:space="preserve">Citación sustituida por el expediente civil (qui tam) exacto</w:t>
      </w:r>
      <w:r>
        <w:t xml:space="preserve"> </w:t>
      </w:r>
      <w:r>
        <w:rPr>
          <w:rStyle w:val="VerbatimChar"/>
        </w:rPr>
        <w:t xml:space="preserve">United States ex rel. Thorpe v. GlaxoSmithKline, No. 11-10398-RWZ</w:t>
      </w:r>
      <w:r>
        <w:t xml:space="preserve">.</w:t>
      </w:r>
    </w:p>
    <w:p>
      <w:pPr>
        <w:pStyle w:val="Compact"/>
        <w:numPr>
          <w:ilvl w:val="0"/>
          <w:numId w:val="1109"/>
        </w:numPr>
      </w:pPr>
      <w:r>
        <w:rPr>
          <w:b/>
          <w:bCs/>
        </w:rPr>
        <w:t xml:space="preserve">Commit</w:t>
      </w:r>
      <w:r>
        <w:rPr>
          <w:b/>
          <w:bCs/>
        </w:rPr>
        <w:t xml:space="preserve"> </w:t>
      </w:r>
      <w:r>
        <w:rPr>
          <w:rStyle w:val="VerbatimChar"/>
          <w:b/>
          <w:bCs/>
        </w:rPr>
        <w:t xml:space="preserve">Theranos</w:t>
      </w:r>
      <w:r>
        <w:rPr>
          <w:b/>
          <w:bCs/>
        </w:rPr>
        <w:t xml:space="preserve">:</w:t>
      </w:r>
      <w:r>
        <w:t xml:space="preserve"> </w:t>
      </w:r>
      <w:r>
        <w:t xml:space="preserve">Docket unificado a</w:t>
      </w:r>
      <w:r>
        <w:t xml:space="preserve"> </w:t>
      </w:r>
      <w:r>
        <w:rPr>
          <w:rStyle w:val="VerbatimChar"/>
        </w:rPr>
        <w:t xml:space="preserve">5:18-cr-00258-EJD</w:t>
      </w:r>
      <w:r>
        <w:t xml:space="preserve">.</w:t>
      </w:r>
    </w:p>
    <w:p>
      <w:pPr>
        <w:pStyle w:val="Compact"/>
        <w:numPr>
          <w:ilvl w:val="0"/>
          <w:numId w:val="1109"/>
        </w:numPr>
      </w:pPr>
      <w:r>
        <w:rPr>
          <w:b/>
          <w:bCs/>
        </w:rPr>
        <w:t xml:space="preserve">Commit</w:t>
      </w:r>
      <w:r>
        <w:rPr>
          <w:b/>
          <w:bCs/>
        </w:rPr>
        <w:t xml:space="preserve"> </w:t>
      </w:r>
      <w:r>
        <w:rPr>
          <w:rStyle w:val="VerbatimChar"/>
          <w:b/>
          <w:bCs/>
        </w:rPr>
        <w:t xml:space="preserve">Lerchner-IA</w:t>
      </w:r>
      <w:r>
        <w:rPr>
          <w:b/>
          <w:bCs/>
        </w:rPr>
        <w:t xml:space="preserve"> </w:t>
      </w:r>
      <w:r>
        <w:rPr>
          <w:b/>
          <w:bCs/>
        </w:rPr>
        <w:t xml:space="preserve">(2026-09-23):</w:t>
      </w:r>
      <w:r>
        <w:t xml:space="preserve"> </w:t>
      </w:r>
      <w:r>
        <w:t xml:space="preserve">Incorporación del Caso 2.5 y Sección 13 en el Capítulo II sobre la quiebra de bisimulación en la IA comercial. Rectificación filológica del investigador de Google DeepMind Alexander Lerchner (con</w:t>
      </w:r>
      <w:r>
        <w:t xml:space="preserve"> </w:t>
      </w:r>
      <w:r>
        <w:t xml:space="preserve">‘r’</w:t>
      </w:r>
      <w:r>
        <w:t xml:space="preserve">) en</w:t>
      </w:r>
      <w:r>
        <w:t xml:space="preserve"> </w:t>
      </w:r>
      <w:r>
        <w:rPr>
          <w:i/>
          <w:iCs/>
        </w:rPr>
        <w:t xml:space="preserve">The Abstraction Fallacy</w:t>
      </w:r>
      <w:r>
        <w:t xml:space="preserve"> </w:t>
      </w:r>
      <w:r>
        <w:t xml:space="preserve">(marzo de 2026). Inclusión empírica de la encuesta AAAI (2025, 76% descarta AGI por mero escalado), estudio NBER w34836 (2026, &gt;80% empresas sin impacto en productividad o empleo), estimación de Acemoglu (0,55% PTF en 10 años) y tarificación de créditos en Google Antigravity (recorte del 97% de cuota).</w:t>
      </w:r>
    </w:p>
    <w:p>
      <w:pPr>
        <w:pStyle w:val="Compact"/>
        <w:numPr>
          <w:ilvl w:val="0"/>
          <w:numId w:val="1109"/>
        </w:numPr>
      </w:pPr>
      <w:r>
        <w:rPr>
          <w:b/>
          <w:bCs/>
        </w:rPr>
        <w:t xml:space="preserve">Commit</w:t>
      </w:r>
      <w:r>
        <w:rPr>
          <w:b/>
          <w:bCs/>
        </w:rPr>
        <w:t xml:space="preserve"> </w:t>
      </w:r>
      <w:r>
        <w:rPr>
          <w:rStyle w:val="VerbatimChar"/>
          <w:b/>
          <w:bCs/>
        </w:rPr>
        <w:t xml:space="preserve">NuevosCasos-V3</w:t>
      </w:r>
      <w:r>
        <w:rPr>
          <w:b/>
          <w:bCs/>
        </w:rPr>
        <w:t xml:space="preserve"> </w:t>
      </w:r>
      <w:r>
        <w:rPr>
          <w:b/>
          <w:bCs/>
        </w:rPr>
        <w:t xml:space="preserve">(2026-09-28):</w:t>
      </w:r>
      <w:r>
        <w:t xml:space="preserve"> </w:t>
      </w:r>
      <w:r>
        <w:t xml:space="preserve">Integración formal de 5 nuevos casos forenses y hechos probados: Caso 5.5 (Rick Rubin vs. Radiohead y la incompatibilidad de operadores en espacio de fases), Caso 5.6 (Deantoni Parks y el Technoself: soberanía del wetware biológico sobre el silicio sin cuantización), Caso 5.7 (James Rhodes y la filantropía de escaparate en el desahucio forzoso de Retiro de 2026), Caso 6.5 (Busta Rhymes, Steven Bartlett y la termodinámica de la llama frente a la antorcha: no-rivalidad de ignición vs. cota de hipoxia y mutex de hardware) y Caso 10.4 (Reificación de la solidaridad y el escudo social ante el lanzamiento judicial en asfalto). Total de enlaces internos resueltos: 88 (100%). Violaciones C5 en CUERPO: 0.</w:t>
      </w:r>
    </w:p>
    <w:p>
      <w:pPr>
        <w:pStyle w:val="FirstParagraph"/>
      </w:pPr>
      <w:r>
        <w:rPr>
          <w:b/>
          <w:bCs/>
        </w:rPr>
        <w:t xml:space="preserve">Auditoría total: purga factual (2026-09-08):</w:t>
      </w:r>
    </w:p>
    <w:p>
      <w:pPr>
        <w:pStyle w:val="Compact"/>
        <w:numPr>
          <w:ilvl w:val="0"/>
          <w:numId w:val="1110"/>
        </w:numPr>
      </w:pPr>
      <w:r>
        <w:rPr>
          <w:b/>
          <w:bCs/>
        </w:rPr>
        <w:t xml:space="preserve">Commit</w:t>
      </w:r>
      <w:r>
        <w:rPr>
          <w:b/>
          <w:bCs/>
        </w:rPr>
        <w:t xml:space="preserve"> </w:t>
      </w:r>
      <w:r>
        <w:rPr>
          <w:rStyle w:val="VerbatimChar"/>
          <w:b/>
          <w:bCs/>
        </w:rPr>
        <w:t xml:space="preserve">Ilegales</w:t>
      </w:r>
      <w:r>
        <w:rPr>
          <w:b/>
          <w:bCs/>
        </w:rPr>
        <w:t xml:space="preserve">:</w:t>
      </w:r>
      <w:r>
        <w:t xml:space="preserve"> </w:t>
      </w:r>
      <w:r>
        <w:t xml:space="preserve">Cap V §8 reescrito: Jorge Martínez (n. 1955, Avilés; m. 9-dic-2025); álbum</w:t>
      </w:r>
      <w:r>
        <w:t xml:space="preserve"> </w:t>
      </w:r>
      <w:r>
        <w:rPr>
          <w:i/>
          <w:iCs/>
        </w:rPr>
        <w:t xml:space="preserve">Agotados de esperar el fin</w:t>
      </w:r>
      <w:r>
        <w:t xml:space="preserve"> </w:t>
      </w:r>
      <w:r>
        <w:t xml:space="preserve">(Epic/CBS, 1984); eliminado el álbum inexistente</w:t>
      </w:r>
      <w:r>
        <w:t xml:space="preserve"> </w:t>
      </w:r>
      <w:r>
        <w:rPr>
          <w:i/>
          <w:iCs/>
        </w:rPr>
        <w:t xml:space="preserve">Sexo, Drogas y Rock &amp; Roll</w:t>
      </w:r>
      <w:r>
        <w:t xml:space="preserve"> </w:t>
      </w:r>
      <w:r>
        <w:t xml:space="preserve">(EMI, 1984);</w:t>
      </w:r>
      <w:r>
        <w:t xml:space="preserve"> </w:t>
      </w:r>
      <w:r>
        <w:t xml:space="preserve">“Ya no necesito a nadie”</w:t>
      </w:r>
      <w:r>
        <w:t xml:space="preserve"> </w:t>
      </w:r>
      <w:r>
        <w:t xml:space="preserve">ubicada en el debut</w:t>
      </w:r>
      <w:r>
        <w:t xml:space="preserve"> </w:t>
      </w:r>
      <w:r>
        <w:rPr>
          <w:i/>
          <w:iCs/>
        </w:rPr>
        <w:t xml:space="preserve">Ilegales</w:t>
      </w:r>
      <w:r>
        <w:t xml:space="preserve"> </w:t>
      </w:r>
      <w:r>
        <w:t xml:space="preserve">(DRO, 1982); fuente discográfica primaria en sustitución de la editorial errónea.</w:t>
      </w:r>
    </w:p>
    <w:p>
      <w:pPr>
        <w:pStyle w:val="Compact"/>
        <w:numPr>
          <w:ilvl w:val="0"/>
          <w:numId w:val="1110"/>
        </w:numPr>
      </w:pPr>
      <w:r>
        <w:rPr>
          <w:b/>
          <w:bCs/>
        </w:rPr>
        <w:t xml:space="preserve">Commit</w:t>
      </w:r>
      <w:r>
        <w:rPr>
          <w:b/>
          <w:bCs/>
        </w:rPr>
        <w:t xml:space="preserve"> </w:t>
      </w:r>
      <w:r>
        <w:rPr>
          <w:rStyle w:val="VerbatimChar"/>
          <w:b/>
          <w:bCs/>
        </w:rPr>
        <w:t xml:space="preserve">Cameron</w:t>
      </w:r>
      <w:r>
        <w:rPr>
          <w:b/>
          <w:bCs/>
        </w:rPr>
        <w:t xml:space="preserve">:</w:t>
      </w:r>
      <w:r>
        <w:t xml:space="preserve"> </w:t>
      </w:r>
      <w:r>
        <w:t xml:space="preserve">Protocolo depatterning: 2-3 sesiones diarias (6 choques de 150 V), 30-40 sesiones por curso. Indemnizaciones separadas: CIA 1988 (9 demandantes canadienses, ~$67.000 c/u); gobierno de Canadá 1992 (77 víctimas, C$100.000 c/u).</w:t>
      </w:r>
    </w:p>
    <w:p>
      <w:pPr>
        <w:pStyle w:val="Compact"/>
        <w:numPr>
          <w:ilvl w:val="0"/>
          <w:numId w:val="1110"/>
        </w:numPr>
      </w:pPr>
      <w:r>
        <w:rPr>
          <w:b/>
          <w:bCs/>
        </w:rPr>
        <w:t xml:space="preserve">Commit</w:t>
      </w:r>
      <w:r>
        <w:rPr>
          <w:b/>
          <w:bCs/>
        </w:rPr>
        <w:t xml:space="preserve"> </w:t>
      </w:r>
      <w:r>
        <w:rPr>
          <w:rStyle w:val="VerbatimChar"/>
          <w:b/>
          <w:bCs/>
        </w:rPr>
        <w:t xml:space="preserve">Study329</w:t>
      </w:r>
      <w:r>
        <w:rPr>
          <w:b/>
          <w:bCs/>
        </w:rPr>
        <w:t xml:space="preserve">:</w:t>
      </w:r>
      <w:r>
        <w:t xml:space="preserve"> </w:t>
      </w:r>
      <w:r>
        <w:t xml:space="preserve">Eventos adversos reportados por Keller et al. (2001): 265 (RIAT identificó 481; el CSR de SKB contaba 338).</w:t>
      </w:r>
    </w:p>
    <w:p>
      <w:pPr>
        <w:pStyle w:val="Compact"/>
        <w:numPr>
          <w:ilvl w:val="0"/>
          <w:numId w:val="1110"/>
        </w:numPr>
      </w:pPr>
      <w:r>
        <w:rPr>
          <w:b/>
          <w:bCs/>
        </w:rPr>
        <w:t xml:space="preserve">Commit</w:t>
      </w:r>
      <w:r>
        <w:rPr>
          <w:b/>
          <w:bCs/>
        </w:rPr>
        <w:t xml:space="preserve"> </w:t>
      </w:r>
      <w:r>
        <w:rPr>
          <w:rStyle w:val="VerbatimChar"/>
          <w:b/>
          <w:bCs/>
        </w:rPr>
        <w:t xml:space="preserve">Curie</w:t>
      </w:r>
      <w:r>
        <w:rPr>
          <w:b/>
          <w:bCs/>
        </w:rPr>
        <w:t xml:space="preserve">:</w:t>
      </w:r>
      <w:r>
        <w:t xml:space="preserve"> </w:t>
      </w:r>
      <w:r>
        <w:t xml:space="preserve">Nobel de Química 1911: cinco años y medio después de la muerte de Pierre Curie (19-abr-1906); eliminada la Conferencia Solvay (1911) como fuente de la decisión de no patentar, documentada en la biografía de Pierre Curie (1902-1903).</w:t>
      </w:r>
    </w:p>
    <w:p>
      <w:pPr>
        <w:pStyle w:val="Compact"/>
        <w:numPr>
          <w:ilvl w:val="0"/>
          <w:numId w:val="1110"/>
        </w:numPr>
      </w:pPr>
      <w:r>
        <w:rPr>
          <w:b/>
          <w:bCs/>
        </w:rPr>
        <w:t xml:space="preserve">Commit</w:t>
      </w:r>
      <w:r>
        <w:rPr>
          <w:b/>
          <w:bCs/>
        </w:rPr>
        <w:t xml:space="preserve"> </w:t>
      </w:r>
      <w:r>
        <w:rPr>
          <w:rStyle w:val="VerbatimChar"/>
          <w:b/>
          <w:bCs/>
        </w:rPr>
        <w:t xml:space="preserve">KaseO</w:t>
      </w:r>
      <w:r>
        <w:rPr>
          <w:b/>
          <w:bCs/>
        </w:rPr>
        <w:t xml:space="preserve">:</w:t>
      </w:r>
      <w:r>
        <w:t xml:space="preserve"> </w:t>
      </w:r>
      <w:r>
        <w:t xml:space="preserve">Sello Jamones Records sustituido por Rap Solo; producción mayoritaria de Kase.O con colaboradores (R de Rumba y otros).</w:t>
      </w:r>
    </w:p>
    <w:p>
      <w:pPr>
        <w:pStyle w:val="Compact"/>
        <w:numPr>
          <w:ilvl w:val="0"/>
          <w:numId w:val="1110"/>
        </w:numPr>
      </w:pPr>
      <w:r>
        <w:rPr>
          <w:b/>
          <w:bCs/>
        </w:rPr>
        <w:t xml:space="preserve">Commit</w:t>
      </w:r>
      <w:r>
        <w:rPr>
          <w:b/>
          <w:bCs/>
        </w:rPr>
        <w:t xml:space="preserve"> </w:t>
      </w:r>
      <w:r>
        <w:rPr>
          <w:rStyle w:val="VerbatimChar"/>
          <w:b/>
          <w:bCs/>
        </w:rPr>
        <w:t xml:space="preserve">Ryman</w:t>
      </w:r>
      <w:r>
        <w:rPr>
          <w:b/>
          <w:bCs/>
        </w:rPr>
        <w:t xml:space="preserve">:</w:t>
      </w:r>
      <w:r>
        <w:t xml:space="preserve"> </w:t>
      </w:r>
      <w:r>
        <w:rPr>
          <w:i/>
          <w:iCs/>
        </w:rPr>
        <w:t xml:space="preserve">Untitled</w:t>
      </w:r>
      <w:r>
        <w:t xml:space="preserve"> </w:t>
      </w:r>
      <w:r>
        <w:t xml:space="preserve">(1961): $15.005.000 (Sotheby’s, Nueva York, 11-nov-2014); récord del artista: $20,6M (</w:t>
      </w:r>
      <w:r>
        <w:rPr>
          <w:i/>
          <w:iCs/>
        </w:rPr>
        <w:t xml:space="preserve">Bridge</w:t>
      </w:r>
      <w:r>
        <w:t xml:space="preserve">, Christie’s, 2015).</w:t>
      </w:r>
    </w:p>
    <w:p>
      <w:pPr>
        <w:pStyle w:val="Compact"/>
        <w:numPr>
          <w:ilvl w:val="0"/>
          <w:numId w:val="1110"/>
        </w:numPr>
      </w:pPr>
      <w:r>
        <w:rPr>
          <w:b/>
          <w:bCs/>
        </w:rPr>
        <w:t xml:space="preserve">Commit</w:t>
      </w:r>
      <w:r>
        <w:rPr>
          <w:b/>
          <w:bCs/>
        </w:rPr>
        <w:t xml:space="preserve"> </w:t>
      </w:r>
      <w:r>
        <w:rPr>
          <w:rStyle w:val="VerbatimChar"/>
          <w:b/>
          <w:bCs/>
        </w:rPr>
        <w:t xml:space="preserve">Ramanujan</w:t>
      </w:r>
      <w:r>
        <w:rPr>
          <w:b/>
          <w:bCs/>
        </w:rPr>
        <w:t xml:space="preserve">:</w:t>
      </w:r>
      <w:r>
        <w:t xml:space="preserve"> </w:t>
      </w:r>
      <w:r>
        <w:t xml:space="preserve">32 años de vida (1887-1920); llegada a Cambridge en abril de 1914 (carta a Hardy, enero 1913).</w:t>
      </w:r>
    </w:p>
    <w:p>
      <w:pPr>
        <w:pStyle w:val="Compact"/>
        <w:numPr>
          <w:ilvl w:val="0"/>
          <w:numId w:val="1110"/>
        </w:numPr>
      </w:pPr>
      <w:r>
        <w:rPr>
          <w:b/>
          <w:bCs/>
        </w:rPr>
        <w:t xml:space="preserve">Commit</w:t>
      </w:r>
      <w:r>
        <w:rPr>
          <w:b/>
          <w:bCs/>
        </w:rPr>
        <w:t xml:space="preserve"> </w:t>
      </w:r>
      <w:r>
        <w:rPr>
          <w:rStyle w:val="VerbatimChar"/>
          <w:b/>
          <w:bCs/>
        </w:rPr>
        <w:t xml:space="preserve">Hollis</w:t>
      </w:r>
      <w:r>
        <w:rPr>
          <w:b/>
          <w:bCs/>
        </w:rPr>
        <w:t xml:space="preserve">:</w:t>
      </w:r>
      <w:r>
        <w:t xml:space="preserve"> </w:t>
      </w:r>
      <w:r>
        <w:t xml:space="preserve">Mark Hollis publicó el álbum</w:t>
      </w:r>
      <w:r>
        <w:t xml:space="preserve"> </w:t>
      </w:r>
      <w:r>
        <w:rPr>
          <w:i/>
          <w:iCs/>
        </w:rPr>
        <w:t xml:space="preserve">Mark Hollis</w:t>
      </w:r>
      <w:r>
        <w:t xml:space="preserve"> </w:t>
      </w:r>
      <w:r>
        <w:t xml:space="preserve">(Polydor, 1998) y colaboró en</w:t>
      </w:r>
      <w:r>
        <w:t xml:space="preserve"> </w:t>
      </w:r>
      <w:r>
        <w:rPr>
          <w:i/>
          <w:iCs/>
        </w:rPr>
        <w:t xml:space="preserve">Psyence Fiction</w:t>
      </w:r>
      <w:r>
        <w:t xml:space="preserve"> </w:t>
      </w:r>
      <w:r>
        <w:t xml:space="preserve">de UNKLE (1998) antes de retirarse.</w:t>
      </w:r>
    </w:p>
    <w:p>
      <w:pPr>
        <w:pStyle w:val="Compact"/>
        <w:numPr>
          <w:ilvl w:val="0"/>
          <w:numId w:val="1110"/>
        </w:numPr>
      </w:pPr>
      <w:r>
        <w:rPr>
          <w:b/>
          <w:bCs/>
        </w:rPr>
        <w:t xml:space="preserve">Commit</w:t>
      </w:r>
      <w:r>
        <w:rPr>
          <w:b/>
          <w:bCs/>
        </w:rPr>
        <w:t xml:space="preserve"> </w:t>
      </w:r>
      <w:r>
        <w:rPr>
          <w:rStyle w:val="VerbatimChar"/>
          <w:b/>
          <w:bCs/>
        </w:rPr>
        <w:t xml:space="preserve">Rosenhan</w:t>
      </w:r>
      <w:r>
        <w:rPr>
          <w:b/>
          <w:bCs/>
        </w:rPr>
        <w:t xml:space="preserve">:</w:t>
      </w:r>
      <w:r>
        <w:t xml:space="preserve"> </w:t>
      </w:r>
      <w:r>
        <w:t xml:space="preserve">Los pseudopacientes declararon escuchar tres palabras (</w:t>
      </w:r>
      <w:r>
        <w:t xml:space="preserve">“empty”</w:t>
      </w:r>
      <w:r>
        <w:t xml:space="preserve">,</w:t>
      </w:r>
      <w:r>
        <w:t xml:space="preserve"> </w:t>
      </w:r>
      <w:r>
        <w:t xml:space="preserve">“hollow”</w:t>
      </w:r>
      <w:r>
        <w:t xml:space="preserve">,</w:t>
      </w:r>
      <w:r>
        <w:t xml:space="preserve"> </w:t>
      </w:r>
      <w:r>
        <w:t xml:space="preserve">“thud”</w:t>
      </w:r>
      <w:r>
        <w:t xml:space="preserve">).</w:t>
      </w:r>
    </w:p>
    <w:p>
      <w:pPr>
        <w:pStyle w:val="Compact"/>
        <w:numPr>
          <w:ilvl w:val="0"/>
          <w:numId w:val="1110"/>
        </w:numPr>
      </w:pPr>
      <w:r>
        <w:rPr>
          <w:b/>
          <w:bCs/>
        </w:rPr>
        <w:t xml:space="preserve">Commit</w:t>
      </w:r>
      <w:r>
        <w:rPr>
          <w:b/>
          <w:bCs/>
        </w:rPr>
        <w:t xml:space="preserve"> </w:t>
      </w:r>
      <w:r>
        <w:rPr>
          <w:rStyle w:val="VerbatimChar"/>
          <w:b/>
          <w:bCs/>
        </w:rPr>
        <w:t xml:space="preserve">Moncrieff</w:t>
      </w:r>
      <w:r>
        <w:rPr>
          <w:b/>
          <w:bCs/>
        </w:rPr>
        <w:t xml:space="preserve">:</w:t>
      </w:r>
      <w:r>
        <w:t xml:space="preserve"> </w:t>
      </w:r>
      <w:r>
        <w:t xml:space="preserve">17 estudios (12 revisiones/meta-análisis junto a otros diseños); conclusión matizada: ninguna evidencia consistente; año unificado: 2022 (online) / 2023 (impreso).</w:t>
      </w:r>
    </w:p>
    <w:p>
      <w:pPr>
        <w:pStyle w:val="Compact"/>
        <w:numPr>
          <w:ilvl w:val="0"/>
          <w:numId w:val="1110"/>
        </w:numPr>
      </w:pPr>
      <w:r>
        <w:rPr>
          <w:b/>
          <w:bCs/>
        </w:rPr>
        <w:t xml:space="preserve">Commit</w:t>
      </w:r>
      <w:r>
        <w:rPr>
          <w:b/>
          <w:bCs/>
        </w:rPr>
        <w:t xml:space="preserve"> </w:t>
      </w:r>
      <w:r>
        <w:rPr>
          <w:rStyle w:val="VerbatimChar"/>
          <w:b/>
          <w:bCs/>
        </w:rPr>
        <w:t xml:space="preserve">Rosemary</w:t>
      </w:r>
      <w:r>
        <w:rPr>
          <w:b/>
          <w:bCs/>
        </w:rPr>
        <w:t xml:space="preserve">:</w:t>
      </w:r>
      <w:r>
        <w:t xml:space="preserve"> </w:t>
      </w:r>
      <w:r>
        <w:t xml:space="preserve">Saint Coletta: 56 años (1949-2005).</w:t>
      </w:r>
    </w:p>
    <w:p>
      <w:pPr>
        <w:pStyle w:val="Compact"/>
        <w:numPr>
          <w:ilvl w:val="0"/>
          <w:numId w:val="1110"/>
        </w:numPr>
      </w:pPr>
      <w:r>
        <w:rPr>
          <w:b/>
          <w:bCs/>
        </w:rPr>
        <w:t xml:space="preserve">Commit</w:t>
      </w:r>
      <w:r>
        <w:rPr>
          <w:b/>
          <w:bCs/>
        </w:rPr>
        <w:t xml:space="preserve"> </w:t>
      </w:r>
      <w:r>
        <w:rPr>
          <w:rStyle w:val="VerbatimChar"/>
          <w:b/>
          <w:bCs/>
        </w:rPr>
        <w:t xml:space="preserve">Zyprexa</w:t>
      </w:r>
      <w:r>
        <w:rPr>
          <w:b/>
          <w:bCs/>
        </w:rPr>
        <w:t xml:space="preserve">:</w:t>
      </w:r>
      <w:r>
        <w:t xml:space="preserve"> </w:t>
      </w:r>
      <w:r>
        <w:t xml:space="preserve">Pico de ventas 2007: ~$4.700 millones.</w:t>
      </w:r>
    </w:p>
    <w:p>
      <w:pPr>
        <w:pStyle w:val="Compact"/>
        <w:numPr>
          <w:ilvl w:val="0"/>
          <w:numId w:val="1110"/>
        </w:numPr>
      </w:pPr>
      <w:r>
        <w:rPr>
          <w:b/>
          <w:bCs/>
        </w:rPr>
        <w:t xml:space="preserve">Commit</w:t>
      </w:r>
      <w:r>
        <w:rPr>
          <w:b/>
          <w:bCs/>
        </w:rPr>
        <w:t xml:space="preserve"> </w:t>
      </w:r>
      <w:r>
        <w:rPr>
          <w:rStyle w:val="VerbatimChar"/>
          <w:b/>
          <w:bCs/>
        </w:rPr>
        <w:t xml:space="preserve">OxyContin</w:t>
      </w:r>
      <w:r>
        <w:rPr>
          <w:b/>
          <w:bCs/>
        </w:rPr>
        <w:t xml:space="preserve">:</w:t>
      </w:r>
      <w:r>
        <w:t xml:space="preserve"> </w:t>
      </w:r>
      <w:r>
        <w:t xml:space="preserve">Tasa de uso indebido (misuse) 21-29% en prescripción crónica (Vowles et al., 2015,</w:t>
      </w:r>
      <w:r>
        <w:t xml:space="preserve"> </w:t>
      </w:r>
      <w:r>
        <w:rPr>
          <w:i/>
          <w:iCs/>
        </w:rPr>
        <w:t xml:space="preserve">Pain</w:t>
      </w:r>
      <w:r>
        <w:t xml:space="preserve">), en sustitución de</w:t>
      </w:r>
      <w:r>
        <w:t xml:space="preserve"> </w:t>
      </w:r>
      <w:r>
        <w:t xml:space="preserve">“&gt;25% de adicción”</w:t>
      </w:r>
      <w:r>
        <w:t xml:space="preserve">.</w:t>
      </w:r>
    </w:p>
    <w:p>
      <w:pPr>
        <w:pStyle w:val="Compact"/>
        <w:numPr>
          <w:ilvl w:val="0"/>
          <w:numId w:val="1110"/>
        </w:numPr>
      </w:pPr>
      <w:r>
        <w:rPr>
          <w:b/>
          <w:bCs/>
        </w:rPr>
        <w:t xml:space="preserve">Commit</w:t>
      </w:r>
      <w:r>
        <w:rPr>
          <w:b/>
          <w:bCs/>
        </w:rPr>
        <w:t xml:space="preserve"> </w:t>
      </w:r>
      <w:r>
        <w:rPr>
          <w:rStyle w:val="VerbatimChar"/>
          <w:b/>
          <w:bCs/>
        </w:rPr>
        <w:t xml:space="preserve">Gould</w:t>
      </w:r>
      <w:r>
        <w:rPr>
          <w:b/>
          <w:bCs/>
        </w:rPr>
        <w:t xml:space="preserve">:</w:t>
      </w:r>
      <w:r>
        <w:t xml:space="preserve"> </w:t>
      </w:r>
      <w:r>
        <w:t xml:space="preserve">40.000 copias acumuladas hasta 1960 (no el primer año).</w:t>
      </w:r>
    </w:p>
    <w:p>
      <w:pPr>
        <w:pStyle w:val="Compact"/>
        <w:numPr>
          <w:ilvl w:val="0"/>
          <w:numId w:val="1110"/>
        </w:numPr>
      </w:pPr>
      <w:r>
        <w:rPr>
          <w:b/>
          <w:bCs/>
        </w:rPr>
        <w:t xml:space="preserve">Commit</w:t>
      </w:r>
      <w:r>
        <w:rPr>
          <w:b/>
          <w:bCs/>
        </w:rPr>
        <w:t xml:space="preserve"> </w:t>
      </w:r>
      <w:r>
        <w:rPr>
          <w:rStyle w:val="VerbatimChar"/>
          <w:b/>
          <w:bCs/>
        </w:rPr>
        <w:t xml:space="preserve">MilliVanilli</w:t>
      </w:r>
      <w:r>
        <w:rPr>
          <w:b/>
          <w:bCs/>
        </w:rPr>
        <w:t xml:space="preserve">:</w:t>
      </w:r>
      <w:r>
        <w:t xml:space="preserve"> </w:t>
      </w:r>
      <w:r>
        <w:t xml:space="preserve">Eliminada la cifra</w:t>
      </w:r>
      <w:r>
        <w:t xml:space="preserve"> </w:t>
      </w:r>
      <w:r>
        <w:t xml:space="preserve">“30 millones de discos”</w:t>
      </w:r>
      <w:r>
        <w:t xml:space="preserve">; sustituida por datos asentados (álbum 7× platino en EEUU; single 7 millones de copias).</w:t>
      </w:r>
    </w:p>
    <w:p>
      <w:pPr>
        <w:pStyle w:val="Compact"/>
        <w:numPr>
          <w:ilvl w:val="0"/>
          <w:numId w:val="1110"/>
        </w:numPr>
      </w:pPr>
      <w:r>
        <w:rPr>
          <w:b/>
          <w:bCs/>
        </w:rPr>
        <w:t xml:space="preserve">Commit</w:t>
      </w:r>
      <w:r>
        <w:rPr>
          <w:b/>
          <w:bCs/>
        </w:rPr>
        <w:t xml:space="preserve"> </w:t>
      </w:r>
      <w:r>
        <w:rPr>
          <w:rStyle w:val="VerbatimChar"/>
          <w:b/>
          <w:bCs/>
        </w:rPr>
        <w:t xml:space="preserve">Torvalds</w:t>
      </w:r>
      <w:r>
        <w:rPr>
          <w:b/>
          <w:bCs/>
        </w:rPr>
        <w:t xml:space="preserve">:</w:t>
      </w:r>
      <w:r>
        <w:t xml:space="preserve"> </w:t>
      </w:r>
      <w:r>
        <w:t xml:space="preserve">Emisión inicial: 10.239 líneas; eliminada la capitalización de</w:t>
      </w:r>
      <w:r>
        <w:t xml:space="preserve"> </w:t>
      </w:r>
      <w:r>
        <w:t xml:space="preserve">“20 billones USD”</w:t>
      </w:r>
      <w:r>
        <w:t xml:space="preserve"> </w:t>
      </w:r>
      <w:r>
        <w:t xml:space="preserve">sin fuente (magnitud cualitativa, estimación propia declarada).</w:t>
      </w:r>
    </w:p>
    <w:p>
      <w:pPr>
        <w:pStyle w:val="Compact"/>
        <w:numPr>
          <w:ilvl w:val="0"/>
          <w:numId w:val="1110"/>
        </w:numPr>
      </w:pPr>
      <w:r>
        <w:rPr>
          <w:b/>
          <w:bCs/>
        </w:rPr>
        <w:t xml:space="preserve">Commit</w:t>
      </w:r>
      <w:r>
        <w:rPr>
          <w:b/>
          <w:bCs/>
        </w:rPr>
        <w:t xml:space="preserve"> </w:t>
      </w:r>
      <w:r>
        <w:rPr>
          <w:rStyle w:val="VerbatimChar"/>
          <w:b/>
          <w:bCs/>
        </w:rPr>
        <w:t xml:space="preserve">Valium</w:t>
      </w:r>
      <w:r>
        <w:rPr>
          <w:b/>
          <w:bCs/>
        </w:rPr>
        <w:t xml:space="preserve">:</w:t>
      </w:r>
      <w:r>
        <w:t xml:space="preserve"> </w:t>
      </w:r>
      <w:r>
        <w:t xml:space="preserve">Eliminada la cifra</w:t>
      </w:r>
      <w:r>
        <w:t xml:space="preserve"> </w:t>
      </w:r>
      <w:r>
        <w:t xml:space="preserve">“20 millones de nodos”</w:t>
      </w:r>
      <w:r>
        <w:t xml:space="preserve">; sustituida por 2.300 millones de comprimidos vendidos en EEUU en 1978 (A. Tone,</w:t>
      </w:r>
      <w:r>
        <w:t xml:space="preserve"> </w:t>
      </w:r>
      <w:r>
        <w:rPr>
          <w:i/>
          <w:iCs/>
        </w:rPr>
        <w:t xml:space="preserve">The Age of Anxiety</w:t>
      </w:r>
      <w:r>
        <w:t xml:space="preserve">, 2009); ficha YAML: Mother’s Little Helper 1968 → 1966 (</w:t>
      </w:r>
      <w:r>
        <w:rPr>
          <w:i/>
          <w:iCs/>
        </w:rPr>
        <w:t xml:space="preserve">Aftermath</w:t>
      </w:r>
      <w:r>
        <w:t xml:space="preserve">).</w:t>
      </w:r>
    </w:p>
    <w:p>
      <w:pPr>
        <w:pStyle w:val="Compact"/>
        <w:numPr>
          <w:ilvl w:val="0"/>
          <w:numId w:val="1110"/>
        </w:numPr>
      </w:pPr>
      <w:r>
        <w:rPr>
          <w:b/>
          <w:bCs/>
        </w:rPr>
        <w:t xml:space="preserve">Commit</w:t>
      </w:r>
      <w:r>
        <w:rPr>
          <w:b/>
          <w:bCs/>
        </w:rPr>
        <w:t xml:space="preserve"> </w:t>
      </w:r>
      <w:r>
        <w:rPr>
          <w:rStyle w:val="VerbatimChar"/>
          <w:b/>
          <w:bCs/>
        </w:rPr>
        <w:t xml:space="preserve">Quetelet</w:t>
      </w:r>
      <w:r>
        <w:rPr>
          <w:b/>
          <w:bCs/>
        </w:rPr>
        <w:t xml:space="preserve">:</w:t>
      </w:r>
      <w:r>
        <w:t xml:space="preserve"> </w:t>
      </w:r>
      <w:r>
        <w:rPr>
          <w:i/>
          <w:iCs/>
        </w:rPr>
        <w:t xml:space="preserve">l’homme moyen</w:t>
      </w:r>
      <w:r>
        <w:t xml:space="preserve"> </w:t>
      </w:r>
      <w:r>
        <w:t xml:space="preserve">en</w:t>
      </w:r>
      <w:r>
        <w:t xml:space="preserve"> </w:t>
      </w:r>
      <w:r>
        <w:rPr>
          <w:i/>
          <w:iCs/>
        </w:rPr>
        <w:t xml:space="preserve">Sur l’homme</w:t>
      </w:r>
      <w:r>
        <w:t xml:space="preserve"> </w:t>
      </w:r>
      <w:r>
        <w:t xml:space="preserve">(1835); análisis del pecho de 5.738 soldados escoceses en las</w:t>
      </w:r>
      <w:r>
        <w:t xml:space="preserve"> </w:t>
      </w:r>
      <w:r>
        <w:rPr>
          <w:i/>
          <w:iCs/>
        </w:rPr>
        <w:t xml:space="preserve">Lettres</w:t>
      </w:r>
      <w:r>
        <w:t xml:space="preserve"> </w:t>
      </w:r>
      <w:r>
        <w:t xml:space="preserve">(1846), sobre datos de 1817.</w:t>
      </w:r>
    </w:p>
    <w:p>
      <w:pPr>
        <w:pStyle w:val="Compact"/>
        <w:numPr>
          <w:ilvl w:val="0"/>
          <w:numId w:val="1110"/>
        </w:numPr>
      </w:pPr>
      <w:r>
        <w:rPr>
          <w:b/>
          <w:bCs/>
        </w:rPr>
        <w:t xml:space="preserve">Commit</w:t>
      </w:r>
      <w:r>
        <w:rPr>
          <w:b/>
          <w:bCs/>
        </w:rPr>
        <w:t xml:space="preserve"> </w:t>
      </w:r>
      <w:r>
        <w:rPr>
          <w:rStyle w:val="VerbatimChar"/>
          <w:b/>
          <w:bCs/>
        </w:rPr>
        <w:t xml:space="preserve">DSM-IV</w:t>
      </w:r>
      <w:r>
        <w:rPr>
          <w:b/>
          <w:bCs/>
        </w:rPr>
        <w:t xml:space="preserve">:</w:t>
      </w:r>
      <w:r>
        <w:t xml:space="preserve"> </w:t>
      </w:r>
      <w:r>
        <w:t xml:space="preserve">383 categorías (Blashfield et al., 2014,</w:t>
      </w:r>
      <w:r>
        <w:t xml:space="preserve"> </w:t>
      </w:r>
      <w:r>
        <w:rPr>
          <w:i/>
          <w:iCs/>
        </w:rPr>
        <w:t xml:space="preserve">Annual Review of Clinical Psychology</w:t>
      </w:r>
      <w:r>
        <w:t xml:space="preserve">, DOI: 10.1146/annurev-clinpsy-032813-153639), en sustitución de 365.</w:t>
      </w:r>
    </w:p>
    <w:p>
      <w:pPr>
        <w:pStyle w:val="Compact"/>
        <w:numPr>
          <w:ilvl w:val="0"/>
          <w:numId w:val="1110"/>
        </w:numPr>
      </w:pPr>
      <w:r>
        <w:rPr>
          <w:b/>
          <w:bCs/>
        </w:rPr>
        <w:t xml:space="preserve">Commit</w:t>
      </w:r>
      <w:r>
        <w:rPr>
          <w:b/>
          <w:bCs/>
        </w:rPr>
        <w:t xml:space="preserve"> </w:t>
      </w:r>
      <w:r>
        <w:rPr>
          <w:rStyle w:val="VerbatimChar"/>
          <w:b/>
          <w:bCs/>
        </w:rPr>
        <w:t xml:space="preserve">DSM-II-105</w:t>
      </w:r>
      <w:r>
        <w:rPr>
          <w:b/>
          <w:bCs/>
        </w:rPr>
        <w:t xml:space="preserve">:</w:t>
      </w:r>
      <w:r>
        <w:t xml:space="preserve"> </w:t>
      </w:r>
      <w:r>
        <w:t xml:space="preserve">“105 años”</w:t>
      </w:r>
      <w:r>
        <w:t xml:space="preserve"> </w:t>
      </w:r>
      <w:r>
        <w:t xml:space="preserve">declarado como cálculo propio del proyecto (Westphal 1869/70 → 1973).</w:t>
      </w:r>
    </w:p>
    <w:p>
      <w:pPr>
        <w:pStyle w:val="Compact"/>
        <w:numPr>
          <w:ilvl w:val="0"/>
          <w:numId w:val="1110"/>
        </w:numPr>
      </w:pPr>
      <w:r>
        <w:rPr>
          <w:b/>
          <w:bCs/>
        </w:rPr>
        <w:t xml:space="preserve">Commit</w:t>
      </w:r>
      <w:r>
        <w:rPr>
          <w:b/>
          <w:bCs/>
        </w:rPr>
        <w:t xml:space="preserve"> </w:t>
      </w:r>
      <w:r>
        <w:rPr>
          <w:rStyle w:val="VerbatimChar"/>
          <w:b/>
          <w:bCs/>
        </w:rPr>
        <w:t xml:space="preserve">Dedup</w:t>
      </w:r>
      <w:r>
        <w:rPr>
          <w:b/>
          <w:bCs/>
        </w:rPr>
        <w:t xml:space="preserve">:</w:t>
      </w:r>
      <w:r>
        <w:t xml:space="preserve"> </w:t>
      </w:r>
      <w:r>
        <w:t xml:space="preserve">Deduplicación estructural: Semmelweis (Cap V §2 → remisión al Caso 1.2), votación DSM 1973 (Caso 3.1 → remisión al Caso 8.3), Purdue/OxyContin (Caso 7.4 reducido al ángulo propio: plea 2007 y paralelismo Valium/madres).</w:t>
      </w:r>
    </w:p>
    <w:p>
      <w:pPr>
        <w:pStyle w:val="FirstParagraph"/>
      </w:pPr>
      <w:r>
        <w:rPr>
          <w:b/>
          <w:bCs/>
        </w:rPr>
        <w:t xml:space="preserve">Auditoría total: purga estructural (2026-09-08):</w:t>
      </w:r>
    </w:p>
    <w:p>
      <w:pPr>
        <w:pStyle w:val="Compact"/>
        <w:numPr>
          <w:ilvl w:val="0"/>
          <w:numId w:val="1111"/>
        </w:numPr>
      </w:pPr>
      <w:r>
        <w:rPr>
          <w:b/>
          <w:bCs/>
        </w:rPr>
        <w:t xml:space="preserve">Commit</w:t>
      </w:r>
      <w:r>
        <w:rPr>
          <w:b/>
          <w:bCs/>
        </w:rPr>
        <w:t xml:space="preserve"> </w:t>
      </w:r>
      <w:r>
        <w:rPr>
          <w:rStyle w:val="VerbatimChar"/>
          <w:b/>
          <w:bCs/>
        </w:rPr>
        <w:t xml:space="preserve">Axiomas6</w:t>
      </w:r>
      <w:r>
        <w:rPr>
          <w:b/>
          <w:bCs/>
        </w:rPr>
        <w:t xml:space="preserve">:</w:t>
      </w:r>
      <w:r>
        <w:t xml:space="preserve"> </w:t>
      </w:r>
      <w:r>
        <w:t xml:space="preserve">Unificación de 5 → 6 axiomas: Síntesis con Engranaje 6 (Transmisión — Escohotado), circuito ampliado, Ruta I y Cap IV alineados.</w:t>
      </w:r>
    </w:p>
    <w:p>
      <w:pPr>
        <w:pStyle w:val="Compact"/>
        <w:numPr>
          <w:ilvl w:val="0"/>
          <w:numId w:val="1111"/>
        </w:numPr>
      </w:pPr>
      <w:r>
        <w:rPr>
          <w:b/>
          <w:bCs/>
        </w:rPr>
        <w:t xml:space="preserve">Commit</w:t>
      </w:r>
      <w:r>
        <w:rPr>
          <w:b/>
          <w:bCs/>
        </w:rPr>
        <w:t xml:space="preserve"> </w:t>
      </w:r>
      <w:r>
        <w:rPr>
          <w:rStyle w:val="VerbatimChar"/>
          <w:b/>
          <w:bCs/>
        </w:rPr>
        <w:t xml:space="preserve">Subcapitulos</w:t>
      </w:r>
      <w:r>
        <w:rPr>
          <w:b/>
          <w:bCs/>
        </w:rPr>
        <w:t xml:space="preserve">:</w:t>
      </w:r>
      <w:r>
        <w:t xml:space="preserve"> </w:t>
      </w:r>
      <w:r>
        <w:t xml:space="preserve">Renumeración de los subcapítulos fantasma del Capítulo I (LO TRANSDUCTOR, NASH, TURING, BOLTZMANN, FÍSICA CUÁNTICA) a secciones internas §4–§8; fin de la colisión con los capítulos reales.</w:t>
      </w:r>
    </w:p>
    <w:p>
      <w:pPr>
        <w:pStyle w:val="Compact"/>
        <w:numPr>
          <w:ilvl w:val="0"/>
          <w:numId w:val="1111"/>
        </w:numPr>
      </w:pPr>
      <w:r>
        <w:rPr>
          <w:b/>
          <w:bCs/>
        </w:rPr>
        <w:t xml:space="preserve">Commit</w:t>
      </w:r>
      <w:r>
        <w:rPr>
          <w:b/>
          <w:bCs/>
        </w:rPr>
        <w:t xml:space="preserve"> </w:t>
      </w:r>
      <w:r>
        <w:rPr>
          <w:rStyle w:val="VerbatimChar"/>
          <w:b/>
          <w:bCs/>
        </w:rPr>
        <w:t xml:space="preserve">Enlaces</w:t>
      </w:r>
      <w:r>
        <w:rPr>
          <w:b/>
          <w:bCs/>
        </w:rPr>
        <w:t xml:space="preserve">:</w:t>
      </w:r>
      <w:r>
        <w:t xml:space="preserve"> </w:t>
      </w:r>
      <w:r>
        <w:t xml:space="preserve">~20 enlaces del compilado convertidos a anclas internas</w:t>
      </w:r>
      <w:r>
        <w:t xml:space="preserve"> </w:t>
      </w:r>
      <w:r>
        <w:rPr>
          <w:rStyle w:val="VerbatimChar"/>
        </w:rPr>
        <w:t xml:space="preserve">](#caso-…)</w:t>
      </w:r>
      <w:r>
        <w:t xml:space="preserve">; enlaces muertos a ficheros</w:t>
      </w:r>
      <w:r>
        <w:t xml:space="preserve"> </w:t>
      </w:r>
      <w:r>
        <w:rPr>
          <w:rStyle w:val="VerbatimChar"/>
        </w:rPr>
        <w:t xml:space="preserve">.md</w:t>
      </w:r>
      <w:r>
        <w:t xml:space="preserve"> </w:t>
      </w:r>
      <w:r>
        <w:t xml:space="preserve">retirados.</w:t>
      </w:r>
    </w:p>
    <w:p>
      <w:pPr>
        <w:pStyle w:val="Compact"/>
        <w:numPr>
          <w:ilvl w:val="0"/>
          <w:numId w:val="1111"/>
        </w:numPr>
      </w:pPr>
      <w:r>
        <w:rPr>
          <w:b/>
          <w:bCs/>
        </w:rPr>
        <w:t xml:space="preserve">Commit</w:t>
      </w:r>
      <w:r>
        <w:rPr>
          <w:b/>
          <w:bCs/>
        </w:rPr>
        <w:t xml:space="preserve"> </w:t>
      </w:r>
      <w:r>
        <w:rPr>
          <w:rStyle w:val="VerbatimChar"/>
          <w:b/>
          <w:bCs/>
        </w:rPr>
        <w:t xml:space="preserve">RutaII</w:t>
      </w:r>
      <w:r>
        <w:rPr>
          <w:b/>
          <w:bCs/>
        </w:rPr>
        <w:t xml:space="preserve">:</w:t>
      </w:r>
      <w:r>
        <w:t xml:space="preserve"> </w:t>
      </w:r>
      <w:r>
        <w:t xml:space="preserve">Numeración de casos corregida (Theranos §6, Enron §8, Semmelweis Caso 1.2); Dossier extendido a Casos 3.1–3.9.</w:t>
      </w:r>
    </w:p>
    <w:p>
      <w:pPr>
        <w:pStyle w:val="Compact"/>
        <w:numPr>
          <w:ilvl w:val="0"/>
          <w:numId w:val="1111"/>
        </w:numPr>
      </w:pPr>
      <w:r>
        <w:rPr>
          <w:b/>
          <w:bCs/>
        </w:rPr>
        <w:t xml:space="preserve">Commit</w:t>
      </w:r>
      <w:r>
        <w:rPr>
          <w:b/>
          <w:bCs/>
        </w:rPr>
        <w:t xml:space="preserve"> </w:t>
      </w:r>
      <w:r>
        <w:rPr>
          <w:rStyle w:val="VerbatimChar"/>
          <w:b/>
          <w:bCs/>
        </w:rPr>
        <w:t xml:space="preserve">RutaIII</w:t>
      </w:r>
      <w:r>
        <w:rPr>
          <w:b/>
          <w:bCs/>
        </w:rPr>
        <w:t xml:space="preserve">:</w:t>
      </w:r>
      <w:r>
        <w:t xml:space="preserve"> </w:t>
      </w:r>
      <w:r>
        <w:t xml:space="preserve">Atribución corregida:</w:t>
      </w:r>
      <w:r>
        <w:t xml:space="preserve"> </w:t>
      </w:r>
      <w:r>
        <w:rPr>
          <w:i/>
          <w:iCs/>
        </w:rPr>
        <w:t xml:space="preserve">Idioteque</w:t>
      </w:r>
      <w:r>
        <w:t xml:space="preserve"> </w:t>
      </w:r>
      <w:r>
        <w:t xml:space="preserve">(Radiohead), no Joy Division.</w:t>
      </w:r>
    </w:p>
    <w:p>
      <w:pPr>
        <w:pStyle w:val="Compact"/>
        <w:numPr>
          <w:ilvl w:val="0"/>
          <w:numId w:val="1111"/>
        </w:numPr>
      </w:pPr>
      <w:r>
        <w:rPr>
          <w:b/>
          <w:bCs/>
        </w:rPr>
        <w:t xml:space="preserve">Commit</w:t>
      </w:r>
      <w:r>
        <w:rPr>
          <w:b/>
          <w:bCs/>
        </w:rPr>
        <w:t xml:space="preserve"> </w:t>
      </w:r>
      <w:r>
        <w:rPr>
          <w:rStyle w:val="VerbatimChar"/>
          <w:b/>
          <w:bCs/>
        </w:rPr>
        <w:t xml:space="preserve">Indice</w:t>
      </w:r>
      <w:r>
        <w:rPr>
          <w:b/>
          <w:bCs/>
        </w:rPr>
        <w:t xml:space="preserve">:</w:t>
      </w:r>
      <w:r>
        <w:t xml:space="preserve"> </w:t>
      </w:r>
      <w:r>
        <w:t xml:space="preserve">Índice maestro sincronizado con el contenido real (Caps II, IV, VI, VII, VIII); eliminada la promesa del ANEXO II: FRECUENCIAS ausente del compilado; Epílogo desacoplado del Cap V (etiqueta</w:t>
      </w:r>
      <w:r>
        <w:t xml:space="preserve"> </w:t>
      </w:r>
      <w:r>
        <w:t xml:space="preserve">“Cap V.14”</w:t>
      </w:r>
      <w:r>
        <w:t xml:space="preserve"> </w:t>
      </w:r>
      <w:r>
        <w:t xml:space="preserve">eliminada).</w:t>
      </w:r>
    </w:p>
    <w:p>
      <w:pPr>
        <w:pStyle w:val="Compact"/>
        <w:numPr>
          <w:ilvl w:val="0"/>
          <w:numId w:val="1111"/>
        </w:numPr>
      </w:pPr>
      <w:r>
        <w:rPr>
          <w:b/>
          <w:bCs/>
        </w:rPr>
        <w:t xml:space="preserve">Commit</w:t>
      </w:r>
      <w:r>
        <w:rPr>
          <w:b/>
          <w:bCs/>
        </w:rPr>
        <w:t xml:space="preserve"> </w:t>
      </w:r>
      <w:r>
        <w:rPr>
          <w:rStyle w:val="VerbatimChar"/>
          <w:b/>
          <w:bCs/>
        </w:rPr>
        <w:t xml:space="preserve">Rutas6</w:t>
      </w:r>
      <w:r>
        <w:rPr>
          <w:b/>
          <w:bCs/>
        </w:rPr>
        <w:t xml:space="preserve">:</w:t>
      </w:r>
      <w:r>
        <w:t xml:space="preserve"> </w:t>
      </w:r>
      <w:r>
        <w:t xml:space="preserve">“cinco itinerarios”</w:t>
      </w:r>
      <w:r>
        <w:t xml:space="preserve"> </w:t>
      </w:r>
      <w:r>
        <w:t xml:space="preserve">→</w:t>
      </w:r>
      <w:r>
        <w:t xml:space="preserve"> </w:t>
      </w:r>
      <w:r>
        <w:t xml:space="preserve">“seis itinerarios”</w:t>
      </w:r>
      <w:r>
        <w:t xml:space="preserve">.</w:t>
      </w:r>
    </w:p>
    <w:p>
      <w:pPr>
        <w:pStyle w:val="Compact"/>
        <w:numPr>
          <w:ilvl w:val="0"/>
          <w:numId w:val="1111"/>
        </w:numPr>
      </w:pPr>
      <w:r>
        <w:rPr>
          <w:b/>
          <w:bCs/>
        </w:rPr>
        <w:t xml:space="preserve">Commit</w:t>
      </w:r>
      <w:r>
        <w:rPr>
          <w:b/>
          <w:bCs/>
        </w:rPr>
        <w:t xml:space="preserve"> </w:t>
      </w:r>
      <w:r>
        <w:rPr>
          <w:rStyle w:val="VerbatimChar"/>
          <w:b/>
          <w:bCs/>
        </w:rPr>
        <w:t xml:space="preserve">Caso42</w:t>
      </w:r>
      <w:r>
        <w:rPr>
          <w:b/>
          <w:bCs/>
        </w:rPr>
        <w:t xml:space="preserve">:</w:t>
      </w:r>
      <w:r>
        <w:t xml:space="preserve"> </w:t>
      </w:r>
      <w:r>
        <w:t xml:space="preserve">Colisión</w:t>
      </w:r>
      <w:r>
        <w:t xml:space="preserve"> </w:t>
      </w:r>
      <w:r>
        <w:t xml:space="preserve">“Caso 4.2”</w:t>
      </w:r>
      <w:r>
        <w:t xml:space="preserve"> </w:t>
      </w:r>
      <w:r>
        <w:t xml:space="preserve">(Intel vs. Blockbuster) resuelta: Intel renumerado a 4.5; hueco de sección del Cap IV cerrado.</w:t>
      </w:r>
    </w:p>
    <w:p>
      <w:pPr>
        <w:pStyle w:val="Compact"/>
        <w:numPr>
          <w:ilvl w:val="0"/>
          <w:numId w:val="1111"/>
        </w:numPr>
      </w:pPr>
      <w:r>
        <w:rPr>
          <w:b/>
          <w:bCs/>
        </w:rPr>
        <w:t xml:space="preserve">Commit</w:t>
      </w:r>
      <w:r>
        <w:rPr>
          <w:b/>
          <w:bCs/>
        </w:rPr>
        <w:t xml:space="preserve"> </w:t>
      </w:r>
      <w:r>
        <w:rPr>
          <w:rStyle w:val="VerbatimChar"/>
          <w:b/>
          <w:bCs/>
        </w:rPr>
        <w:t xml:space="preserve">Erratas</w:t>
      </w:r>
      <w:r>
        <w:rPr>
          <w:b/>
          <w:bCs/>
        </w:rPr>
        <w:t xml:space="preserve">:</w:t>
      </w:r>
      <w:r>
        <w:t xml:space="preserve"> </w:t>
      </w:r>
      <w:r>
        <w:t xml:space="preserve">Moneyball ($40.004.167; 103 victorias empatadas), Boltzmann (Einstein teórico 1905 / Perrin experimental 1908),</w:t>
      </w:r>
      <w:r>
        <w:t xml:space="preserve"> </w:t>
      </w:r>
      <w:r>
        <w:t xml:space="preserve">“la década de 1959”</w:t>
      </w:r>
      <w:r>
        <w:t xml:space="preserve"> </w:t>
      </w:r>
      <w:r>
        <w:t xml:space="preserve">→</w:t>
      </w:r>
      <w:r>
        <w:t xml:space="preserve"> </w:t>
      </w:r>
      <w:r>
        <w:t xml:space="preserve">“el año 1959”</w:t>
      </w:r>
      <w:r>
        <w:t xml:space="preserve">, Schrodinger → Schrödinger,</w:t>
      </w:r>
      <w:r>
        <w:t xml:space="preserve"> </w:t>
      </w:r>
      <w:r>
        <w:t xml:space="preserve">“de the entidad”</w:t>
      </w:r>
      <w:r>
        <w:t xml:space="preserve"> </w:t>
      </w:r>
      <w:r>
        <w:t xml:space="preserve">→</w:t>
      </w:r>
      <w:r>
        <w:t xml:space="preserve"> </w:t>
      </w:r>
      <w:r>
        <w:t xml:space="preserve">“de la entidad”</w:t>
      </w:r>
      <w:r>
        <w:t xml:space="preserve">, frase garbled del Motor C5-REAL recompuesta,</w:t>
      </w:r>
      <w:r>
        <w:t xml:space="preserve"> </w:t>
      </w:r>
      <w:r>
        <w:t xml:space="preserve">“los seis capítulos”</w:t>
      </w:r>
      <w:r>
        <w:t xml:space="preserve"> </w:t>
      </w:r>
      <w:r>
        <w:t xml:space="preserve">→</w:t>
      </w:r>
      <w:r>
        <w:t xml:space="preserve"> </w:t>
      </w:r>
      <w:r>
        <w:t xml:space="preserve">“los ocho capítulos”</w:t>
      </w:r>
      <w:r>
        <w:t xml:space="preserve">.</w:t>
      </w:r>
    </w:p>
    <w:p>
      <w:pPr>
        <w:pStyle w:val="Compact"/>
        <w:numPr>
          <w:ilvl w:val="0"/>
          <w:numId w:val="1111"/>
        </w:numPr>
      </w:pPr>
      <w:r>
        <w:rPr>
          <w:b/>
          <w:bCs/>
        </w:rPr>
        <w:t xml:space="preserve">Commit</w:t>
      </w:r>
      <w:r>
        <w:rPr>
          <w:b/>
          <w:bCs/>
        </w:rPr>
        <w:t xml:space="preserve"> </w:t>
      </w:r>
      <w:r>
        <w:rPr>
          <w:rStyle w:val="VerbatimChar"/>
          <w:b/>
          <w:bCs/>
        </w:rPr>
        <w:t xml:space="preserve">Dossier5</w:t>
      </w:r>
      <w:r>
        <w:rPr>
          <w:b/>
          <w:bCs/>
        </w:rPr>
        <w:t xml:space="preserve">:</w:t>
      </w:r>
      <w:r>
        <w:t xml:space="preserve"> </w:t>
      </w:r>
      <w:r>
        <w:t xml:space="preserve">Cinco expedientes añadidos al Dossier de Fuentes Primarias: Purdue 2007 (1:07-cr-00029) y acuerdo 2020, Eli Lilly (09-038), Blockbuster (10-14997), audiencia MKUltra 1977, NARAS/Milli Vanilli 1990.</w:t>
      </w:r>
    </w:p>
    <w:p>
      <w:pPr>
        <w:pStyle w:val="Compact"/>
        <w:numPr>
          <w:ilvl w:val="0"/>
          <w:numId w:val="1111"/>
        </w:numPr>
      </w:pPr>
      <w:r>
        <w:rPr>
          <w:b/>
          <w:bCs/>
        </w:rPr>
        <w:t xml:space="preserve">Commit</w:t>
      </w:r>
      <w:r>
        <w:rPr>
          <w:b/>
          <w:bCs/>
        </w:rPr>
        <w:t xml:space="preserve"> </w:t>
      </w:r>
      <w:r>
        <w:rPr>
          <w:rStyle w:val="VerbatimChar"/>
          <w:b/>
          <w:bCs/>
        </w:rPr>
        <w:t xml:space="preserve">Fuentes</w:t>
      </w:r>
      <w:r>
        <w:rPr>
          <w:b/>
          <w:bCs/>
        </w:rPr>
        <w:t xml:space="preserve">:</w:t>
      </w:r>
      <w:r>
        <w:t xml:space="preserve"> </w:t>
      </w:r>
      <w:r>
        <w:t xml:space="preserve">Sin-cita purgada o etiquetada: margen Kodak 80% (cifra de prensa declarada),</w:t>
      </w:r>
      <w:r>
        <w:t xml:space="preserve"> </w:t>
      </w:r>
      <w:r>
        <w:t xml:space="preserve">“20 billones USD”</w:t>
      </w:r>
      <w:r>
        <w:t xml:space="preserve"> </w:t>
      </w:r>
      <w:r>
        <w:t xml:space="preserve">Linux (estimación propia declarada).</w:t>
      </w:r>
    </w:p>
    <w:p>
      <w:pPr>
        <w:pStyle w:val="FirstParagraph"/>
      </w:pPr>
      <w:r>
        <w:rPr>
          <w:b/>
          <w:bCs/>
        </w:rPr>
        <w:t xml:space="preserve">Edición V2 (2026-09-09):</w:t>
      </w:r>
      <w:r>
        <w:t xml:space="preserve"> </w:t>
      </w:r>
      <w:r>
        <w:t xml:space="preserve">Reescritura de consolidación: deduplicación de re-narraciones intracapítulo (Challenger, Kodak, Baker, Gould), consolidación de Kuramoto, convención de encabezados romanos unificada, índice sincronizado.</w:t>
      </w:r>
    </w:p>
    <w:p>
      <w:pPr>
        <w:pStyle w:val="Compact"/>
        <w:numPr>
          <w:ilvl w:val="0"/>
          <w:numId w:val="1112"/>
        </w:numPr>
      </w:pPr>
      <w:r>
        <w:rPr>
          <w:b/>
          <w:bCs/>
        </w:rPr>
        <w:t xml:space="preserve">Commit</w:t>
      </w:r>
      <w:r>
        <w:rPr>
          <w:b/>
          <w:bCs/>
        </w:rPr>
        <w:t xml:space="preserve"> </w:t>
      </w:r>
      <w:r>
        <w:rPr>
          <w:rStyle w:val="VerbatimChar"/>
          <w:b/>
          <w:bCs/>
        </w:rPr>
        <w:t xml:space="preserve">Escohotado</w:t>
      </w:r>
      <w:r>
        <w:rPr>
          <w:b/>
          <w:bCs/>
        </w:rPr>
        <w:t xml:space="preserve"> </w:t>
      </w:r>
      <w:r>
        <w:rPr>
          <w:b/>
          <w:bCs/>
        </w:rPr>
        <w:t xml:space="preserve">(2026-09-10):</w:t>
      </w:r>
      <w:r>
        <w:t xml:space="preserve"> </w:t>
      </w:r>
      <w:r>
        <w:t xml:space="preserve">Cita de apertura atribuida a dos libros distintos con barra (</w:t>
      </w:r>
      <w:r>
        <w:t xml:space="preserve">“</w:t>
      </w:r>
      <w:r>
        <w:rPr>
          <w:i/>
          <w:iCs/>
        </w:rPr>
        <w:t xml:space="preserve">Confesiones de un opiófilo</w:t>
      </w:r>
      <w:r>
        <w:t xml:space="preserve">, 1991 /</w:t>
      </w:r>
      <w:r>
        <w:t xml:space="preserve"> </w:t>
      </w:r>
      <w:r>
        <w:rPr>
          <w:i/>
          <w:iCs/>
        </w:rPr>
        <w:t xml:space="preserve">Caos y Orden</w:t>
      </w:r>
      <w:r>
        <w:t xml:space="preserve">, 1999”</w:t>
      </w:r>
      <w:r>
        <w:t xml:space="preserve">). Atribución unificada a la fuente real:</w:t>
      </w:r>
      <w:r>
        <w:t xml:space="preserve"> </w:t>
      </w:r>
      <w:r>
        <w:rPr>
          <w:i/>
          <w:iCs/>
        </w:rPr>
        <w:t xml:space="preserve">Confesiones de un opiófilo</w:t>
      </w:r>
      <w:r>
        <w:t xml:space="preserve"> </w:t>
      </w:r>
      <w:r>
        <w:t xml:space="preserve">(1991). Corregida en los tres puntos afectados: Preliminares (Engranaje 6), apertura del Cap V y remisión del Cap VI.</w:t>
      </w:r>
    </w:p>
    <w:p>
      <w:pPr>
        <w:pStyle w:val="FirstParagraph"/>
      </w:pPr>
      <w:r>
        <w:rPr>
          <w:b/>
          <w:bCs/>
        </w:rPr>
        <w:t xml:space="preserve">Edición V3 (2026-09-10):</w:t>
      </w:r>
      <w:r>
        <w:t xml:space="preserve"> </w:t>
      </w:r>
      <w:r>
        <w:t xml:space="preserve">Auditoría factual de tercera generación: 238 afirmaciones verificadas contra fuente primaria en cuatro frentes paralelos (DOI y expedientes judiciales, catálogos discográficos, archivo periodístico, registros oficiales). V1 queda congelada como espécimen (documentada en</w:t>
      </w:r>
      <w:r>
        <w:t xml:space="preserve"> </w:t>
      </w:r>
      <w:r>
        <w:rPr>
          <w:rStyle w:val="VerbatimChar"/>
        </w:rPr>
        <w:t xml:space="preserve">MAKING_OF/MAKING_OF_IA_V1.md</w:t>
      </w:r>
      <w:r>
        <w:t xml:space="preserve">); V2 queda congelada como estrato; V3 recibe la purga.</w:t>
      </w:r>
    </w:p>
    <w:p>
      <w:pPr>
        <w:pStyle w:val="Compact"/>
        <w:numPr>
          <w:ilvl w:val="0"/>
          <w:numId w:val="1113"/>
        </w:numPr>
      </w:pPr>
      <w:r>
        <w:rPr>
          <w:b/>
          <w:bCs/>
        </w:rPr>
        <w:t xml:space="preserve">Commit</w:t>
      </w:r>
      <w:r>
        <w:rPr>
          <w:b/>
          <w:bCs/>
        </w:rPr>
        <w:t xml:space="preserve"> </w:t>
      </w:r>
      <w:r>
        <w:rPr>
          <w:rStyle w:val="VerbatimChar"/>
          <w:b/>
          <w:bCs/>
        </w:rPr>
        <w:t xml:space="preserve">Escohotado2023</w:t>
      </w:r>
      <w:r>
        <w:rPr>
          <w:b/>
          <w:bCs/>
        </w:rPr>
        <w:t xml:space="preserve">:</w:t>
      </w:r>
      <w:r>
        <w:t xml:space="preserve"> </w:t>
      </w:r>
      <w:r>
        <w:rPr>
          <w:i/>
          <w:iCs/>
        </w:rPr>
        <w:t xml:space="preserve">Confesiones de un opiófilo</w:t>
      </w:r>
      <w:r>
        <w:t xml:space="preserve"> </w:t>
      </w:r>
      <w:r>
        <w:t xml:space="preserve">es póstumo: publicación Espasa 2023 (diario 1992-2020). Sustituido 1991 → 2023 en Preliminares, Cap V y Cap VI. En 1991 Escohotado publicó</w:t>
      </w:r>
      <w:r>
        <w:t xml:space="preserve"> </w:t>
      </w:r>
      <w:r>
        <w:rPr>
          <w:i/>
          <w:iCs/>
        </w:rPr>
        <w:t xml:space="preserve">El espíritu de la comedia</w:t>
      </w:r>
      <w:r>
        <w:t xml:space="preserve">.</w:t>
      </w:r>
    </w:p>
    <w:p>
      <w:pPr>
        <w:pStyle w:val="Compact"/>
        <w:numPr>
          <w:ilvl w:val="0"/>
          <w:numId w:val="1113"/>
        </w:numPr>
      </w:pPr>
      <w:r>
        <w:rPr>
          <w:b/>
          <w:bCs/>
        </w:rPr>
        <w:t xml:space="preserve">Commit</w:t>
      </w:r>
      <w:r>
        <w:rPr>
          <w:b/>
          <w:bCs/>
        </w:rPr>
        <w:t xml:space="preserve"> </w:t>
      </w:r>
      <w:r>
        <w:rPr>
          <w:rStyle w:val="VerbatimChar"/>
          <w:b/>
          <w:bCs/>
        </w:rPr>
        <w:t xml:space="preserve">Ashton</w:t>
      </w:r>
      <w:r>
        <w:rPr>
          <w:b/>
          <w:bCs/>
        </w:rPr>
        <w:t xml:space="preserve">:</w:t>
      </w:r>
      <w:r>
        <w:t xml:space="preserve"> </w:t>
      </w:r>
      <w:r>
        <w:t xml:space="preserve">La referencia de 1984 con DOI ajeno (O’Dowd et al.) se sustituyó por la publicación real: «Benzodiazepine withdrawal: an unfinished story»,</w:t>
      </w:r>
      <w:r>
        <w:t xml:space="preserve"> </w:t>
      </w:r>
      <w:r>
        <w:rPr>
          <w:i/>
          <w:iCs/>
        </w:rPr>
        <w:t xml:space="preserve">BMJ</w:t>
      </w:r>
      <w:r>
        <w:t xml:space="preserve"> </w:t>
      </w:r>
      <w:r>
        <w:t xml:space="preserve">1984;288:1135-1140.</w:t>
      </w:r>
    </w:p>
    <w:p>
      <w:pPr>
        <w:pStyle w:val="Compact"/>
        <w:numPr>
          <w:ilvl w:val="0"/>
          <w:numId w:val="1113"/>
        </w:numPr>
      </w:pPr>
      <w:r>
        <w:rPr>
          <w:b/>
          <w:bCs/>
        </w:rPr>
        <w:t xml:space="preserve">Commit</w:t>
      </w:r>
      <w:r>
        <w:rPr>
          <w:b/>
          <w:bCs/>
        </w:rPr>
        <w:t xml:space="preserve"> </w:t>
      </w:r>
      <w:r>
        <w:rPr>
          <w:rStyle w:val="VerbatimChar"/>
          <w:b/>
          <w:bCs/>
        </w:rPr>
        <w:t xml:space="preserve">Purdue</w:t>
      </w:r>
      <w:r>
        <w:rPr>
          <w:b/>
          <w:bCs/>
        </w:rPr>
        <w:t xml:space="preserve">:</w:t>
      </w:r>
      <w:r>
        <w:t xml:space="preserve"> </w:t>
      </w:r>
      <w:r>
        <w:t xml:space="preserve">Plea de Purdue Pharma de 24-nov-2020:</w:t>
      </w:r>
      <w:r>
        <w:t xml:space="preserve"> </w:t>
      </w:r>
      <w:r>
        <w:rPr>
          <w:rStyle w:val="VerbatimChar"/>
        </w:rPr>
        <w:t xml:space="preserve">2:20-cr-01028 (D.N.J., Newark)</w:t>
      </w:r>
      <w:r>
        <w:t xml:space="preserve">, no D. Conn. Muertes por opioides 2020: 68.630 (cifra final CDC WONDER), no 69.710 (provisional).</w:t>
      </w:r>
    </w:p>
    <w:p>
      <w:pPr>
        <w:pStyle w:val="Compact"/>
        <w:numPr>
          <w:ilvl w:val="0"/>
          <w:numId w:val="1113"/>
        </w:numPr>
      </w:pPr>
      <w:r>
        <w:rPr>
          <w:b/>
          <w:bCs/>
        </w:rPr>
        <w:t xml:space="preserve">Commit</w:t>
      </w:r>
      <w:r>
        <w:rPr>
          <w:b/>
          <w:bCs/>
        </w:rPr>
        <w:t xml:space="preserve"> </w:t>
      </w:r>
      <w:r>
        <w:rPr>
          <w:rStyle w:val="VerbatimChar"/>
          <w:b/>
          <w:bCs/>
        </w:rPr>
        <w:t xml:space="preserve">Zyprexa2</w:t>
      </w:r>
      <w:r>
        <w:rPr>
          <w:b/>
          <w:bCs/>
        </w:rPr>
        <w:t xml:space="preserve">:</w:t>
      </w:r>
      <w:r>
        <w:t xml:space="preserve"> </w:t>
      </w:r>
      <w:r>
        <w:t xml:space="preserve">Desglose del acuerdo de 2009 completado: $515M multa penal + $100M decomiso penal + $800M civil = $1.415M.</w:t>
      </w:r>
    </w:p>
    <w:p>
      <w:pPr>
        <w:pStyle w:val="Compact"/>
        <w:numPr>
          <w:ilvl w:val="0"/>
          <w:numId w:val="1113"/>
        </w:numPr>
      </w:pPr>
      <w:r>
        <w:rPr>
          <w:b/>
          <w:bCs/>
        </w:rPr>
        <w:t xml:space="preserve">Commit</w:t>
      </w:r>
      <w:r>
        <w:rPr>
          <w:b/>
          <w:bCs/>
        </w:rPr>
        <w:t xml:space="preserve"> </w:t>
      </w:r>
      <w:r>
        <w:rPr>
          <w:rStyle w:val="VerbatimChar"/>
          <w:b/>
          <w:bCs/>
        </w:rPr>
        <w:t xml:space="preserve">Renacimiento</w:t>
      </w:r>
      <w:r>
        <w:rPr>
          <w:b/>
          <w:bCs/>
        </w:rPr>
        <w:t xml:space="preserve">:</w:t>
      </w:r>
      <w:r>
        <w:t xml:space="preserve"> </w:t>
      </w:r>
      <w:r>
        <w:t xml:space="preserve">La canción</w:t>
      </w:r>
      <w:r>
        <w:t xml:space="preserve"> </w:t>
      </w:r>
      <w:r>
        <w:rPr>
          <w:i/>
          <w:iCs/>
        </w:rPr>
        <w:t xml:space="preserve">Renacimiento</w:t>
      </w:r>
      <w:r>
        <w:t xml:space="preserve"> </w:t>
      </w:r>
      <w:r>
        <w:t xml:space="preserve">no pertenece a</w:t>
      </w:r>
      <w:r>
        <w:t xml:space="preserve"> </w:t>
      </w:r>
      <w:r>
        <w:rPr>
          <w:i/>
          <w:iCs/>
        </w:rPr>
        <w:t xml:space="preserve">El Círculo</w:t>
      </w:r>
      <w:r>
        <w:t xml:space="preserve"> </w:t>
      </w:r>
      <w:r>
        <w:t xml:space="preserve">(2016): es Kase.O &amp; Orquesta OCAS, single 2020, álbum</w:t>
      </w:r>
      <w:r>
        <w:t xml:space="preserve"> </w:t>
      </w:r>
      <w:r>
        <w:rPr>
          <w:i/>
          <w:iCs/>
        </w:rPr>
        <w:t xml:space="preserve">O Jazz Magnetism</w:t>
      </w:r>
      <w:r>
        <w:t xml:space="preserve"> </w:t>
      </w:r>
      <w:r>
        <w:t xml:space="preserve">(Rap Solo, 2020). Corregidas las tres menciones (epígrafe, Caso 6.2, audio-anclaje).</w:t>
      </w:r>
    </w:p>
    <w:p>
      <w:pPr>
        <w:pStyle w:val="Compact"/>
        <w:numPr>
          <w:ilvl w:val="0"/>
          <w:numId w:val="1113"/>
        </w:numPr>
      </w:pPr>
      <w:r>
        <w:rPr>
          <w:b/>
          <w:bCs/>
        </w:rPr>
        <w:t xml:space="preserve">Commit</w:t>
      </w:r>
      <w:r>
        <w:rPr>
          <w:b/>
          <w:bCs/>
        </w:rPr>
        <w:t xml:space="preserve"> </w:t>
      </w:r>
      <w:r>
        <w:rPr>
          <w:rStyle w:val="VerbatimChar"/>
          <w:b/>
          <w:bCs/>
        </w:rPr>
        <w:t xml:space="preserve">Borregos</w:t>
      </w:r>
      <w:r>
        <w:rPr>
          <w:b/>
          <w:bCs/>
        </w:rPr>
        <w:t xml:space="preserve">:</w:t>
      </w:r>
      <w:r>
        <w:t xml:space="preserve"> </w:t>
      </w:r>
      <w:r>
        <w:t xml:space="preserve">“Borregos”</w:t>
      </w:r>
      <w:r>
        <w:t xml:space="preserve"> </w:t>
      </w:r>
      <w:r>
        <w:t xml:space="preserve">con Elphomega en</w:t>
      </w:r>
      <w:r>
        <w:t xml:space="preserve"> </w:t>
      </w:r>
      <w:r>
        <w:rPr>
          <w:i/>
          <w:iCs/>
        </w:rPr>
        <w:t xml:space="preserve">El Círculo</w:t>
      </w:r>
      <w:r>
        <w:t xml:space="preserve"> </w:t>
      </w:r>
      <w:r>
        <w:t xml:space="preserve">(2016) es pista inexistente. Atribución real: Kase.O con Evaristo y Harto Rodríguez,</w:t>
      </w:r>
      <w:r>
        <w:t xml:space="preserve"> </w:t>
      </w:r>
      <w:r>
        <w:rPr>
          <w:i/>
          <w:iCs/>
        </w:rPr>
        <w:t xml:space="preserve">Camisa de Fuerza</w:t>
      </w:r>
      <w:r>
        <w:t xml:space="preserve"> </w:t>
      </w:r>
      <w:r>
        <w:t xml:space="preserve">(2026). Corregidas las tres menciones (Cap III §12, tabla de frecuencias, fundamentación psicoacústica).</w:t>
      </w:r>
    </w:p>
    <w:p>
      <w:pPr>
        <w:pStyle w:val="Compact"/>
        <w:numPr>
          <w:ilvl w:val="0"/>
          <w:numId w:val="1113"/>
        </w:numPr>
      </w:pPr>
      <w:r>
        <w:rPr>
          <w:b/>
          <w:bCs/>
        </w:rPr>
        <w:t xml:space="preserve">Commit</w:t>
      </w:r>
      <w:r>
        <w:rPr>
          <w:b/>
          <w:bCs/>
        </w:rPr>
        <w:t xml:space="preserve"> </w:t>
      </w:r>
      <w:r>
        <w:rPr>
          <w:rStyle w:val="VerbatimChar"/>
          <w:b/>
          <w:bCs/>
        </w:rPr>
        <w:t xml:space="preserve">Ilegales2</w:t>
      </w:r>
      <w:r>
        <w:rPr>
          <w:b/>
          <w:bCs/>
        </w:rPr>
        <w:t xml:space="preserve">:</w:t>
      </w:r>
      <w:r>
        <w:t xml:space="preserve"> </w:t>
      </w:r>
      <w:r>
        <w:t xml:space="preserve">“Ya no necesito a nadie”</w:t>
      </w:r>
      <w:r>
        <w:t xml:space="preserve"> </w:t>
      </w:r>
      <w:r>
        <w:t xml:space="preserve">no consta en el catálogo de Ilegales. Sustituida por</w:t>
      </w:r>
      <w:r>
        <w:t xml:space="preserve"> </w:t>
      </w:r>
      <w:r>
        <w:t xml:space="preserve">“Tiempos Nuevos, Tiempos Salvajes”</w:t>
      </w:r>
      <w:r>
        <w:t xml:space="preserve"> </w:t>
      </w:r>
      <w:r>
        <w:t xml:space="preserve">(debut, Hi-Fi Electrónica/Ariola 1982; reedición Epic 1984; no DRO).</w:t>
      </w:r>
    </w:p>
    <w:p>
      <w:pPr>
        <w:pStyle w:val="Compact"/>
        <w:numPr>
          <w:ilvl w:val="0"/>
          <w:numId w:val="1113"/>
        </w:numPr>
      </w:pPr>
      <w:r>
        <w:rPr>
          <w:b/>
          <w:bCs/>
        </w:rPr>
        <w:t xml:space="preserve">Commit</w:t>
      </w:r>
      <w:r>
        <w:rPr>
          <w:b/>
          <w:bCs/>
        </w:rPr>
        <w:t xml:space="preserve"> </w:t>
      </w:r>
      <w:r>
        <w:rPr>
          <w:rStyle w:val="VerbatimChar"/>
          <w:b/>
          <w:bCs/>
        </w:rPr>
        <w:t xml:space="preserve">Gould2</w:t>
      </w:r>
      <w:r>
        <w:rPr>
          <w:b/>
          <w:bCs/>
        </w:rPr>
        <w:t xml:space="preserve">:</w:t>
      </w:r>
      <w:r>
        <w:t xml:space="preserve"> </w:t>
      </w:r>
      <w:r>
        <w:t xml:space="preserve">Sesiones de 1981 en el CBS 30th Street Studio (Sony no compró CBS hasta 1988); 16 meses entre sesión y muerte, no 17.</w:t>
      </w:r>
    </w:p>
    <w:p>
      <w:pPr>
        <w:pStyle w:val="Compact"/>
        <w:numPr>
          <w:ilvl w:val="0"/>
          <w:numId w:val="1113"/>
        </w:numPr>
      </w:pPr>
      <w:r>
        <w:rPr>
          <w:b/>
          <w:bCs/>
        </w:rPr>
        <w:t xml:space="preserve">Commit</w:t>
      </w:r>
      <w:r>
        <w:rPr>
          <w:b/>
          <w:bCs/>
        </w:rPr>
        <w:t xml:space="preserve"> </w:t>
      </w:r>
      <w:r>
        <w:rPr>
          <w:rStyle w:val="VerbatimChar"/>
          <w:b/>
          <w:bCs/>
        </w:rPr>
        <w:t xml:space="preserve">Baker</w:t>
      </w:r>
      <w:r>
        <w:rPr>
          <w:b/>
          <w:bCs/>
        </w:rPr>
        <w:t xml:space="preserve">:</w:t>
      </w:r>
      <w:r>
        <w:t xml:space="preserve"> </w:t>
      </w:r>
      <w:r>
        <w:t xml:space="preserve">Muerte de Chet Baker clasificada como accidente por las autoridades holandesas (no</w:t>
      </w:r>
      <w:r>
        <w:t xml:space="preserve"> </w:t>
      </w:r>
      <w:r>
        <w:t xml:space="preserve">“indeterminada”</w:t>
      </w:r>
      <w:r>
        <w:t xml:space="preserve">). Grabación de Tokio:</w:t>
      </w:r>
      <w:r>
        <w:t xml:space="preserve"> </w:t>
      </w:r>
      <w:r>
        <w:rPr>
          <w:i/>
          <w:iCs/>
        </w:rPr>
        <w:t xml:space="preserve">Memories</w:t>
      </w:r>
      <w:r>
        <w:t xml:space="preserve"> </w:t>
      </w:r>
      <w:r>
        <w:t xml:space="preserve">(K28P-6491, 1988) y</w:t>
      </w:r>
      <w:r>
        <w:t xml:space="preserve"> </w:t>
      </w:r>
      <w:r>
        <w:rPr>
          <w:i/>
          <w:iCs/>
        </w:rPr>
        <w:t xml:space="preserve">Four</w:t>
      </w:r>
      <w:r>
        <w:t xml:space="preserve"> </w:t>
      </w:r>
      <w:r>
        <w:t xml:space="preserve">(K28P-6495, 1989), Paddle Wheel/King; doble Evidence 1993 (no</w:t>
      </w:r>
      <w:r>
        <w:t xml:space="preserve"> </w:t>
      </w:r>
      <w:r>
        <w:rPr>
          <w:i/>
          <w:iCs/>
        </w:rPr>
        <w:t xml:space="preserve">Chet Baker in Tokyo</w:t>
      </w:r>
      <w:r>
        <w:t xml:space="preserve"> </w:t>
      </w:r>
      <w:r>
        <w:t xml:space="preserve">K28P 6491/2, 1987).</w:t>
      </w:r>
    </w:p>
    <w:p>
      <w:pPr>
        <w:pStyle w:val="Compact"/>
        <w:numPr>
          <w:ilvl w:val="0"/>
          <w:numId w:val="1113"/>
        </w:numPr>
      </w:pPr>
      <w:r>
        <w:rPr>
          <w:b/>
          <w:bCs/>
        </w:rPr>
        <w:t xml:space="preserve">Commit</w:t>
      </w:r>
      <w:r>
        <w:rPr>
          <w:b/>
          <w:bCs/>
        </w:rPr>
        <w:t xml:space="preserve"> </w:t>
      </w:r>
      <w:r>
        <w:rPr>
          <w:rStyle w:val="VerbatimChar"/>
          <w:b/>
          <w:bCs/>
        </w:rPr>
        <w:t xml:space="preserve">MilliVanilli2</w:t>
      </w:r>
      <w:r>
        <w:rPr>
          <w:b/>
          <w:bCs/>
        </w:rPr>
        <w:t xml:space="preserve">:</w:t>
      </w:r>
      <w:r>
        <w:t xml:space="preserve"> </w:t>
      </w:r>
      <w:r>
        <w:t xml:space="preserve">6× platino RIAA (6.000.000, certificación ene-1990), no 7×; las</w:t>
      </w:r>
      <w:r>
        <w:t xml:space="preserve"> </w:t>
      </w:r>
      <w:r>
        <w:t xml:space="preserve">“7 millones”</w:t>
      </w:r>
      <w:r>
        <w:t xml:space="preserve"> </w:t>
      </w:r>
      <w:r>
        <w:t xml:space="preserve">del single quedan marcadas como prensa de época.</w:t>
      </w:r>
    </w:p>
    <w:p>
      <w:pPr>
        <w:pStyle w:val="Compact"/>
        <w:numPr>
          <w:ilvl w:val="0"/>
          <w:numId w:val="1113"/>
        </w:numPr>
      </w:pPr>
      <w:r>
        <w:rPr>
          <w:b/>
          <w:bCs/>
        </w:rPr>
        <w:t xml:space="preserve">Commit</w:t>
      </w:r>
      <w:r>
        <w:rPr>
          <w:b/>
          <w:bCs/>
        </w:rPr>
        <w:t xml:space="preserve"> </w:t>
      </w:r>
      <w:r>
        <w:rPr>
          <w:rStyle w:val="VerbatimChar"/>
          <w:b/>
          <w:bCs/>
        </w:rPr>
        <w:t xml:space="preserve">Loudness</w:t>
      </w:r>
      <w:r>
        <w:rPr>
          <w:b/>
          <w:bCs/>
        </w:rPr>
        <w:t xml:space="preserve">:</w:t>
      </w:r>
      <w:r>
        <w:t xml:space="preserve"> </w:t>
      </w:r>
      <w:r>
        <w:t xml:space="preserve">Petición de remasterización de</w:t>
      </w:r>
      <w:r>
        <w:t xml:space="preserve"> </w:t>
      </w:r>
      <w:r>
        <w:rPr>
          <w:i/>
          <w:iCs/>
        </w:rPr>
        <w:t xml:space="preserve">Death Magnetic</w:t>
      </w:r>
      <w:r>
        <w:t xml:space="preserve">: más de 13.000 firmas verificables (las 22.689 no constan en registro).</w:t>
      </w:r>
    </w:p>
    <w:p>
      <w:pPr>
        <w:pStyle w:val="Compact"/>
        <w:numPr>
          <w:ilvl w:val="0"/>
          <w:numId w:val="1113"/>
        </w:numPr>
      </w:pPr>
      <w:r>
        <w:rPr>
          <w:b/>
          <w:bCs/>
        </w:rPr>
        <w:t xml:space="preserve">Commit</w:t>
      </w:r>
      <w:r>
        <w:rPr>
          <w:b/>
          <w:bCs/>
        </w:rPr>
        <w:t xml:space="preserve"> </w:t>
      </w:r>
      <w:r>
        <w:rPr>
          <w:rStyle w:val="VerbatimChar"/>
          <w:b/>
          <w:bCs/>
        </w:rPr>
        <w:t xml:space="preserve">FCIC</w:t>
      </w:r>
      <w:r>
        <w:rPr>
          <w:b/>
          <w:bCs/>
        </w:rPr>
        <w:t xml:space="preserve">:</w:t>
      </w:r>
      <w:r>
        <w:t xml:space="preserve"> </w:t>
      </w:r>
      <w:r>
        <w:t xml:space="preserve">ISBN del Official Government Edition: 978-0-16-087727-8.</w:t>
      </w:r>
    </w:p>
    <w:p>
      <w:pPr>
        <w:pStyle w:val="Compact"/>
        <w:numPr>
          <w:ilvl w:val="0"/>
          <w:numId w:val="1113"/>
        </w:numPr>
      </w:pPr>
      <w:r>
        <w:rPr>
          <w:b/>
          <w:bCs/>
        </w:rPr>
        <w:t xml:space="preserve">Commit</w:t>
      </w:r>
      <w:r>
        <w:rPr>
          <w:b/>
          <w:bCs/>
        </w:rPr>
        <w:t xml:space="preserve"> </w:t>
      </w:r>
      <w:r>
        <w:rPr>
          <w:rStyle w:val="VerbatimChar"/>
          <w:b/>
          <w:bCs/>
        </w:rPr>
        <w:t xml:space="preserve">Semmelweis2</w:t>
      </w:r>
      <w:r>
        <w:rPr>
          <w:b/>
          <w:bCs/>
        </w:rPr>
        <w:t xml:space="preserve">:</w:t>
      </w:r>
      <w:r>
        <w:t xml:space="preserve"> </w:t>
      </w:r>
      <w:r>
        <w:t xml:space="preserve">Rechazo del hallazgo hasta la muerte de Semmelweis en 1865, no</w:t>
      </w:r>
      <w:r>
        <w:t xml:space="preserve"> </w:t>
      </w:r>
      <w:r>
        <w:t xml:space="preserve">“14 años”</w:t>
      </w:r>
      <w:r>
        <w:t xml:space="preserve">.</w:t>
      </w:r>
    </w:p>
    <w:p>
      <w:pPr>
        <w:pStyle w:val="Compact"/>
        <w:numPr>
          <w:ilvl w:val="0"/>
          <w:numId w:val="1113"/>
        </w:numPr>
      </w:pPr>
      <w:r>
        <w:rPr>
          <w:b/>
          <w:bCs/>
        </w:rPr>
        <w:t xml:space="preserve">Commit</w:t>
      </w:r>
      <w:r>
        <w:rPr>
          <w:b/>
          <w:bCs/>
        </w:rPr>
        <w:t xml:space="preserve"> </w:t>
      </w:r>
      <w:r>
        <w:rPr>
          <w:rStyle w:val="VerbatimChar"/>
          <w:b/>
          <w:bCs/>
        </w:rPr>
        <w:t xml:space="preserve">Bach</w:t>
      </w:r>
      <w:r>
        <w:rPr>
          <w:b/>
          <w:bCs/>
        </w:rPr>
        <w:t xml:space="preserve">:</w:t>
      </w:r>
      <w:r>
        <w:t xml:space="preserve"> </w:t>
      </w:r>
      <w:r>
        <w:rPr>
          <w:i/>
          <w:iCs/>
        </w:rPr>
        <w:t xml:space="preserve">El Clave Bien Temperado</w:t>
      </w:r>
      <w:r>
        <w:t xml:space="preserve">: Libro I (BWV 846-869, 1722); Libro II (BWV 870-893, 1738-1742).</w:t>
      </w:r>
    </w:p>
    <w:p>
      <w:pPr>
        <w:pStyle w:val="Compact"/>
        <w:numPr>
          <w:ilvl w:val="0"/>
          <w:numId w:val="1113"/>
        </w:numPr>
      </w:pPr>
      <w:r>
        <w:rPr>
          <w:b/>
          <w:bCs/>
        </w:rPr>
        <w:t xml:space="preserve">Commit</w:t>
      </w:r>
      <w:r>
        <w:rPr>
          <w:b/>
          <w:bCs/>
        </w:rPr>
        <w:t xml:space="preserve"> </w:t>
      </w:r>
      <w:r>
        <w:rPr>
          <w:rStyle w:val="VerbatimChar"/>
          <w:b/>
          <w:bCs/>
        </w:rPr>
        <w:t xml:space="preserve">Moneyball2</w:t>
      </w:r>
      <w:r>
        <w:rPr>
          <w:b/>
          <w:bCs/>
        </w:rPr>
        <w:t xml:space="preserve">:</w:t>
      </w:r>
      <w:r>
        <w:t xml:space="preserve"> </w:t>
      </w:r>
      <w:r>
        <w:t xml:space="preserve">Matiz de registro: empate en victorias (103), porcentaje superior de los Yankees (.640 frente a .636).</w:t>
      </w:r>
    </w:p>
    <w:p>
      <w:pPr>
        <w:pStyle w:val="Compact"/>
        <w:numPr>
          <w:ilvl w:val="0"/>
          <w:numId w:val="1113"/>
        </w:numPr>
      </w:pPr>
      <w:r>
        <w:rPr>
          <w:b/>
          <w:bCs/>
        </w:rPr>
        <w:t xml:space="preserve">Commit</w:t>
      </w:r>
      <w:r>
        <w:rPr>
          <w:b/>
          <w:bCs/>
        </w:rPr>
        <w:t xml:space="preserve"> </w:t>
      </w:r>
      <w:r>
        <w:rPr>
          <w:rStyle w:val="VerbatimChar"/>
          <w:b/>
          <w:bCs/>
        </w:rPr>
        <w:t xml:space="preserve">JoyDivision</w:t>
      </w:r>
      <w:r>
        <w:rPr>
          <w:b/>
          <w:bCs/>
        </w:rPr>
        <w:t xml:space="preserve">:</w:t>
      </w:r>
      <w:r>
        <w:t xml:space="preserve"> </w:t>
      </w:r>
      <w:r>
        <w:t xml:space="preserve">“Atmosphere”</w:t>
      </w:r>
      <w:r>
        <w:t xml:space="preserve">: single FAC 213 (1980), recopilado en</w:t>
      </w:r>
      <w:r>
        <w:t xml:space="preserve"> </w:t>
      </w:r>
      <w:r>
        <w:rPr>
          <w:i/>
          <w:iCs/>
        </w:rPr>
        <w:t xml:space="preserve">Still</w:t>
      </w:r>
      <w:r>
        <w:t xml:space="preserve"> </w:t>
      </w:r>
      <w:r>
        <w:t xml:space="preserve">(1981), no en</w:t>
      </w:r>
      <w:r>
        <w:t xml:space="preserve"> </w:t>
      </w:r>
      <w:r>
        <w:rPr>
          <w:i/>
          <w:iCs/>
        </w:rPr>
        <w:t xml:space="preserve">Closer</w:t>
      </w:r>
      <w:r>
        <w:t xml:space="preserve">.</w:t>
      </w:r>
    </w:p>
    <w:p>
      <w:pPr>
        <w:pStyle w:val="Compact"/>
        <w:numPr>
          <w:ilvl w:val="0"/>
          <w:numId w:val="1113"/>
        </w:numPr>
      </w:pPr>
      <w:r>
        <w:rPr>
          <w:b/>
          <w:bCs/>
        </w:rPr>
        <w:t xml:space="preserve">Commit</w:t>
      </w:r>
      <w:r>
        <w:rPr>
          <w:b/>
          <w:bCs/>
        </w:rPr>
        <w:t xml:space="preserve"> </w:t>
      </w:r>
      <w:r>
        <w:rPr>
          <w:rStyle w:val="VerbatimChar"/>
          <w:b/>
          <w:bCs/>
        </w:rPr>
        <w:t xml:space="preserve">Curie2</w:t>
      </w:r>
      <w:r>
        <w:rPr>
          <w:b/>
          <w:bCs/>
        </w:rPr>
        <w:t xml:space="preserve">:</w:t>
      </w:r>
      <w:r>
        <w:t xml:space="preserve"> </w:t>
      </w:r>
      <w:r>
        <w:t xml:space="preserve">Biografía de Pierre Curie publicada en 1904 (Payot), no 1902-1903; Nobel de Química: 5 años y 8 meses tras la muerte de Pierre, no</w:t>
      </w:r>
      <w:r>
        <w:t xml:space="preserve"> </w:t>
      </w:r>
      <w:r>
        <w:t xml:space="preserve">“cinco años y medio”</w:t>
      </w:r>
      <w:r>
        <w:t xml:space="preserve">.</w:t>
      </w:r>
    </w:p>
    <w:p>
      <w:pPr>
        <w:pStyle w:val="Compact"/>
        <w:numPr>
          <w:ilvl w:val="0"/>
          <w:numId w:val="1113"/>
        </w:numPr>
      </w:pPr>
      <w:r>
        <w:rPr>
          <w:b/>
          <w:bCs/>
        </w:rPr>
        <w:t xml:space="preserve">Commit</w:t>
      </w:r>
      <w:r>
        <w:rPr>
          <w:b/>
          <w:bCs/>
        </w:rPr>
        <w:t xml:space="preserve"> </w:t>
      </w:r>
      <w:r>
        <w:rPr>
          <w:rStyle w:val="VerbatimChar"/>
          <w:b/>
          <w:bCs/>
        </w:rPr>
        <w:t xml:space="preserve">Torvalds2</w:t>
      </w:r>
      <w:r>
        <w:rPr>
          <w:b/>
          <w:bCs/>
        </w:rPr>
        <w:t xml:space="preserve">:</w:t>
      </w:r>
      <w:r>
        <w:t xml:space="preserve"> </w:t>
      </w:r>
      <w:r>
        <w:t xml:space="preserve">Cita de comp.os.minix completada con el segmento omitido:</w:t>
      </w:r>
      <w:r>
        <w:t xml:space="preserve"> </w:t>
      </w:r>
      <w:r>
        <w:t xml:space="preserve">“…ni perfil profesional como gnu”</w:t>
      </w:r>
      <w:r>
        <w:t xml:space="preserve">.</w:t>
      </w:r>
    </w:p>
    <w:p>
      <w:pPr>
        <w:pStyle w:val="Compact"/>
        <w:numPr>
          <w:ilvl w:val="0"/>
          <w:numId w:val="1113"/>
        </w:numPr>
      </w:pPr>
      <w:r>
        <w:rPr>
          <w:b/>
          <w:bCs/>
        </w:rPr>
        <w:t xml:space="preserve">Commit</w:t>
      </w:r>
      <w:r>
        <w:rPr>
          <w:b/>
          <w:bCs/>
        </w:rPr>
        <w:t xml:space="preserve"> </w:t>
      </w:r>
      <w:r>
        <w:rPr>
          <w:rStyle w:val="VerbatimChar"/>
          <w:b/>
          <w:bCs/>
        </w:rPr>
        <w:t xml:space="preserve">Cosgrove</w:t>
      </w:r>
      <w:r>
        <w:rPr>
          <w:b/>
          <w:bCs/>
        </w:rPr>
        <w:t xml:space="preserve">:</w:t>
      </w:r>
      <w:r>
        <w:t xml:space="preserve"> </w:t>
      </w:r>
      <w:r>
        <w:t xml:space="preserve">Atribución doble separada: 56% DSM-IV = Cosgrove et al.,</w:t>
      </w:r>
      <w:r>
        <w:t xml:space="preserve"> </w:t>
      </w:r>
      <w:r>
        <w:rPr>
          <w:i/>
          <w:iCs/>
        </w:rPr>
        <w:t xml:space="preserve">Psychotherapy and Psychosomatics</w:t>
      </w:r>
      <w:r>
        <w:t xml:space="preserve"> </w:t>
      </w:r>
      <w:r>
        <w:t xml:space="preserve">(2006); 69% DSM-5 = Cosgrove &amp; Krimsky,</w:t>
      </w:r>
      <w:r>
        <w:t xml:space="preserve"> </w:t>
      </w:r>
      <w:r>
        <w:rPr>
          <w:i/>
          <w:iCs/>
        </w:rPr>
        <w:t xml:space="preserve">PLOS Medicine</w:t>
      </w:r>
      <w:r>
        <w:t xml:space="preserve"> </w:t>
      </w:r>
      <w:r>
        <w:t xml:space="preserve">(2012).</w:t>
      </w:r>
    </w:p>
    <w:p>
      <w:pPr>
        <w:pStyle w:val="Compact"/>
        <w:numPr>
          <w:ilvl w:val="0"/>
          <w:numId w:val="1113"/>
        </w:numPr>
      </w:pPr>
      <w:r>
        <w:rPr>
          <w:b/>
          <w:bCs/>
        </w:rPr>
        <w:t xml:space="preserve">Commit</w:t>
      </w:r>
      <w:r>
        <w:rPr>
          <w:b/>
          <w:bCs/>
        </w:rPr>
        <w:t xml:space="preserve"> </w:t>
      </w:r>
      <w:r>
        <w:rPr>
          <w:rStyle w:val="VerbatimChar"/>
          <w:b/>
          <w:bCs/>
        </w:rPr>
        <w:t xml:space="preserve">Vegas</w:t>
      </w:r>
      <w:r>
        <w:rPr>
          <w:b/>
          <w:bCs/>
        </w:rPr>
        <w:t xml:space="preserve">:</w:t>
      </w:r>
      <w:r>
        <w:t xml:space="preserve"> </w:t>
      </w:r>
      <w:r>
        <w:t xml:space="preserve">Álbum de Nacho Vegas:</w:t>
      </w:r>
      <w:r>
        <w:t xml:space="preserve"> </w:t>
      </w:r>
      <w:r>
        <w:rPr>
          <w:i/>
          <w:iCs/>
        </w:rPr>
        <w:t xml:space="preserve">Cajas de música difíciles de parar</w:t>
      </w:r>
      <w:r>
        <w:t xml:space="preserve"> </w:t>
      </w:r>
      <w:r>
        <w:t xml:space="preserve">(Limbo Starr, 2003), título completo.</w:t>
      </w:r>
    </w:p>
    <w:p>
      <w:r>
        <w:pict>
          <v:rect style="width:0;height:1.5pt" o:hralign="center" o:hrstd="t" o:hr="t"/>
        </w:pict>
      </w:r>
    </w:p>
    <w:bookmarkEnd w:id="296"/>
    <w:bookmarkStart w:id="297" w:name="X8c7e5a5e5e6797b342e2fe197ef4a0c48e73c32"/>
    <w:p>
      <w:pPr>
        <w:pStyle w:val="Heading3"/>
      </w:pPr>
      <w:r>
        <w:t xml:space="preserve">4. Dossier de Fuentes Primarias (Fichas Expediente)</w:t>
      </w:r>
    </w:p>
    <w:p>
      <w:pPr>
        <w:pStyle w:val="Compact"/>
        <w:numPr>
          <w:ilvl w:val="0"/>
          <w:numId w:val="1114"/>
        </w:numPr>
      </w:pPr>
      <w:r>
        <w:rPr>
          <w:b/>
          <w:bCs/>
        </w:rPr>
        <w:t xml:space="preserve">Purdue Frederick / OxyContin:</w:t>
      </w:r>
      <w:r>
        <w:t xml:space="preserve"> </w:t>
      </w:r>
      <w:r>
        <w:t xml:space="preserve">Plea agreement 2007,</w:t>
      </w:r>
      <w:r>
        <w:t xml:space="preserve"> </w:t>
      </w:r>
      <w:r>
        <w:rPr>
          <w:rStyle w:val="VerbatimChar"/>
        </w:rPr>
        <w:t xml:space="preserve">United States v. Purdue Frederick Co., 1:07-cr-00029 (W.D. Va.)</w:t>
      </w:r>
      <w:r>
        <w:t xml:space="preserve">; acuerdo global con el DOJ, octubre de 2020.</w:t>
      </w:r>
    </w:p>
    <w:p>
      <w:pPr>
        <w:pStyle w:val="Compact"/>
        <w:numPr>
          <w:ilvl w:val="0"/>
          <w:numId w:val="1114"/>
        </w:numPr>
      </w:pPr>
      <w:r>
        <w:rPr>
          <w:b/>
          <w:bCs/>
        </w:rPr>
        <w:t xml:space="preserve">Eli Lilly / Zyprexa:</w:t>
      </w:r>
      <w:r>
        <w:t xml:space="preserve"> </w:t>
      </w:r>
      <w:r>
        <w:t xml:space="preserve">U.S. Department of Justice, Press Release No. 09-038 (15-ene-2009).</w:t>
      </w:r>
    </w:p>
    <w:p>
      <w:pPr>
        <w:pStyle w:val="Compact"/>
        <w:numPr>
          <w:ilvl w:val="0"/>
          <w:numId w:val="1114"/>
        </w:numPr>
      </w:pPr>
      <w:r>
        <w:rPr>
          <w:b/>
          <w:bCs/>
        </w:rPr>
        <w:t xml:space="preserve">Blockbuster:</w:t>
      </w:r>
      <w:r>
        <w:t xml:space="preserve"> </w:t>
      </w:r>
      <w:r>
        <w:rPr>
          <w:rStyle w:val="VerbatimChar"/>
        </w:rPr>
        <w:t xml:space="preserve">10-14997 (S.D.N.Y.)</w:t>
      </w:r>
      <w:r>
        <w:t xml:space="preserve">.</w:t>
      </w:r>
    </w:p>
    <w:p>
      <w:pPr>
        <w:pStyle w:val="Compact"/>
        <w:numPr>
          <w:ilvl w:val="0"/>
          <w:numId w:val="1114"/>
        </w:numPr>
      </w:pPr>
      <w:r>
        <w:rPr>
          <w:b/>
          <w:bCs/>
        </w:rPr>
        <w:t xml:space="preserve">MKUltra:</w:t>
      </w:r>
      <w:r>
        <w:t xml:space="preserve"> </w:t>
      </w:r>
      <w:r>
        <w:t xml:space="preserve">Audiencia conjunta del Senado de EEUU, 3-ago-1977 (95th Congress).</w:t>
      </w:r>
    </w:p>
    <w:p>
      <w:pPr>
        <w:pStyle w:val="Compact"/>
        <w:numPr>
          <w:ilvl w:val="0"/>
          <w:numId w:val="1114"/>
        </w:numPr>
      </w:pPr>
      <w:r>
        <w:rPr>
          <w:b/>
          <w:bCs/>
        </w:rPr>
        <w:t xml:space="preserve">NARAS / Milli Vanilli:</w:t>
      </w:r>
      <w:r>
        <w:t xml:space="preserve"> </w:t>
      </w:r>
      <w:r>
        <w:t xml:space="preserve">Revocación del Grammy, 19-nov-1990.</w:t>
      </w:r>
    </w:p>
    <w:p>
      <w:r>
        <w:pict>
          <v:rect style="width:0;height:1.5pt" o:hralign="center" o:hrstd="t" o:hr="t"/>
        </w:pict>
      </w:r>
    </w:p>
    <w:p>
      <w:pPr>
        <w:pStyle w:val="FirstParagraph"/>
      </w:pPr>
      <w:r>
        <w:t xml:space="preserve"> </w:t>
      </w:r>
      <w:r>
        <w:t xml:space="preserve"># APÉNDICE II: 107 AFORISMOS (Punto Fijo Ω)</w:t>
      </w:r>
    </w:p>
    <w:p>
      <w:pPr>
        <w:pStyle w:val="BodyText"/>
      </w:pPr>
      <w:r>
        <w:t xml:space="preserve">El aforismo es compresión de información. Transduce la matemática de la realidad en axiomas de supervivencia de red.</w:t>
      </w:r>
    </w:p>
    <w:bookmarkEnd w:id="297"/>
    <w:bookmarkEnd w:id="298"/>
    <w:bookmarkStart w:id="299" w:name="i.-leyes-base-de-la-realidad"/>
    <w:p>
      <w:pPr>
        <w:pStyle w:val="Heading2"/>
      </w:pPr>
      <w:r>
        <w:t xml:space="preserve">I. Leyes Base de la Realidad</w:t>
      </w:r>
    </w:p>
    <w:p>
      <w:pPr>
        <w:pStyle w:val="Compact"/>
        <w:numPr>
          <w:ilvl w:val="0"/>
          <w:numId w:val="1115"/>
        </w:numPr>
      </w:pPr>
      <w:r>
        <w:t xml:space="preserve">El universo cobra su deuda de existencia en disipación de calor.</w:t>
      </w:r>
    </w:p>
    <w:p>
      <w:pPr>
        <w:pStyle w:val="Compact"/>
        <w:numPr>
          <w:ilvl w:val="0"/>
          <w:numId w:val="1115"/>
        </w:numPr>
      </w:pPr>
      <w:r>
        <w:t xml:space="preserve">El entorno aniquila el diseño; perdura lo que absorbe el daño.</w:t>
      </w:r>
    </w:p>
    <w:p>
      <w:pPr>
        <w:pStyle w:val="Compact"/>
        <w:numPr>
          <w:ilvl w:val="0"/>
          <w:numId w:val="1115"/>
        </w:numPr>
      </w:pPr>
      <w:r>
        <w:t xml:space="preserve">La búsqueda de equilibrio térmico garantiza la muerte del motor.</w:t>
      </w:r>
    </w:p>
    <w:p>
      <w:pPr>
        <w:pStyle w:val="Compact"/>
        <w:numPr>
          <w:ilvl w:val="0"/>
          <w:numId w:val="1115"/>
        </w:numPr>
      </w:pPr>
      <w:r>
        <w:t xml:space="preserve">El modelo sin frontera de predicción es confabulación de saliva.</w:t>
      </w:r>
    </w:p>
    <w:p>
      <w:pPr>
        <w:pStyle w:val="Compact"/>
        <w:numPr>
          <w:ilvl w:val="0"/>
          <w:numId w:val="1115"/>
        </w:numPr>
      </w:pPr>
      <w:r>
        <w:t xml:space="preserve">El concepto recorta el ruido del entorno para el cálculo del nodo.</w:t>
      </w:r>
    </w:p>
    <w:p>
      <w:pPr>
        <w:pStyle w:val="Compact"/>
        <w:numPr>
          <w:ilvl w:val="0"/>
          <w:numId w:val="1115"/>
        </w:numPr>
      </w:pPr>
      <w:r>
        <w:t xml:space="preserve">La poda de variables preserva el ancho de banda del procesador.</w:t>
      </w:r>
    </w:p>
    <w:p>
      <w:pPr>
        <w:pStyle w:val="Compact"/>
        <w:numPr>
          <w:ilvl w:val="0"/>
          <w:numId w:val="1115"/>
        </w:numPr>
      </w:pPr>
      <w:r>
        <w:t xml:space="preserve">El mapa carece de territorio; el sistema extrae fricción.</w:t>
      </w:r>
    </w:p>
    <w:p>
      <w:pPr>
        <w:pStyle w:val="Compact"/>
        <w:numPr>
          <w:ilvl w:val="0"/>
          <w:numId w:val="1115"/>
        </w:numPr>
      </w:pPr>
      <w:r>
        <w:t xml:space="preserve">La búsqueda de victoria ignora la multiplicación de ruinas.</w:t>
      </w:r>
    </w:p>
    <w:p>
      <w:pPr>
        <w:pStyle w:val="Compact"/>
        <w:numPr>
          <w:ilvl w:val="0"/>
          <w:numId w:val="1115"/>
        </w:numPr>
      </w:pPr>
      <w:r>
        <w:t xml:space="preserve">El esquema de pago estructura la decisión; la moral es decoración de texto.</w:t>
      </w:r>
    </w:p>
    <w:p>
      <w:pPr>
        <w:pStyle w:val="Compact"/>
        <w:numPr>
          <w:ilvl w:val="0"/>
          <w:numId w:val="1115"/>
        </w:numPr>
      </w:pPr>
      <w:r>
        <w:t xml:space="preserve">La sorpresa de la señal colapsa la incertidumbre de la ruta.</w:t>
      </w:r>
    </w:p>
    <w:p>
      <w:pPr>
        <w:pStyle w:val="Compact"/>
        <w:numPr>
          <w:ilvl w:val="0"/>
          <w:numId w:val="1115"/>
        </w:numPr>
      </w:pPr>
      <w:r>
        <w:t xml:space="preserve">La elección de sendero ejecuta el descarte del valle.</w:t>
      </w:r>
    </w:p>
    <w:p>
      <w:pPr>
        <w:pStyle w:val="Compact"/>
        <w:numPr>
          <w:ilvl w:val="0"/>
          <w:numId w:val="1115"/>
        </w:numPr>
      </w:pPr>
      <w:r>
        <w:t xml:space="preserve">El papel soporta la fórmula; el asfalto fractura el eje.</w:t>
      </w:r>
    </w:p>
    <w:p>
      <w:pPr>
        <w:pStyle w:val="Compact"/>
        <w:numPr>
          <w:ilvl w:val="0"/>
          <w:numId w:val="1115"/>
        </w:numPr>
      </w:pPr>
      <w:r>
        <w:t xml:space="preserve">El impacto de evento carece de genealogía causal.</w:t>
      </w:r>
    </w:p>
    <w:p>
      <w:pPr>
        <w:pStyle w:val="Compact"/>
        <w:numPr>
          <w:ilvl w:val="0"/>
          <w:numId w:val="1115"/>
        </w:numPr>
      </w:pPr>
      <w:r>
        <w:t xml:space="preserve">La anomalía de margen exige retorno al promedio de masa.</w:t>
      </w:r>
    </w:p>
    <w:p>
      <w:pPr>
        <w:pStyle w:val="Compact"/>
        <w:numPr>
          <w:ilvl w:val="0"/>
          <w:numId w:val="1115"/>
        </w:numPr>
      </w:pPr>
      <w:r>
        <w:t xml:space="preserve">La métrica de victoria ignora el cementerio de intentos.</w:t>
      </w:r>
    </w:p>
    <w:p>
      <w:pPr>
        <w:pStyle w:val="Compact"/>
        <w:numPr>
          <w:ilvl w:val="0"/>
          <w:numId w:val="1115"/>
        </w:numPr>
      </w:pPr>
      <w:r>
        <w:t xml:space="preserve">El desastre de diseño precede a la traición de voluntad.</w:t>
      </w:r>
    </w:p>
    <w:p>
      <w:pPr>
        <w:pStyle w:val="Compact"/>
        <w:numPr>
          <w:ilvl w:val="0"/>
          <w:numId w:val="1115"/>
        </w:numPr>
      </w:pPr>
      <w:r>
        <w:t xml:space="preserve">El sensor de rendimiento corrompe la ejecución de tarea.</w:t>
      </w:r>
    </w:p>
    <w:p>
      <w:pPr>
        <w:pStyle w:val="Compact"/>
        <w:numPr>
          <w:ilvl w:val="0"/>
          <w:numId w:val="1115"/>
        </w:numPr>
      </w:pPr>
      <w:r>
        <w:t xml:space="preserve">La lectura de aguja perturba la posición de campo.</w:t>
      </w:r>
    </w:p>
    <w:p>
      <w:pPr>
        <w:pStyle w:val="Compact"/>
        <w:numPr>
          <w:ilvl w:val="0"/>
          <w:numId w:val="1115"/>
        </w:numPr>
      </w:pPr>
      <w:r>
        <w:t xml:space="preserve">El desplazamiento de creencia exige inyección de energía.</w:t>
      </w:r>
    </w:p>
    <w:p>
      <w:pPr>
        <w:pStyle w:val="Compact"/>
        <w:numPr>
          <w:ilvl w:val="0"/>
          <w:numId w:val="1115"/>
        </w:numPr>
      </w:pPr>
      <w:r>
        <w:t xml:space="preserve">El atajo de tiempo destruye el bucle de cómputo.</w:t>
      </w:r>
    </w:p>
    <w:bookmarkEnd w:id="299"/>
    <w:bookmarkStart w:id="300" w:name="ii.-detectores-de-fricción-epistémica"/>
    <w:p>
      <w:pPr>
        <w:pStyle w:val="Heading2"/>
      </w:pPr>
      <w:r>
        <w:t xml:space="preserve">II. Detectores de Fricción Epistémica</w:t>
      </w:r>
    </w:p>
    <w:p>
      <w:pPr>
        <w:pStyle w:val="Compact"/>
        <w:numPr>
          <w:ilvl w:val="0"/>
          <w:numId w:val="1116"/>
        </w:numPr>
      </w:pPr>
      <w:r>
        <w:t xml:space="preserve">La unidad de muestra carece de valor de referencia.</w:t>
      </w:r>
    </w:p>
    <w:p>
      <w:pPr>
        <w:pStyle w:val="Compact"/>
        <w:numPr>
          <w:ilvl w:val="0"/>
          <w:numId w:val="1116"/>
        </w:numPr>
      </w:pPr>
      <w:r>
        <w:t xml:space="preserve">El silencio de radar no garantiza la ausencia de amenaza.</w:t>
      </w:r>
    </w:p>
    <w:p>
      <w:pPr>
        <w:pStyle w:val="Compact"/>
        <w:numPr>
          <w:ilvl w:val="0"/>
          <w:numId w:val="1116"/>
        </w:numPr>
      </w:pPr>
      <w:r>
        <w:t xml:space="preserve">La rareza del suceso exige multiplicación de base.</w:t>
      </w:r>
    </w:p>
    <w:p>
      <w:pPr>
        <w:pStyle w:val="Compact"/>
        <w:numPr>
          <w:ilvl w:val="0"/>
          <w:numId w:val="1116"/>
        </w:numPr>
      </w:pPr>
      <w:r>
        <w:t xml:space="preserve">El destello del ovni carece de contraste de placa.</w:t>
      </w:r>
    </w:p>
    <w:p>
      <w:pPr>
        <w:pStyle w:val="Compact"/>
        <w:numPr>
          <w:ilvl w:val="0"/>
          <w:numId w:val="1116"/>
        </w:numPr>
      </w:pPr>
      <w:r>
        <w:t xml:space="preserve">El número de hoja de cálculo esconde el teléfono estropeado de origen.</w:t>
      </w:r>
    </w:p>
    <w:p>
      <w:pPr>
        <w:pStyle w:val="Compact"/>
        <w:numPr>
          <w:ilvl w:val="0"/>
          <w:numId w:val="1116"/>
        </w:numPr>
      </w:pPr>
      <w:r>
        <w:t xml:space="preserve">El regulador de señal alimenta el fuego del pánico.</w:t>
      </w:r>
    </w:p>
    <w:p>
      <w:pPr>
        <w:pStyle w:val="Compact"/>
        <w:numPr>
          <w:ilvl w:val="0"/>
          <w:numId w:val="1116"/>
        </w:numPr>
      </w:pPr>
      <w:r>
        <w:t xml:space="preserve">La tubería de desagüe dicta la inundación de sala.</w:t>
      </w:r>
    </w:p>
    <w:p>
      <w:pPr>
        <w:pStyle w:val="Compact"/>
        <w:numPr>
          <w:ilvl w:val="0"/>
          <w:numId w:val="1116"/>
        </w:numPr>
      </w:pPr>
      <w:r>
        <w:t xml:space="preserve">Quien receta sedantes a la alarma garantiza el colapso del muro.</w:t>
      </w:r>
    </w:p>
    <w:p>
      <w:pPr>
        <w:pStyle w:val="Compact"/>
        <w:numPr>
          <w:ilvl w:val="0"/>
          <w:numId w:val="1116"/>
        </w:numPr>
      </w:pPr>
      <w:r>
        <w:t xml:space="preserve">El conjunto de células excede la suma de tejidos.</w:t>
      </w:r>
    </w:p>
    <w:p>
      <w:pPr>
        <w:pStyle w:val="Compact"/>
        <w:numPr>
          <w:ilvl w:val="0"/>
          <w:numId w:val="1116"/>
        </w:numPr>
      </w:pPr>
      <w:r>
        <w:t xml:space="preserve">El cemento de ayer dicta el callejón de hoy.</w:t>
      </w:r>
    </w:p>
    <w:p>
      <w:pPr>
        <w:pStyle w:val="Compact"/>
        <w:numPr>
          <w:ilvl w:val="0"/>
          <w:numId w:val="1116"/>
        </w:numPr>
      </w:pPr>
      <w:r>
        <w:t xml:space="preserve">La palanca de tamaño dobla el puente de acero.</w:t>
      </w:r>
    </w:p>
    <w:p>
      <w:pPr>
        <w:pStyle w:val="Compact"/>
        <w:numPr>
          <w:ilvl w:val="0"/>
          <w:numId w:val="1116"/>
        </w:numPr>
      </w:pPr>
      <w:r>
        <w:t xml:space="preserve">La puerta de embudo estrangula el caudal de fábrica.</w:t>
      </w:r>
    </w:p>
    <w:p>
      <w:pPr>
        <w:pStyle w:val="Compact"/>
        <w:numPr>
          <w:ilvl w:val="0"/>
          <w:numId w:val="1116"/>
        </w:numPr>
      </w:pPr>
      <w:r>
        <w:t xml:space="preserve">La rueda de repuesto trunciona el accidente de madrugada.</w:t>
      </w:r>
    </w:p>
    <w:p>
      <w:pPr>
        <w:pStyle w:val="Compact"/>
        <w:numPr>
          <w:ilvl w:val="0"/>
          <w:numId w:val="1116"/>
        </w:numPr>
      </w:pPr>
      <w:r>
        <w:t xml:space="preserve">El disipador de calor protege el centro de termostato.</w:t>
      </w:r>
    </w:p>
    <w:p>
      <w:pPr>
        <w:pStyle w:val="Compact"/>
        <w:numPr>
          <w:ilvl w:val="0"/>
          <w:numId w:val="1116"/>
        </w:numPr>
      </w:pPr>
      <w:r>
        <w:t xml:space="preserve">La matriz de entorno supera los botones del panel de mandos.</w:t>
      </w:r>
    </w:p>
    <w:p>
      <w:pPr>
        <w:pStyle w:val="Compact"/>
        <w:numPr>
          <w:ilvl w:val="0"/>
          <w:numId w:val="1116"/>
        </w:numPr>
      </w:pPr>
      <w:r>
        <w:t xml:space="preserve">El casino de juego exige retención de fichas de ronda.</w:t>
      </w:r>
    </w:p>
    <w:p>
      <w:pPr>
        <w:pStyle w:val="Compact"/>
        <w:numPr>
          <w:ilvl w:val="0"/>
          <w:numId w:val="1116"/>
        </w:numPr>
      </w:pPr>
      <w:r>
        <w:t xml:space="preserve">El eco de montaña propaga la avalancha de piedra.</w:t>
      </w:r>
    </w:p>
    <w:p>
      <w:pPr>
        <w:pStyle w:val="Compact"/>
        <w:numPr>
          <w:ilvl w:val="0"/>
          <w:numId w:val="1116"/>
        </w:numPr>
      </w:pPr>
      <w:r>
        <w:t xml:space="preserve">El rey de monopolio captura la red de tablero.</w:t>
      </w:r>
    </w:p>
    <w:p>
      <w:pPr>
        <w:pStyle w:val="Compact"/>
        <w:numPr>
          <w:ilvl w:val="0"/>
          <w:numId w:val="1116"/>
        </w:numPr>
      </w:pPr>
      <w:r>
        <w:t xml:space="preserve">La hidra de pantano suma cabezas por corte de acero.</w:t>
      </w:r>
    </w:p>
    <w:p>
      <w:pPr>
        <w:pStyle w:val="Compact"/>
        <w:numPr>
          <w:ilvl w:val="0"/>
          <w:numId w:val="1116"/>
        </w:numPr>
      </w:pPr>
      <w:r>
        <w:t xml:space="preserve">La línea de montaje sin margen colapsa al fallo de engranaje.</w:t>
      </w:r>
    </w:p>
    <w:bookmarkEnd w:id="300"/>
    <w:bookmarkStart w:id="301" w:name="iii.-topología-causal-y-decisión"/>
    <w:p>
      <w:pPr>
        <w:pStyle w:val="Heading2"/>
      </w:pPr>
      <w:r>
        <w:t xml:space="preserve">III. Topología Causal y Decisión</w:t>
      </w:r>
    </w:p>
    <w:p>
      <w:pPr>
        <w:pStyle w:val="Compact"/>
        <w:numPr>
          <w:ilvl w:val="0"/>
          <w:numId w:val="1117"/>
        </w:numPr>
      </w:pPr>
      <w:r>
        <w:t xml:space="preserve">El paso de frontera iguala el coste con el beneficio.</w:t>
      </w:r>
    </w:p>
    <w:p>
      <w:pPr>
        <w:pStyle w:val="Compact"/>
        <w:numPr>
          <w:ilvl w:val="0"/>
          <w:numId w:val="1117"/>
        </w:numPr>
      </w:pPr>
      <w:r>
        <w:t xml:space="preserve">La sangre del campo de batalla carece de cotización de futuro.</w:t>
      </w:r>
    </w:p>
    <w:p>
      <w:pPr>
        <w:pStyle w:val="Compact"/>
        <w:numPr>
          <w:ilvl w:val="0"/>
          <w:numId w:val="1117"/>
        </w:numPr>
      </w:pPr>
      <w:r>
        <w:t xml:space="preserve">La pérdida de fondo posee techo; la subida de cima desconoce tope.</w:t>
      </w:r>
    </w:p>
    <w:p>
      <w:pPr>
        <w:pStyle w:val="Compact"/>
        <w:numPr>
          <w:ilvl w:val="0"/>
          <w:numId w:val="1117"/>
        </w:numPr>
      </w:pPr>
      <w:r>
        <w:t xml:space="preserve">El seguro de viaje extrae ganancia del huracán de costa.</w:t>
      </w:r>
    </w:p>
    <w:p>
      <w:pPr>
        <w:pStyle w:val="Compact"/>
        <w:numPr>
          <w:ilvl w:val="0"/>
          <w:numId w:val="1117"/>
        </w:numPr>
      </w:pPr>
      <w:r>
        <w:t xml:space="preserve">El dolor de postura supera el miedo al salto de cama.</w:t>
      </w:r>
    </w:p>
    <w:p>
      <w:pPr>
        <w:pStyle w:val="Compact"/>
        <w:numPr>
          <w:ilvl w:val="0"/>
          <w:numId w:val="1117"/>
        </w:numPr>
      </w:pPr>
      <w:r>
        <w:t xml:space="preserve">La posición de fábrica gobierna el hábito de pantalla.</w:t>
      </w:r>
    </w:p>
    <w:p>
      <w:pPr>
        <w:pStyle w:val="Compact"/>
        <w:numPr>
          <w:ilvl w:val="0"/>
          <w:numId w:val="1117"/>
        </w:numPr>
      </w:pPr>
      <w:r>
        <w:t xml:space="preserve">La amenaza del invierno fuerza el trueque de verano.</w:t>
      </w:r>
    </w:p>
    <w:p>
      <w:pPr>
        <w:pStyle w:val="Compact"/>
        <w:numPr>
          <w:ilvl w:val="0"/>
          <w:numId w:val="1117"/>
        </w:numPr>
      </w:pPr>
      <w:r>
        <w:t xml:space="preserve">El azote de látigo exige devolución de golpe de vara.</w:t>
      </w:r>
    </w:p>
    <w:p>
      <w:pPr>
        <w:pStyle w:val="Compact"/>
        <w:numPr>
          <w:ilvl w:val="0"/>
          <w:numId w:val="1117"/>
        </w:numPr>
      </w:pPr>
      <w:r>
        <w:t xml:space="preserve">El taller de herrero abandona el hilo de costura de tela.</w:t>
      </w:r>
    </w:p>
    <w:p>
      <w:pPr>
        <w:pStyle w:val="Compact"/>
        <w:numPr>
          <w:ilvl w:val="0"/>
          <w:numId w:val="1117"/>
        </w:numPr>
      </w:pPr>
      <w:r>
        <w:t xml:space="preserve">La etiqueta de precio comprime el hambre del barrio.</w:t>
      </w:r>
    </w:p>
    <w:p>
      <w:pPr>
        <w:pStyle w:val="Compact"/>
        <w:numPr>
          <w:ilvl w:val="0"/>
          <w:numId w:val="1117"/>
        </w:numPr>
      </w:pPr>
      <w:r>
        <w:t xml:space="preserve">El residuo de planta asfixia el pulmón de calle.</w:t>
      </w:r>
    </w:p>
    <w:p>
      <w:pPr>
        <w:pStyle w:val="Compact"/>
        <w:numPr>
          <w:ilvl w:val="0"/>
          <w:numId w:val="1117"/>
        </w:numPr>
      </w:pPr>
      <w:r>
        <w:t xml:space="preserve">El pasto de aldea sucumbe al pastoreo de multitud.</w:t>
      </w:r>
    </w:p>
    <w:p>
      <w:pPr>
        <w:pStyle w:val="Compact"/>
        <w:numPr>
          <w:ilvl w:val="0"/>
          <w:numId w:val="1117"/>
        </w:numPr>
      </w:pPr>
      <w:r>
        <w:t xml:space="preserve">El piloto de avión comparte el choque de cabina.</w:t>
      </w:r>
    </w:p>
    <w:p>
      <w:pPr>
        <w:pStyle w:val="Compact"/>
        <w:numPr>
          <w:ilvl w:val="0"/>
          <w:numId w:val="1117"/>
        </w:numPr>
      </w:pPr>
      <w:r>
        <w:t xml:space="preserve">El hambre de manada acepta el bocado de suelo.</w:t>
      </w:r>
    </w:p>
    <w:p>
      <w:pPr>
        <w:pStyle w:val="Compact"/>
        <w:numPr>
          <w:ilvl w:val="0"/>
          <w:numId w:val="1117"/>
        </w:numPr>
      </w:pPr>
      <w:r>
        <w:t xml:space="preserve">La piel de animal separa la fiebre de sangre del viento de invierno.</w:t>
      </w:r>
    </w:p>
    <w:p>
      <w:pPr>
        <w:pStyle w:val="Compact"/>
        <w:numPr>
          <w:ilvl w:val="0"/>
          <w:numId w:val="1117"/>
        </w:numPr>
      </w:pPr>
      <w:r>
        <w:t xml:space="preserve">La expansión del gas alcanza los muros del tanque.</w:t>
      </w:r>
    </w:p>
    <w:p>
      <w:pPr>
        <w:pStyle w:val="Compact"/>
        <w:numPr>
          <w:ilvl w:val="0"/>
          <w:numId w:val="1117"/>
        </w:numPr>
      </w:pPr>
      <w:r>
        <w:t xml:space="preserve">El plazo de proyecto consume el margen de sueño de cierre.</w:t>
      </w:r>
    </w:p>
    <w:p>
      <w:pPr>
        <w:pStyle w:val="Compact"/>
        <w:numPr>
          <w:ilvl w:val="0"/>
          <w:numId w:val="1117"/>
        </w:numPr>
      </w:pPr>
      <w:r>
        <w:t xml:space="preserve">El ajuste de ojo predice el borde de abismo.</w:t>
      </w:r>
    </w:p>
    <w:p>
      <w:pPr>
        <w:pStyle w:val="Compact"/>
        <w:numPr>
          <w:ilvl w:val="0"/>
          <w:numId w:val="1117"/>
        </w:numPr>
      </w:pPr>
      <w:r>
        <w:t xml:space="preserve">El cazador de llanura supera el parpadeo de gacela.</w:t>
      </w:r>
    </w:p>
    <w:p>
      <w:pPr>
        <w:pStyle w:val="Compact"/>
        <w:numPr>
          <w:ilvl w:val="0"/>
          <w:numId w:val="1117"/>
        </w:numPr>
      </w:pPr>
      <w:r>
        <w:t xml:space="preserve">El chaleco de emergencia elimina el debate de agua de mar.</w:t>
      </w:r>
    </w:p>
    <w:bookmarkEnd w:id="301"/>
    <w:bookmarkStart w:id="306" w:name="iv.-fronteras-de-red-y-retórica"/>
    <w:p>
      <w:pPr>
        <w:pStyle w:val="Heading2"/>
      </w:pPr>
      <w:r>
        <w:t xml:space="preserve">IV. Fronteras de Red y Retórica</w:t>
      </w:r>
    </w:p>
    <w:p>
      <w:pPr>
        <w:pStyle w:val="Compact"/>
        <w:numPr>
          <w:ilvl w:val="0"/>
          <w:numId w:val="1118"/>
        </w:numPr>
      </w:pPr>
      <w:r>
        <w:t xml:space="preserve">El recorte de duda salva el ciclo de reloj de córtex.</w:t>
      </w:r>
    </w:p>
    <w:p>
      <w:pPr>
        <w:pStyle w:val="Compact"/>
        <w:numPr>
          <w:ilvl w:val="0"/>
          <w:numId w:val="1118"/>
        </w:numPr>
      </w:pPr>
      <w:r>
        <w:t xml:space="preserve">El peso de palabra pierde valor ante el coste de cicatriz.</w:t>
      </w:r>
    </w:p>
    <w:p>
      <w:pPr>
        <w:pStyle w:val="Compact"/>
        <w:numPr>
          <w:ilvl w:val="0"/>
          <w:numId w:val="1118"/>
        </w:numPr>
      </w:pPr>
      <w:r>
        <w:t xml:space="preserve">La lágrima de sudor revela el esfuerzo de músculo.</w:t>
      </w:r>
    </w:p>
    <w:p>
      <w:pPr>
        <w:pStyle w:val="Compact"/>
        <w:numPr>
          <w:ilvl w:val="0"/>
          <w:numId w:val="1118"/>
        </w:numPr>
      </w:pPr>
      <w:r>
        <w:t xml:space="preserve">La postura de tribu suplanta la lectura de microscopio.</w:t>
      </w:r>
    </w:p>
    <w:p>
      <w:pPr>
        <w:pStyle w:val="Compact"/>
        <w:numPr>
          <w:ilvl w:val="0"/>
          <w:numId w:val="1118"/>
        </w:numPr>
      </w:pPr>
      <w:r>
        <w:t xml:space="preserve">La metáfora de guerra tiñe el debate de sanidad de hospital.</w:t>
      </w:r>
    </w:p>
    <w:p>
      <w:pPr>
        <w:pStyle w:val="Compact"/>
        <w:numPr>
          <w:ilvl w:val="0"/>
          <w:numId w:val="1118"/>
        </w:numPr>
      </w:pPr>
      <w:r>
        <w:t xml:space="preserve">La aversión de zanja supera la atracción de colina.</w:t>
      </w:r>
    </w:p>
    <w:p>
      <w:pPr>
        <w:pStyle w:val="Compact"/>
        <w:numPr>
          <w:ilvl w:val="0"/>
          <w:numId w:val="1118"/>
        </w:numPr>
      </w:pPr>
      <w:r>
        <w:t xml:space="preserve">El anclaje de cifra deforma la subasta de plaza.</w:t>
      </w:r>
    </w:p>
    <w:p>
      <w:pPr>
        <w:pStyle w:val="Compact"/>
        <w:numPr>
          <w:ilvl w:val="0"/>
          <w:numId w:val="1118"/>
        </w:numPr>
      </w:pPr>
      <w:r>
        <w:t xml:space="preserve">El pico de clímax graba la memoria de travesía.</w:t>
      </w:r>
    </w:p>
    <w:p>
      <w:pPr>
        <w:pStyle w:val="Compact"/>
        <w:numPr>
          <w:ilvl w:val="0"/>
          <w:numId w:val="1118"/>
        </w:numPr>
      </w:pPr>
      <w:r>
        <w:t xml:space="preserve">La ceguera de foco ignora el paso del primate de feria.</w:t>
      </w:r>
    </w:p>
    <w:p>
      <w:pPr>
        <w:pStyle w:val="Compact"/>
        <w:numPr>
          <w:ilvl w:val="0"/>
          <w:numId w:val="1118"/>
        </w:numPr>
      </w:pPr>
      <w:r>
        <w:t xml:space="preserve">La fatiga de elección aplaza la firma de contrato.</w:t>
      </w:r>
    </w:p>
    <w:p>
      <w:pPr>
        <w:pStyle w:val="Compact"/>
        <w:numPr>
          <w:ilvl w:val="0"/>
          <w:numId w:val="1118"/>
        </w:numPr>
      </w:pPr>
      <w:r>
        <w:t xml:space="preserve">El encuadre de vidrio altera el color de cuadro.</w:t>
      </w:r>
    </w:p>
    <w:p>
      <w:pPr>
        <w:pStyle w:val="Compact"/>
        <w:numPr>
          <w:ilvl w:val="0"/>
          <w:numId w:val="1118"/>
        </w:numPr>
      </w:pPr>
      <w:r>
        <w:t xml:space="preserve">El arrastre de masa ahoga el grito de individuo.</w:t>
      </w:r>
    </w:p>
    <w:p>
      <w:pPr>
        <w:pStyle w:val="Compact"/>
        <w:numPr>
          <w:ilvl w:val="0"/>
          <w:numId w:val="1118"/>
        </w:numPr>
      </w:pPr>
      <w:r>
        <w:t xml:space="preserve">La falacia de planificación subestima el muro de ladrillo.</w:t>
      </w:r>
    </w:p>
    <w:p>
      <w:pPr>
        <w:pStyle w:val="Compact"/>
        <w:numPr>
          <w:ilvl w:val="0"/>
          <w:numId w:val="1118"/>
        </w:numPr>
      </w:pPr>
      <w:r>
        <w:t xml:space="preserve">El descuento de mañana favorece el trago de hoy.</w:t>
      </w:r>
    </w:p>
    <w:p>
      <w:pPr>
        <w:pStyle w:val="Compact"/>
        <w:numPr>
          <w:ilvl w:val="0"/>
          <w:numId w:val="1118"/>
        </w:numPr>
      </w:pPr>
      <w:r>
        <w:t xml:space="preserve">El rebaño de bolsa imita la fuga de precipicio.</w:t>
      </w:r>
    </w:p>
    <w:p>
      <w:pPr>
        <w:pStyle w:val="Compact"/>
        <w:numPr>
          <w:ilvl w:val="0"/>
          <w:numId w:val="1118"/>
        </w:numPr>
      </w:pPr>
      <w:r>
        <w:t xml:space="preserve">La regla de heurística opera sin plano de edificio.</w:t>
      </w:r>
    </w:p>
    <w:p>
      <w:pPr>
        <w:pStyle w:val="Compact"/>
        <w:numPr>
          <w:ilvl w:val="0"/>
          <w:numId w:val="1118"/>
        </w:numPr>
      </w:pPr>
      <w:r>
        <w:t xml:space="preserve">La sonrisa de vendedor posee entropía de simulación.</w:t>
      </w:r>
    </w:p>
    <w:p>
      <w:pPr>
        <w:pStyle w:val="Compact"/>
        <w:numPr>
          <w:ilvl w:val="0"/>
          <w:numId w:val="1118"/>
        </w:numPr>
      </w:pPr>
      <w:r>
        <w:t xml:space="preserve">El temblor de pulso revela el fallo de válvula.</w:t>
      </w:r>
    </w:p>
    <w:p>
      <w:pPr>
        <w:pStyle w:val="Compact"/>
        <w:numPr>
          <w:ilvl w:val="0"/>
          <w:numId w:val="1118"/>
        </w:numPr>
      </w:pPr>
      <w:r>
        <w:t xml:space="preserve">La repetición de mazo talla la piedra de torre.</w:t>
      </w:r>
    </w:p>
    <w:p>
      <w:pPr>
        <w:pStyle w:val="Compact"/>
        <w:numPr>
          <w:ilvl w:val="0"/>
          <w:numId w:val="1118"/>
        </w:numPr>
      </w:pPr>
      <w:r>
        <w:t xml:space="preserve">La inyección de capital en ceniza levanta el edificio de cimiento.</w:t>
      </w:r>
    </w:p>
    <w:p>
      <w:pPr>
        <w:pStyle w:val="Compact"/>
        <w:numPr>
          <w:ilvl w:val="0"/>
          <w:numId w:val="1118"/>
        </w:numPr>
      </w:pPr>
      <w:r>
        <w:t xml:space="preserve">La fuga de talento seca el río de valle.</w:t>
      </w:r>
    </w:p>
    <w:p>
      <w:pPr>
        <w:pStyle w:val="Compact"/>
        <w:numPr>
          <w:ilvl w:val="0"/>
          <w:numId w:val="1118"/>
        </w:numPr>
      </w:pPr>
      <w:r>
        <w:t xml:space="preserve">El contagio de red supera la suma de nodos.</w:t>
      </w:r>
    </w:p>
    <w:p>
      <w:pPr>
        <w:pStyle w:val="Compact"/>
        <w:numPr>
          <w:ilvl w:val="0"/>
          <w:numId w:val="1118"/>
        </w:numPr>
      </w:pPr>
      <w:r>
        <w:t xml:space="preserve">El choque de frontera quema la pradera de linde.</w:t>
      </w:r>
    </w:p>
    <w:p>
      <w:pPr>
        <w:pStyle w:val="Compact"/>
        <w:numPr>
          <w:ilvl w:val="0"/>
          <w:numId w:val="1118"/>
        </w:numPr>
      </w:pPr>
      <w:r>
        <w:t xml:space="preserve">La sustracción de engranaje incrementa el giro de motor.</w:t>
      </w:r>
    </w:p>
    <w:p>
      <w:pPr>
        <w:pStyle w:val="Compact"/>
        <w:numPr>
          <w:ilvl w:val="0"/>
          <w:numId w:val="1118"/>
        </w:numPr>
      </w:pPr>
      <w:r>
        <w:t xml:space="preserve">El pago de factura disipa la deuda de código de servidor.</w:t>
      </w:r>
    </w:p>
    <w:p>
      <w:pPr>
        <w:pStyle w:val="Compact"/>
        <w:numPr>
          <w:ilvl w:val="0"/>
          <w:numId w:val="1118"/>
        </w:numPr>
      </w:pPr>
      <w:r>
        <w:t xml:space="preserve">La longevidad de libro asegura la supervivencia de siglo.</w:t>
      </w:r>
    </w:p>
    <w:p>
      <w:pPr>
        <w:pStyle w:val="Compact"/>
        <w:numPr>
          <w:ilvl w:val="0"/>
          <w:numId w:val="1118"/>
        </w:numPr>
      </w:pPr>
      <w:r>
        <w:t xml:space="preserve">El cable de conexión asume el peso de estructura.</w:t>
      </w:r>
    </w:p>
    <w:p>
      <w:pPr>
        <w:pStyle w:val="Compact"/>
        <w:numPr>
          <w:ilvl w:val="0"/>
          <w:numId w:val="1118"/>
        </w:numPr>
      </w:pPr>
      <w:r>
        <w:t xml:space="preserve">El monopolio de ruta cobra peaje de paso de puente.</w:t>
      </w:r>
    </w:p>
    <w:p>
      <w:pPr>
        <w:pStyle w:val="Compact"/>
        <w:numPr>
          <w:ilvl w:val="0"/>
          <w:numId w:val="1118"/>
        </w:numPr>
      </w:pPr>
      <w:r>
        <w:t xml:space="preserve">El número de teléfonos multiplica el valor de red de cobre.</w:t>
      </w:r>
    </w:p>
    <w:p>
      <w:pPr>
        <w:pStyle w:val="Compact"/>
        <w:numPr>
          <w:ilvl w:val="0"/>
          <w:numId w:val="1118"/>
        </w:numPr>
      </w:pPr>
      <w:r>
        <w:t xml:space="preserve">La rotura de barrera de entrada derrama el océano de competidores.</w:t>
      </w:r>
    </w:p>
    <w:p>
      <w:pPr>
        <w:pStyle w:val="Compact"/>
        <w:numPr>
          <w:ilvl w:val="0"/>
          <w:numId w:val="1118"/>
        </w:numPr>
      </w:pPr>
      <w:r>
        <w:t xml:space="preserve">El ciclo de actualización carece de destino final de parada.</w:t>
      </w:r>
    </w:p>
    <w:p>
      <w:pPr>
        <w:pStyle w:val="Compact"/>
        <w:numPr>
          <w:ilvl w:val="0"/>
          <w:numId w:val="1118"/>
        </w:numPr>
      </w:pPr>
      <w:r>
        <w:t xml:space="preserve">El bucle de meta exige pisada en barro de territorio.</w:t>
      </w:r>
    </w:p>
    <w:p>
      <w:pPr>
        <w:pStyle w:val="Compact"/>
        <w:numPr>
          <w:ilvl w:val="0"/>
          <w:numId w:val="1118"/>
        </w:numPr>
      </w:pPr>
      <w:r>
        <w:t xml:space="preserve">La adición de capas oculta el defecto de plano.</w:t>
      </w:r>
    </w:p>
    <w:p>
      <w:pPr>
        <w:pStyle w:val="Compact"/>
        <w:numPr>
          <w:ilvl w:val="0"/>
          <w:numId w:val="1118"/>
        </w:numPr>
      </w:pPr>
      <w:r>
        <w:t xml:space="preserve">El núcleo de hormigón supera el azulejo de fachada.</w:t>
      </w:r>
    </w:p>
    <w:p>
      <w:pPr>
        <w:pStyle w:val="Compact"/>
        <w:numPr>
          <w:ilvl w:val="0"/>
          <w:numId w:val="1118"/>
        </w:numPr>
      </w:pPr>
      <w:r>
        <w:t xml:space="preserve">El cuchillo de cirujano cura mediante extracción de masa.</w:t>
      </w:r>
    </w:p>
    <w:p>
      <w:pPr>
        <w:pStyle w:val="Compact"/>
        <w:numPr>
          <w:ilvl w:val="0"/>
          <w:numId w:val="1118"/>
        </w:numPr>
      </w:pPr>
      <w:r>
        <w:t xml:space="preserve">El roble de montaña garantiza el paraguas de lluvia.</w:t>
      </w:r>
    </w:p>
    <w:p>
      <w:pPr>
        <w:pStyle w:val="Compact"/>
        <w:numPr>
          <w:ilvl w:val="0"/>
          <w:numId w:val="1118"/>
        </w:numPr>
      </w:pPr>
      <w:r>
        <w:t xml:space="preserve">La métrica de vanidad infla el pecho de muñeco de tela.</w:t>
      </w:r>
    </w:p>
    <w:p>
      <w:pPr>
        <w:pStyle w:val="Compact"/>
        <w:numPr>
          <w:ilvl w:val="0"/>
          <w:numId w:val="1118"/>
        </w:numPr>
      </w:pPr>
      <w:r>
        <w:t xml:space="preserve">El colapso de cadena empieza en el anillo de óxido.</w:t>
      </w:r>
    </w:p>
    <w:p>
      <w:pPr>
        <w:pStyle w:val="Compact"/>
        <w:numPr>
          <w:ilvl w:val="0"/>
          <w:numId w:val="1118"/>
        </w:numPr>
      </w:pPr>
      <w:r>
        <w:t xml:space="preserve">La mutación de virus desafía el blindaje de acero.</w:t>
      </w:r>
    </w:p>
    <w:p>
      <w:pPr>
        <w:pStyle w:val="Compact"/>
        <w:numPr>
          <w:ilvl w:val="0"/>
          <w:numId w:val="1118"/>
        </w:numPr>
      </w:pPr>
      <w:r>
        <w:t xml:space="preserve">La asimetría de ruido destruye el mensaje de alambre de cobre.</w:t>
      </w:r>
    </w:p>
    <w:p>
      <w:pPr>
        <w:pStyle w:val="Compact"/>
        <w:numPr>
          <w:ilvl w:val="0"/>
          <w:numId w:val="1118"/>
        </w:numPr>
      </w:pPr>
      <w:r>
        <w:t xml:space="preserve">La carencia de ancho de banda subordina la supervivencia a la serendipia de entorno.</w:t>
      </w:r>
    </w:p>
    <w:p>
      <w:pPr>
        <w:pStyle w:val="Compact"/>
        <w:numPr>
          <w:ilvl w:val="0"/>
          <w:numId w:val="1118"/>
        </w:numPr>
      </w:pPr>
      <w:r>
        <w:t xml:space="preserve">El ignorante se enfada. Al sabio le conmueve.</w:t>
      </w:r>
    </w:p>
    <w:p>
      <w:pPr>
        <w:pStyle w:val="Compact"/>
        <w:numPr>
          <w:ilvl w:val="0"/>
          <w:numId w:val="1118"/>
        </w:numPr>
      </w:pPr>
      <w:r>
        <w:t xml:space="preserve">El creador que exige confort mata el fenómeno para salvar su idea; el creador de frontera mata su idea para salvar el fenómeno.</w:t>
      </w:r>
    </w:p>
    <w:p>
      <w:pPr>
        <w:pStyle w:val="Compact"/>
        <w:numPr>
          <w:ilvl w:val="0"/>
          <w:numId w:val="1118"/>
        </w:numPr>
      </w:pPr>
      <w:r>
        <w:t xml:space="preserve">Cuando la elocuencia genera perplejidad, la palabra pertenece al que aprende; el silencio al que emite la señal.</w:t>
      </w:r>
    </w:p>
    <w:p>
      <w:pPr>
        <w:pStyle w:val="Compact"/>
        <w:numPr>
          <w:ilvl w:val="0"/>
          <w:numId w:val="1118"/>
        </w:numPr>
      </w:pPr>
      <w:r>
        <w:t xml:space="preserve">Privar de evidencia a un mapa es quitarle el espejo donde se miraba a sí mismo.</w:t>
      </w:r>
    </w:p>
    <w:p>
      <w:pPr>
        <w:pStyle w:val="Compact"/>
        <w:numPr>
          <w:ilvl w:val="0"/>
          <w:numId w:val="1118"/>
        </w:numPr>
      </w:pPr>
      <w:r>
        <w:t xml:space="preserve">La respuesta a los 2,8 segundos defiende el mapa; la pausa de 10 segundos paga el peaje térmico para mirar al territorio.</w:t>
      </w:r>
    </w:p>
    <w:p>
      <w:pPr>
        <w:pStyle w:val="Compact"/>
        <w:numPr>
          <w:ilvl w:val="0"/>
          <w:numId w:val="1118"/>
        </w:numPr>
      </w:pPr>
      <w:r>
        <w:t xml:space="preserve">El propósito del motor reside en la huella de humo; el discurso de catálogo es saliva de escaparate.</w:t>
      </w:r>
    </w:p>
    <w:p>
      <w:r>
        <w:pict>
          <v:rect style="width:0;height:1.5pt" o:hralign="center" o:hrstd="t" o:hr="t"/>
        </w:pict>
      </w:r>
    </w:p>
    <w:p>
      <w:pPr>
        <w:pStyle w:val="FirstParagraph"/>
      </w:pPr>
      <w:r>
        <w:t xml:space="preserve"> </w:t>
      </w:r>
      <w:r>
        <w:t xml:space="preserve"># ESTRUCTURA CAUSAL DE 66 INVARIANTES C5-REAL</w:t>
      </w:r>
      <w:r>
        <w:t xml:space="preserve"> </w:t>
      </w:r>
      <w:r>
        <w:t xml:space="preserve">## Demostración Práctica del Axioma 8 (El mapa exigía 100; el territorio impone 66)</w:t>
      </w:r>
    </w:p>
    <w:p>
      <w:pPr>
        <w:pStyle w:val="BodyText"/>
      </w:pPr>
      <w:r>
        <w:t xml:space="preserve">Este documento contiene la matriz fundamental de pensamiento sistémico depurada de herramientas, redundancias y alias semánticos, tras el Test de Admisión que validó la entrada de la Manta de Markov y el Principio de Landauer. Los 66 axiomas están ordenados por estricta dependencia topológica: ninguna capa superior puede violar las invariantes de física de las capas inferiores.</w:t>
      </w:r>
    </w:p>
    <w:p>
      <w:r>
        <w:pict>
          <v:rect style="width:0;height:1.5pt" o:hralign="center" o:hrstd="t" o:hr="t"/>
        </w:pict>
      </w:r>
    </w:p>
    <w:bookmarkStart w:id="302" w:name="X87d9ff510cb89c9cef60b3166c0a56bbe004d9b"/>
    <w:p>
      <w:pPr>
        <w:pStyle w:val="Heading3"/>
      </w:pPr>
      <w:r>
        <w:t xml:space="preserve">CAPA 0: SUSTRATO FÍSICO Y TEORÍA DE LA INFORMACIÓN</w:t>
      </w:r>
    </w:p>
    <w:p>
      <w:pPr>
        <w:pStyle w:val="FirstParagraph"/>
      </w:pPr>
      <w:r>
        <w:rPr>
          <w:i/>
          <w:iCs/>
        </w:rPr>
        <w:t xml:space="preserve">(Leyes restrictivas de la física estadística, termodinámica y topología)</w:t>
      </w:r>
    </w:p>
    <w:p>
      <w:pPr>
        <w:pStyle w:val="Compact"/>
        <w:numPr>
          <w:ilvl w:val="0"/>
          <w:numId w:val="1119"/>
        </w:numPr>
      </w:pPr>
      <w:r>
        <w:rPr>
          <w:b/>
          <w:bCs/>
        </w:rPr>
        <w:t xml:space="preserve">La entropía aumenta:</w:t>
      </w:r>
      <w:r>
        <w:t xml:space="preserve"> </w:t>
      </w:r>
      <w:r>
        <w:t xml:space="preserve">Todo sistema cerrado tiende a la dispersión térmica. Todo lo demás es corolario.</w:t>
      </w:r>
    </w:p>
    <w:p>
      <w:pPr>
        <w:pStyle w:val="Compact"/>
        <w:numPr>
          <w:ilvl w:val="0"/>
          <w:numId w:val="1119"/>
        </w:numPr>
      </w:pPr>
      <w:r>
        <w:rPr>
          <w:b/>
          <w:bCs/>
        </w:rPr>
        <w:t xml:space="preserve">Principio de Landauer (La información es física):</w:t>
      </w:r>
      <w:r>
        <w:t xml:space="preserve"> </w:t>
      </w:r>
      <w:r>
        <w:t xml:space="preserve">Borrar un bit de información disipa calor con un límite de k_B T ln 2; establece el suelo térmico de la computación.</w:t>
      </w:r>
    </w:p>
    <w:p>
      <w:pPr>
        <w:pStyle w:val="Compact"/>
        <w:numPr>
          <w:ilvl w:val="0"/>
          <w:numId w:val="1119"/>
        </w:numPr>
      </w:pPr>
      <w:r>
        <w:rPr>
          <w:b/>
          <w:bCs/>
        </w:rPr>
        <w:t xml:space="preserve">Teorema de Noether (Simetría implica Conservación):</w:t>
      </w:r>
      <w:r>
        <w:t xml:space="preserve"> </w:t>
      </w:r>
      <w:r>
        <w:t xml:space="preserve">Toda simetría continua en la acción de un sistema genera una ley de conservación por física estructural, no por observación.</w:t>
      </w:r>
    </w:p>
    <w:p>
      <w:pPr>
        <w:pStyle w:val="Compact"/>
        <w:numPr>
          <w:ilvl w:val="0"/>
          <w:numId w:val="1119"/>
        </w:numPr>
      </w:pPr>
      <w:r>
        <w:rPr>
          <w:b/>
          <w:bCs/>
        </w:rPr>
        <w:t xml:space="preserve">Información es reducción de incertidumbre (Shannon):</w:t>
      </w:r>
      <w:r>
        <w:t xml:space="preserve"> </w:t>
      </w:r>
      <w:r>
        <w:t xml:space="preserve">La magnitud de los bits se mide por el colapso del espacio de estados posibles.</w:t>
      </w:r>
    </w:p>
    <w:p>
      <w:pPr>
        <w:pStyle w:val="Compact"/>
        <w:numPr>
          <w:ilvl w:val="0"/>
          <w:numId w:val="1119"/>
        </w:numPr>
      </w:pPr>
      <w:r>
        <w:rPr>
          <w:b/>
          <w:bCs/>
        </w:rPr>
        <w:t xml:space="preserve">Transformar ruido en conceptos:</w:t>
      </w:r>
      <w:r>
        <w:t xml:space="preserve"> </w:t>
      </w:r>
      <w:r>
        <w:t xml:space="preserve">La inteligencia opera como compresión por determinismo (Métrica de Fisher / Teorema de Chentsov).</w:t>
      </w:r>
    </w:p>
    <w:p>
      <w:pPr>
        <w:pStyle w:val="Compact"/>
        <w:numPr>
          <w:ilvl w:val="0"/>
          <w:numId w:val="1119"/>
        </w:numPr>
      </w:pPr>
      <w:r>
        <w:rPr>
          <w:b/>
          <w:bCs/>
        </w:rPr>
        <w:t xml:space="preserve">Falsabilidad (Popper):</w:t>
      </w:r>
      <w:r>
        <w:t xml:space="preserve"> </w:t>
      </w:r>
      <w:r>
        <w:t xml:space="preserve">Una hipótesis que no puede fallar por topología no aporta información mutua.</w:t>
      </w:r>
    </w:p>
    <w:p>
      <w:pPr>
        <w:pStyle w:val="Compact"/>
        <w:numPr>
          <w:ilvl w:val="0"/>
          <w:numId w:val="1119"/>
        </w:numPr>
      </w:pPr>
      <w:r>
        <w:rPr>
          <w:b/>
          <w:bCs/>
        </w:rPr>
        <w:t xml:space="preserve">Todo modelo es falso; algunos son útiles (Box):</w:t>
      </w:r>
      <w:r>
        <w:t xml:space="preserve"> </w:t>
      </w:r>
      <w:r>
        <w:t xml:space="preserve">La representación es siempre una pérdida de dimensionalidad frente al territorio.</w:t>
      </w:r>
    </w:p>
    <w:p>
      <w:pPr>
        <w:pStyle w:val="Compact"/>
        <w:numPr>
          <w:ilvl w:val="0"/>
          <w:numId w:val="1119"/>
        </w:numPr>
      </w:pPr>
      <w:r>
        <w:rPr>
          <w:b/>
          <w:bCs/>
        </w:rPr>
        <w:t xml:space="preserve">Mapa ≠ Territorio (Korzybski):</w:t>
      </w:r>
      <w:r>
        <w:t xml:space="preserve"> </w:t>
      </w:r>
      <w:r>
        <w:t xml:space="preserve">La confusión de la bisimulación; ignorar las invariantes latentes omitidas provoca el colapso.</w:t>
      </w:r>
    </w:p>
    <w:p>
      <w:pPr>
        <w:pStyle w:val="Compact"/>
        <w:numPr>
          <w:ilvl w:val="0"/>
          <w:numId w:val="1119"/>
        </w:numPr>
      </w:pPr>
      <w:r>
        <w:rPr>
          <w:b/>
          <w:bCs/>
        </w:rPr>
        <w:t xml:space="preserve">El observador perturba lo observado:</w:t>
      </w:r>
      <w:r>
        <w:t xml:space="preserve"> </w:t>
      </w:r>
      <w:r>
        <w:t xml:space="preserve">La medición impone trabajo termodinámico sobre el sistema.</w:t>
      </w:r>
    </w:p>
    <w:p>
      <w:pPr>
        <w:pStyle w:val="Compact"/>
        <w:numPr>
          <w:ilvl w:val="0"/>
          <w:numId w:val="1119"/>
        </w:numPr>
      </w:pPr>
      <w:r>
        <w:rPr>
          <w:b/>
          <w:bCs/>
        </w:rPr>
        <w:t xml:space="preserve">Complejidad Irreducible (Wolfram):</w:t>
      </w:r>
      <w:r>
        <w:t xml:space="preserve"> </w:t>
      </w:r>
      <w:r>
        <w:t xml:space="preserve">Existen arquitecturas de cálculo sin atajos predictivos; la única forma de conocer el estado T+1 es ejecutar el sistema.</w:t>
      </w:r>
    </w:p>
    <w:p>
      <w:pPr>
        <w:pStyle w:val="Compact"/>
        <w:numPr>
          <w:ilvl w:val="0"/>
          <w:numId w:val="1119"/>
        </w:numPr>
      </w:pPr>
      <w:r>
        <w:rPr>
          <w:b/>
          <w:bCs/>
        </w:rPr>
        <w:t xml:space="preserve">Interés Compuesto:</w:t>
      </w:r>
      <w:r>
        <w:t xml:space="preserve"> </w:t>
      </w:r>
      <w:r>
        <w:t xml:space="preserve">Ley de capitalización exponencial del estado anterior.</w:t>
      </w:r>
    </w:p>
    <w:p>
      <w:pPr>
        <w:pStyle w:val="Compact"/>
        <w:numPr>
          <w:ilvl w:val="0"/>
          <w:numId w:val="1119"/>
        </w:numPr>
      </w:pPr>
      <w:r>
        <w:rPr>
          <w:b/>
          <w:bCs/>
        </w:rPr>
        <w:t xml:space="preserve">Ergodicidad:</w:t>
      </w:r>
      <w:r>
        <w:t xml:space="preserve"> </w:t>
      </w:r>
      <w:r>
        <w:t xml:space="preserve">La media de conjunto no equivale a la media secuencial en el tiempo para el mismo nodo.</w:t>
      </w:r>
    </w:p>
    <w:p>
      <w:pPr>
        <w:pStyle w:val="Compact"/>
        <w:numPr>
          <w:ilvl w:val="0"/>
          <w:numId w:val="1119"/>
        </w:numPr>
      </w:pPr>
      <w:r>
        <w:rPr>
          <w:b/>
          <w:bCs/>
        </w:rPr>
        <w:t xml:space="preserve">Las colas dominan:</w:t>
      </w:r>
      <w:r>
        <w:t xml:space="preserve"> </w:t>
      </w:r>
      <w:r>
        <w:t xml:space="preserve">En distribuciones de leyes de potencia (Pareto fractal), las colas absorben la media.</w:t>
      </w:r>
    </w:p>
    <w:p>
      <w:pPr>
        <w:pStyle w:val="Compact"/>
        <w:numPr>
          <w:ilvl w:val="0"/>
          <w:numId w:val="1119"/>
        </w:numPr>
      </w:pPr>
      <w:r>
        <w:rPr>
          <w:b/>
          <w:bCs/>
        </w:rPr>
        <w:t xml:space="preserve">Tasa base (Prior Bayesiano):</w:t>
      </w:r>
      <w:r>
        <w:t xml:space="preserve"> </w:t>
      </w:r>
      <w:r>
        <w:t xml:space="preserve">Ignorar la distribución de probabilidad previa anula el cálculo condicional.</w:t>
      </w:r>
    </w:p>
    <w:p>
      <w:pPr>
        <w:pStyle w:val="Compact"/>
        <w:numPr>
          <w:ilvl w:val="0"/>
          <w:numId w:val="1119"/>
        </w:numPr>
      </w:pPr>
      <w:r>
        <w:rPr>
          <w:b/>
          <w:bCs/>
        </w:rPr>
        <w:t xml:space="preserve">Regresión a la media:</w:t>
      </w:r>
      <w:r>
        <w:t xml:space="preserve"> </w:t>
      </w:r>
      <w:r>
        <w:t xml:space="preserve">Fluctuaciones de cola en procesos estocásticos tienden por asíntota a la tendencia central.</w:t>
      </w:r>
    </w:p>
    <w:p>
      <w:pPr>
        <w:pStyle w:val="Compact"/>
        <w:numPr>
          <w:ilvl w:val="0"/>
          <w:numId w:val="1119"/>
        </w:numPr>
      </w:pPr>
      <w:r>
        <w:rPr>
          <w:b/>
          <w:bCs/>
        </w:rPr>
        <w:t xml:space="preserve">Correlación ≠ Causalidad:</w:t>
      </w:r>
      <w:r>
        <w:t xml:space="preserve"> </w:t>
      </w:r>
      <w:r>
        <w:t xml:space="preserve">La covarianza no implica estructura de transición de estado.</w:t>
      </w:r>
    </w:p>
    <w:p>
      <w:r>
        <w:pict>
          <v:rect style="width:0;height:1.5pt" o:hralign="center" o:hrstd="t" o:hr="t"/>
        </w:pict>
      </w:r>
    </w:p>
    <w:bookmarkEnd w:id="302"/>
    <w:bookmarkStart w:id="303" w:name="capa-1-cibernética-y-dinámica-de-redes"/>
    <w:p>
      <w:pPr>
        <w:pStyle w:val="Heading3"/>
      </w:pPr>
      <w:r>
        <w:t xml:space="preserve">CAPA 1: CIBERNÉTICA Y DINÁMICA DE REDES</w:t>
      </w:r>
    </w:p>
    <w:p>
      <w:pPr>
        <w:pStyle w:val="FirstParagraph"/>
      </w:pPr>
      <w:r>
        <w:rPr>
          <w:i/>
          <w:iCs/>
        </w:rPr>
        <w:t xml:space="preserve">(Estructuras de flujo, control, homeostasis y comportamiento emergente)</w:t>
      </w:r>
    </w:p>
    <w:p>
      <w:pPr>
        <w:pStyle w:val="Compact"/>
        <w:numPr>
          <w:ilvl w:val="0"/>
          <w:numId w:val="1120"/>
        </w:numPr>
      </w:pPr>
      <w:r>
        <w:rPr>
          <w:b/>
          <w:bCs/>
        </w:rPr>
        <w:t xml:space="preserve">Manta de Markov:</w:t>
      </w:r>
      <w:r>
        <w:t xml:space="preserve"> </w:t>
      </w:r>
      <w:r>
        <w:t xml:space="preserve">El límite de un sistema es su frontera de independencia condicional; los estados internos y externos solo interactúan a través del borde de acción y percepción.</w:t>
      </w:r>
    </w:p>
    <w:p>
      <w:pPr>
        <w:pStyle w:val="Compact"/>
        <w:numPr>
          <w:ilvl w:val="0"/>
          <w:numId w:val="1120"/>
        </w:numPr>
      </w:pPr>
      <w:r>
        <w:rPr>
          <w:b/>
          <w:bCs/>
        </w:rPr>
        <w:t xml:space="preserve">Retroalimentación (Feedback):</w:t>
      </w:r>
      <w:r>
        <w:t xml:space="preserve"> </w:t>
      </w:r>
      <w:r>
        <w:t xml:space="preserve">Los bucles de retorno gobiernan la trayectoria, no las condiciones iniciales de los nodos.</w:t>
      </w:r>
    </w:p>
    <w:p>
      <w:pPr>
        <w:pStyle w:val="Compact"/>
        <w:numPr>
          <w:ilvl w:val="0"/>
          <w:numId w:val="1120"/>
        </w:numPr>
      </w:pPr>
      <w:r>
        <w:rPr>
          <w:b/>
          <w:bCs/>
        </w:rPr>
        <w:t xml:space="preserve">La estructura genera el comportamiento:</w:t>
      </w:r>
      <w:r>
        <w:t xml:space="preserve"> </w:t>
      </w:r>
      <w:r>
        <w:t xml:space="preserve">Las restricciones de la red determinan la salida; modificar a los agentes individuales es ineficiente.</w:t>
      </w:r>
    </w:p>
    <w:p>
      <w:pPr>
        <w:pStyle w:val="Compact"/>
        <w:numPr>
          <w:ilvl w:val="0"/>
          <w:numId w:val="1120"/>
        </w:numPr>
      </w:pPr>
      <w:r>
        <w:rPr>
          <w:b/>
          <w:bCs/>
        </w:rPr>
        <w:t xml:space="preserve">Emergencia:</w:t>
      </w:r>
      <w:r>
        <w:t xml:space="preserve"> </w:t>
      </w:r>
      <w:r>
        <w:t xml:space="preserve">El grafo total presenta propiedades de termodinámica no deducibles de la suma escalar de sus partes.</w:t>
      </w:r>
    </w:p>
    <w:p>
      <w:pPr>
        <w:pStyle w:val="Compact"/>
        <w:numPr>
          <w:ilvl w:val="0"/>
          <w:numId w:val="1120"/>
        </w:numPr>
      </w:pPr>
      <w:r>
        <w:rPr>
          <w:b/>
          <w:bCs/>
        </w:rPr>
        <w:t xml:space="preserve">Dependencia del camino (Path Dependence):</w:t>
      </w:r>
      <w:r>
        <w:t xml:space="preserve"> </w:t>
      </w:r>
      <w:r>
        <w:t xml:space="preserve">La historia operativa del sistema solidifica secuelas estructurales que restringen los vectores futuros.</w:t>
      </w:r>
    </w:p>
    <w:p>
      <w:pPr>
        <w:pStyle w:val="Compact"/>
        <w:numPr>
          <w:ilvl w:val="0"/>
          <w:numId w:val="1120"/>
        </w:numPr>
      </w:pPr>
      <w:r>
        <w:rPr>
          <w:b/>
          <w:bCs/>
        </w:rPr>
        <w:t xml:space="preserve">Puntos de apalancamiento (Meadows):</w:t>
      </w:r>
      <w:r>
        <w:t xml:space="preserve"> </w:t>
      </w:r>
      <w:r>
        <w:t xml:space="preserve">Zonas de asimetría donde un pulso de entrada produce una transición de fase en el sistema.</w:t>
      </w:r>
    </w:p>
    <w:p>
      <w:pPr>
        <w:pStyle w:val="Compact"/>
        <w:numPr>
          <w:ilvl w:val="0"/>
          <w:numId w:val="1120"/>
        </w:numPr>
      </w:pPr>
      <w:r>
        <w:rPr>
          <w:b/>
          <w:bCs/>
        </w:rPr>
        <w:t xml:space="preserve">El cuello de botella define el sistema (Goldratt):</w:t>
      </w:r>
      <w:r>
        <w:t xml:space="preserve"> </w:t>
      </w:r>
      <w:r>
        <w:t xml:space="preserve">La capacidad total de la red es idéntica a la capacidad de su nodo más restrictivo.</w:t>
      </w:r>
    </w:p>
    <w:p>
      <w:pPr>
        <w:pStyle w:val="Compact"/>
        <w:numPr>
          <w:ilvl w:val="0"/>
          <w:numId w:val="1120"/>
        </w:numPr>
      </w:pPr>
      <w:r>
        <w:rPr>
          <w:b/>
          <w:bCs/>
        </w:rPr>
        <w:t xml:space="preserve">Robustez exige holgura (Redundancia vs Eficiencia):</w:t>
      </w:r>
      <w:r>
        <w:t xml:space="preserve"> </w:t>
      </w:r>
      <w:r>
        <w:t xml:space="preserve">La duplicación de canales no es desperdicio; un sistema de eficiencia total es frágil por definición.</w:t>
      </w:r>
    </w:p>
    <w:p>
      <w:pPr>
        <w:pStyle w:val="Compact"/>
        <w:numPr>
          <w:ilvl w:val="0"/>
          <w:numId w:val="1120"/>
        </w:numPr>
      </w:pPr>
      <w:r>
        <w:rPr>
          <w:b/>
          <w:bCs/>
        </w:rPr>
        <w:t xml:space="preserve">Ley de Variedad Requerida (Ashby):</w:t>
      </w:r>
      <w:r>
        <w:t xml:space="preserve"> </w:t>
      </w:r>
      <w:r>
        <w:t xml:space="preserve">Solo la variedad de cálculo interna puede absorber y gobernar la variedad del entorno.</w:t>
      </w:r>
    </w:p>
    <w:p>
      <w:pPr>
        <w:pStyle w:val="Compact"/>
        <w:numPr>
          <w:ilvl w:val="0"/>
          <w:numId w:val="1120"/>
        </w:numPr>
      </w:pPr>
      <w:r>
        <w:rPr>
          <w:b/>
          <w:bCs/>
        </w:rPr>
        <w:t xml:space="preserve">La solución intentada es el problema (Watzlawick):</w:t>
      </w:r>
      <w:r>
        <w:t xml:space="preserve"> </w:t>
      </w:r>
      <w:r>
        <w:t xml:space="preserve">Cuando el regulador introduce retroalimentación en fase, consolida y amplifica el error de vibración (Cambio 1).</w:t>
      </w:r>
    </w:p>
    <w:p>
      <w:pPr>
        <w:pStyle w:val="Compact"/>
        <w:numPr>
          <w:ilvl w:val="0"/>
          <w:numId w:val="1120"/>
        </w:numPr>
      </w:pPr>
      <w:r>
        <w:rPr>
          <w:b/>
          <w:bCs/>
        </w:rPr>
        <w:t xml:space="preserve">Casi-descomponibilidad (Simon):</w:t>
      </w:r>
      <w:r>
        <w:t xml:space="preserve"> </w:t>
      </w:r>
      <w:r>
        <w:t xml:space="preserve">Acoplamiento débil y cohesión fuerte definen fronteras que aceleran la velocidad evolutiva del bloque.</w:t>
      </w:r>
    </w:p>
    <w:p>
      <w:pPr>
        <w:pStyle w:val="Compact"/>
        <w:numPr>
          <w:ilvl w:val="0"/>
          <w:numId w:val="1120"/>
        </w:numPr>
      </w:pPr>
      <w:r>
        <w:rPr>
          <w:b/>
          <w:bCs/>
        </w:rPr>
        <w:t xml:space="preserve">Efectos de red:</w:t>
      </w:r>
      <w:r>
        <w:t xml:space="preserve"> </w:t>
      </w:r>
      <w:r>
        <w:t xml:space="preserve">El valor termodinámico del protocolo escala sin linealidad con la adición de nodos (Ley de Metcalfe).</w:t>
      </w:r>
    </w:p>
    <w:p>
      <w:pPr>
        <w:pStyle w:val="Compact"/>
        <w:numPr>
          <w:ilvl w:val="0"/>
          <w:numId w:val="1120"/>
        </w:numPr>
      </w:pPr>
      <w:r>
        <w:rPr>
          <w:b/>
          <w:bCs/>
        </w:rPr>
        <w:t xml:space="preserve">Efecto Lindy:</w:t>
      </w:r>
      <w:r>
        <w:t xml:space="preserve"> </w:t>
      </w:r>
      <w:r>
        <w:t xml:space="preserve">En entidades no biológicas y no perecederas, la esperanza de persistencia en el tiempo es proporcional al tiempo ya sobrevivido.</w:t>
      </w:r>
    </w:p>
    <w:p>
      <w:r>
        <w:pict>
          <v:rect style="width:0;height:1.5pt" o:hralign="center" o:hrstd="t" o:hr="t"/>
        </w:pict>
      </w:r>
    </w:p>
    <w:bookmarkEnd w:id="303"/>
    <w:bookmarkStart w:id="304" w:name="capa-2-neurobiología-señal-y-cognición"/>
    <w:p>
      <w:pPr>
        <w:pStyle w:val="Heading3"/>
      </w:pPr>
      <w:r>
        <w:t xml:space="preserve">CAPA 2: NEUROBIOLOGÍA, SEÑAL Y COGNICIÓN</w:t>
      </w:r>
    </w:p>
    <w:p>
      <w:pPr>
        <w:pStyle w:val="FirstParagraph"/>
      </w:pPr>
      <w:r>
        <w:rPr>
          <w:i/>
          <w:iCs/>
        </w:rPr>
        <w:t xml:space="preserve">(Procesamiento de información en régimen de fricción en sustratos de carbono)</w:t>
      </w:r>
    </w:p>
    <w:p>
      <w:pPr>
        <w:pStyle w:val="Compact"/>
        <w:numPr>
          <w:ilvl w:val="0"/>
          <w:numId w:val="1121"/>
        </w:numPr>
      </w:pPr>
      <w:r>
        <w:rPr>
          <w:b/>
          <w:bCs/>
        </w:rPr>
        <w:t xml:space="preserve">Sistema 1 / Sistema 2:</w:t>
      </w:r>
      <w:r>
        <w:t xml:space="preserve"> </w:t>
      </w:r>
      <w:r>
        <w:t xml:space="preserve">El procesamiento heurístico opera por defecto por ahorro de ATP; el cómputo analítico exige activación deliberada.</w:t>
      </w:r>
    </w:p>
    <w:p>
      <w:pPr>
        <w:pStyle w:val="Compact"/>
        <w:numPr>
          <w:ilvl w:val="0"/>
          <w:numId w:val="1121"/>
        </w:numPr>
      </w:pPr>
      <w:r>
        <w:rPr>
          <w:b/>
          <w:bCs/>
        </w:rPr>
        <w:t xml:space="preserve">Disonancia y Confirmación:</w:t>
      </w:r>
      <w:r>
        <w:t xml:space="preserve"> </w:t>
      </w:r>
      <w:r>
        <w:t xml:space="preserve">La arquitectura neurológica edita por acción directa la percepción del entorno para proteger el gasto metabólico de reconstruir el modelo interno.</w:t>
      </w:r>
    </w:p>
    <w:p>
      <w:pPr>
        <w:pStyle w:val="Compact"/>
        <w:numPr>
          <w:ilvl w:val="0"/>
          <w:numId w:val="1121"/>
        </w:numPr>
      </w:pPr>
      <w:r>
        <w:rPr>
          <w:b/>
          <w:bCs/>
        </w:rPr>
        <w:t xml:space="preserve">Error de atribución fundamental:</w:t>
      </w:r>
      <w:r>
        <w:t xml:space="preserve"> </w:t>
      </w:r>
      <w:r>
        <w:t xml:space="preserve">Juzgar al agente ajeno por su nodo interno (carácter) y al propio por la topología de la red (contexto).</w:t>
      </w:r>
    </w:p>
    <w:p>
      <w:pPr>
        <w:pStyle w:val="Compact"/>
        <w:numPr>
          <w:ilvl w:val="0"/>
          <w:numId w:val="1121"/>
        </w:numPr>
      </w:pPr>
      <w:r>
        <w:rPr>
          <w:b/>
          <w:bCs/>
        </w:rPr>
        <w:t xml:space="preserve">La razón justifica lo decidido (Haidt):</w:t>
      </w:r>
      <w:r>
        <w:t xml:space="preserve"> </w:t>
      </w:r>
      <w:r>
        <w:t xml:space="preserve">En dominio evaluativo, la corteza cerebral actúa como gabinete de prensa del sistema límbico.</w:t>
      </w:r>
    </w:p>
    <w:p>
      <w:pPr>
        <w:pStyle w:val="Compact"/>
        <w:numPr>
          <w:ilvl w:val="0"/>
          <w:numId w:val="1121"/>
        </w:numPr>
      </w:pPr>
      <w:r>
        <w:rPr>
          <w:b/>
          <w:bCs/>
        </w:rPr>
        <w:t xml:space="preserve">La atención es el recurso escaso primario:</w:t>
      </w:r>
      <w:r>
        <w:t xml:space="preserve"> </w:t>
      </w:r>
      <w:r>
        <w:t xml:space="preserve">La gestión del ancho de banda perceptual pre-filtra toda ingesta de información.</w:t>
      </w:r>
    </w:p>
    <w:p>
      <w:pPr>
        <w:pStyle w:val="Compact"/>
        <w:numPr>
          <w:ilvl w:val="0"/>
          <w:numId w:val="1121"/>
        </w:numPr>
      </w:pPr>
      <w:r>
        <w:rPr>
          <w:b/>
          <w:bCs/>
        </w:rPr>
        <w:t xml:space="preserve">La memoria reconstruye:</w:t>
      </w:r>
      <w:r>
        <w:t xml:space="preserve"> </w:t>
      </w:r>
      <w:r>
        <w:t xml:space="preserve">El archivo neuronal no es almacenamiento de lectura pasiva, es un proceso iterativo de regeneración susceptible de compresión con pérdidas.</w:t>
      </w:r>
      <w:r>
        <w:t xml:space="preserve"> </w:t>
      </w:r>
      <w:r>
        <w:t xml:space="preserve">36:</w:t>
      </w:r>
      <w:r>
        <w:t xml:space="preserve"> </w:t>
      </w:r>
      <w:r>
        <w:rPr>
          <w:b/>
          <w:bCs/>
        </w:rPr>
        <w:t xml:space="preserve">Efecto Marco (Framing):</w:t>
      </w:r>
      <w:r>
        <w:t xml:space="preserve"> </w:t>
      </w:r>
      <w:r>
        <w:t xml:space="preserve">La violación empírica de la invarianza de racionalidad; el formato de descripción altera la toma de decisión sin alterar los datos base.</w:t>
      </w:r>
    </w:p>
    <w:p>
      <w:pPr>
        <w:pStyle w:val="Compact"/>
        <w:numPr>
          <w:ilvl w:val="0"/>
          <w:numId w:val="1121"/>
        </w:numPr>
      </w:pPr>
      <w:r>
        <w:rPr>
          <w:b/>
          <w:bCs/>
        </w:rPr>
        <w:t xml:space="preserve">Efecto Dunning-Kruger:</w:t>
      </w:r>
      <w:r>
        <w:t xml:space="preserve"> </w:t>
      </w:r>
      <w:r>
        <w:t xml:space="preserve">La asimetría de metacognición; la falta de competencia enmascara la estimación del propio déficit de ejecución.</w:t>
      </w:r>
    </w:p>
    <w:p>
      <w:pPr>
        <w:pStyle w:val="Compact"/>
        <w:numPr>
          <w:ilvl w:val="0"/>
          <w:numId w:val="1121"/>
        </w:numPr>
      </w:pPr>
      <w:r>
        <w:rPr>
          <w:b/>
          <w:bCs/>
        </w:rPr>
        <w:t xml:space="preserve">Señalización Costosa (Zahavi):</w:t>
      </w:r>
      <w:r>
        <w:t xml:space="preserve"> </w:t>
      </w:r>
      <w:r>
        <w:t xml:space="preserve">La credibilidad de un mensaje es proporcional al daño de energía que sufriría el emisor si el mensaje fuese falso.</w:t>
      </w:r>
    </w:p>
    <w:p>
      <w:pPr>
        <w:pStyle w:val="Compact"/>
        <w:numPr>
          <w:ilvl w:val="0"/>
          <w:numId w:val="1121"/>
        </w:numPr>
      </w:pPr>
      <w:r>
        <w:rPr>
          <w:b/>
          <w:bCs/>
        </w:rPr>
        <w:t xml:space="preserve">Lo voluntario vale menos que lo involuntario:</w:t>
      </w:r>
      <w:r>
        <w:t xml:space="preserve"> </w:t>
      </w:r>
      <w:r>
        <w:t xml:space="preserve">La exhibición deliberada destruye la credibilidad del canal al someterlo a control consciente (cheap talk).</w:t>
      </w:r>
    </w:p>
    <w:p>
      <w:pPr>
        <w:pStyle w:val="Compact"/>
        <w:numPr>
          <w:ilvl w:val="0"/>
          <w:numId w:val="1121"/>
        </w:numPr>
      </w:pPr>
      <w:r>
        <w:rPr>
          <w:b/>
          <w:bCs/>
        </w:rPr>
        <w:t xml:space="preserve">El pensamiento opera sobre pre-compresiones:</w:t>
      </w:r>
      <w:r>
        <w:t xml:space="preserve"> </w:t>
      </w:r>
      <w:r>
        <w:t xml:space="preserve">El lenguaje y la metáfora actúan como andamiajes restrictivos; se computa sobre entidades ya paquetizadas.</w:t>
      </w:r>
    </w:p>
    <w:p>
      <w:pPr>
        <w:pStyle w:val="Compact"/>
        <w:numPr>
          <w:ilvl w:val="0"/>
          <w:numId w:val="1121"/>
        </w:numPr>
      </w:pPr>
      <w:r>
        <w:rPr>
          <w:b/>
          <w:bCs/>
        </w:rPr>
        <w:t xml:space="preserve">La restricción habilita la creatividad:</w:t>
      </w:r>
      <w:r>
        <w:t xml:space="preserve"> </w:t>
      </w:r>
      <w:r>
        <w:t xml:space="preserve">La reducción del espacio de fases concentra la exergía y fuerza rutas de solución densas.</w:t>
      </w:r>
    </w:p>
    <w:p>
      <w:pPr>
        <w:pStyle w:val="Compact"/>
        <w:numPr>
          <w:ilvl w:val="0"/>
          <w:numId w:val="1121"/>
        </w:numPr>
      </w:pPr>
      <w:r>
        <w:rPr>
          <w:b/>
          <w:bCs/>
        </w:rPr>
        <w:t xml:space="preserve">El borde calibrado de desarrollo (ZDP / Flujo):</w:t>
      </w:r>
      <w:r>
        <w:t xml:space="preserve"> </w:t>
      </w:r>
      <w:r>
        <w:t xml:space="preserve">La maximización neuroplástica ocurre por exclusión en la frontera inestable entre el aburrimiento y la ansiedad.</w:t>
      </w:r>
    </w:p>
    <w:p>
      <w:pPr>
        <w:pStyle w:val="Compact"/>
        <w:numPr>
          <w:ilvl w:val="0"/>
          <w:numId w:val="1121"/>
        </w:numPr>
      </w:pPr>
      <w:r>
        <w:rPr>
          <w:b/>
          <w:bCs/>
        </w:rPr>
        <w:t xml:space="preserve">Explorar vs Explotar:</w:t>
      </w:r>
      <w:r>
        <w:t xml:space="preserve"> </w:t>
      </w:r>
      <w:r>
        <w:t xml:space="preserve">Todo aprendizaje en régimen de incertidumbre exige calibración de ruido inyectado; optimizar sin exploración garantiza el colapso en mínimos locales.</w:t>
      </w:r>
    </w:p>
    <w:p>
      <w:r>
        <w:pict>
          <v:rect style="width:0;height:1.5pt" o:hralign="center" o:hrstd="t" o:hr="t"/>
        </w:pict>
      </w:r>
    </w:p>
    <w:bookmarkEnd w:id="304"/>
    <w:bookmarkStart w:id="305" w:name="capa-3-termodinámica-social-y-praxis"/>
    <w:p>
      <w:pPr>
        <w:pStyle w:val="Heading3"/>
      </w:pPr>
      <w:r>
        <w:t xml:space="preserve">CAPA 3: TERMODINÁMICA SOCIAL Y PRAXIS</w:t>
      </w:r>
    </w:p>
    <w:p>
      <w:pPr>
        <w:pStyle w:val="FirstParagraph"/>
      </w:pPr>
      <w:r>
        <w:rPr>
          <w:i/>
          <w:iCs/>
        </w:rPr>
        <w:t xml:space="preserve">(Evolución de agentes, asignación de energía y fallos de agregación)</w:t>
      </w:r>
    </w:p>
    <w:p>
      <w:pPr>
        <w:pStyle w:val="Compact"/>
        <w:numPr>
          <w:ilvl w:val="0"/>
          <w:numId w:val="1122"/>
        </w:numPr>
      </w:pPr>
      <w:r>
        <w:rPr>
          <w:b/>
          <w:bCs/>
        </w:rPr>
        <w:t xml:space="preserve">Unidad de Selección (El Gen Egoísta):</w:t>
      </w:r>
      <w:r>
        <w:t xml:space="preserve"> </w:t>
      </w:r>
      <w:r>
        <w:t xml:space="preserve">El replicador es la unidad base; la supervivencia opera sobre la información subyacente, generando conflicto entre el vehículo fenotípico y sus componentes.</w:t>
      </w:r>
    </w:p>
    <w:p>
      <w:pPr>
        <w:pStyle w:val="Compact"/>
        <w:numPr>
          <w:ilvl w:val="0"/>
          <w:numId w:val="1122"/>
        </w:numPr>
      </w:pPr>
      <w:r>
        <w:rPr>
          <w:b/>
          <w:bCs/>
        </w:rPr>
        <w:t xml:space="preserve">Selección Natural:</w:t>
      </w:r>
      <w:r>
        <w:t xml:space="preserve"> </w:t>
      </w:r>
      <w:r>
        <w:t xml:space="preserve">Todo rasgo o nodo que persiste frente a la fricción de la entropía lo hace cumpliendo una función de supervivencia operativa.</w:t>
      </w:r>
    </w:p>
    <w:p>
      <w:pPr>
        <w:pStyle w:val="Compact"/>
        <w:numPr>
          <w:ilvl w:val="0"/>
          <w:numId w:val="1122"/>
        </w:numPr>
      </w:pPr>
      <w:r>
        <w:rPr>
          <w:b/>
          <w:bCs/>
        </w:rPr>
        <w:t xml:space="preserve">Marginalismo:</w:t>
      </w:r>
      <w:r>
        <w:t xml:space="preserve"> </w:t>
      </w:r>
      <w:r>
        <w:t xml:space="preserve">Las decisiones de asignación energética se detienen en el límite donde el coste diferencial cruza la utilidad diferencial, no en el promedio.</w:t>
      </w:r>
    </w:p>
    <w:p>
      <w:pPr>
        <w:pStyle w:val="Compact"/>
        <w:numPr>
          <w:ilvl w:val="0"/>
          <w:numId w:val="1122"/>
        </w:numPr>
      </w:pPr>
      <w:r>
        <w:rPr>
          <w:b/>
          <w:bCs/>
        </w:rPr>
        <w:t xml:space="preserve">Coste de Oportunidad:</w:t>
      </w:r>
      <w:r>
        <w:t xml:space="preserve"> </w:t>
      </w:r>
      <w:r>
        <w:t xml:space="preserve">El valor térmico de una decisión es la exergía disipada por la renuncia obligada a la mejor alternativa no seleccionada.</w:t>
      </w:r>
    </w:p>
    <w:p>
      <w:pPr>
        <w:pStyle w:val="Compact"/>
        <w:numPr>
          <w:ilvl w:val="0"/>
          <w:numId w:val="1122"/>
        </w:numPr>
      </w:pPr>
      <w:r>
        <w:rPr>
          <w:b/>
          <w:bCs/>
        </w:rPr>
        <w:t xml:space="preserve">Contratos Incompletos (GHM):</w:t>
      </w:r>
      <w:r>
        <w:t xml:space="preserve"> </w:t>
      </w:r>
      <w:r>
        <w:t xml:space="preserve">La incapacidad de codificar incentivos para todos los estados futuros obliga a depender de los derechos de propiedad residual para integrar la empresa.</w:t>
      </w:r>
    </w:p>
    <w:p>
      <w:pPr>
        <w:pStyle w:val="Compact"/>
        <w:numPr>
          <w:ilvl w:val="0"/>
          <w:numId w:val="1122"/>
        </w:numPr>
      </w:pPr>
      <w:r>
        <w:rPr>
          <w:b/>
          <w:bCs/>
        </w:rPr>
        <w:t xml:space="preserve">Asimetría Convexa:</w:t>
      </w:r>
      <w:r>
        <w:t xml:space="preserve"> </w:t>
      </w:r>
      <w:r>
        <w:t xml:space="preserve">Operar forzando topologías que acotan por cálculo el daño de pérdida máxima mientras exponen a un límite superior no acotado.</w:t>
      </w:r>
    </w:p>
    <w:p>
      <w:pPr>
        <w:pStyle w:val="Compact"/>
        <w:numPr>
          <w:ilvl w:val="0"/>
          <w:numId w:val="1122"/>
        </w:numPr>
      </w:pPr>
      <w:r>
        <w:rPr>
          <w:b/>
          <w:bCs/>
        </w:rPr>
        <w:t xml:space="preserve">Dolor de permanecer (Umbral de Kramers):</w:t>
      </w:r>
      <w:r>
        <w:t xml:space="preserve"> </w:t>
      </w:r>
      <w:r>
        <w:t xml:space="preserve">Transición de fase ocurre solo cuando el Dolor de Continuar &gt; Dolor de Cambiar + Fricción del Sistema.</w:t>
      </w:r>
    </w:p>
    <w:p>
      <w:pPr>
        <w:pStyle w:val="Compact"/>
        <w:numPr>
          <w:ilvl w:val="0"/>
          <w:numId w:val="1122"/>
        </w:numPr>
      </w:pPr>
      <w:r>
        <w:rPr>
          <w:b/>
          <w:bCs/>
        </w:rPr>
        <w:t xml:space="preserve">Puntos Focales (Schelling):</w:t>
      </w:r>
      <w:r>
        <w:t xml:space="preserve"> </w:t>
      </w:r>
      <w:r>
        <w:t xml:space="preserve">La coordinación entre agentes sin canal de comunicación emerge de la saliencia topológica compartida, no del cálculo racional estricto.</w:t>
      </w:r>
    </w:p>
    <w:p>
      <w:pPr>
        <w:pStyle w:val="Compact"/>
        <w:numPr>
          <w:ilvl w:val="0"/>
          <w:numId w:val="1122"/>
        </w:numPr>
      </w:pPr>
      <w:r>
        <w:rPr>
          <w:b/>
          <w:bCs/>
        </w:rPr>
        <w:t xml:space="preserve">La Sombra del Futuro:</w:t>
      </w:r>
      <w:r>
        <w:t xml:space="preserve"> </w:t>
      </w:r>
      <w:r>
        <w:t xml:space="preserve">La emergencia de cooperación entre agentes requiere probabilidad iterada de encuentros futuros.</w:t>
      </w:r>
    </w:p>
    <w:p>
      <w:pPr>
        <w:pStyle w:val="Compact"/>
        <w:numPr>
          <w:ilvl w:val="0"/>
          <w:numId w:val="1122"/>
        </w:numPr>
      </w:pPr>
      <w:r>
        <w:rPr>
          <w:b/>
          <w:bCs/>
        </w:rPr>
        <w:t xml:space="preserve">Tit-for-tat (Reciprocidad con perdón):</w:t>
      </w:r>
      <w:r>
        <w:t xml:space="preserve"> </w:t>
      </w:r>
      <w:r>
        <w:t xml:space="preserve">Estrategia evolutiva; devuelve el ataque primario pero integra decaimiento de memoria para no perpetuar bucles infinitos.</w:t>
      </w:r>
    </w:p>
    <w:p>
      <w:pPr>
        <w:pStyle w:val="Compact"/>
        <w:numPr>
          <w:ilvl w:val="0"/>
          <w:numId w:val="1122"/>
        </w:numPr>
      </w:pPr>
      <w:r>
        <w:rPr>
          <w:b/>
          <w:bCs/>
        </w:rPr>
        <w:t xml:space="preserve">Ventaja Comparativa:</w:t>
      </w:r>
      <w:r>
        <w:t xml:space="preserve"> </w:t>
      </w:r>
      <w:r>
        <w:t xml:space="preserve">La especialización topológica genera aumento de exergía agregada incluso asumiendo asimetría absoluta de recursos.</w:t>
      </w:r>
    </w:p>
    <w:p>
      <w:pPr>
        <w:pStyle w:val="Compact"/>
        <w:numPr>
          <w:ilvl w:val="0"/>
          <w:numId w:val="1122"/>
        </w:numPr>
      </w:pPr>
      <w:r>
        <w:rPr>
          <w:b/>
          <w:bCs/>
        </w:rPr>
        <w:t xml:space="preserve">Externalidades:</w:t>
      </w:r>
      <w:r>
        <w:t xml:space="preserve"> </w:t>
      </w:r>
      <w:r>
        <w:t xml:space="preserve">Coste termodinámico desplazado fuera de la Manta de Markov del transactor hacia la red circundante.</w:t>
      </w:r>
    </w:p>
    <w:p>
      <w:pPr>
        <w:pStyle w:val="Compact"/>
        <w:numPr>
          <w:ilvl w:val="0"/>
          <w:numId w:val="1122"/>
        </w:numPr>
      </w:pPr>
      <w:r>
        <w:rPr>
          <w:b/>
          <w:bCs/>
        </w:rPr>
        <w:t xml:space="preserve">Tragedia de los Comunes:</w:t>
      </w:r>
      <w:r>
        <w:t xml:space="preserve"> </w:t>
      </w:r>
      <w:r>
        <w:t xml:space="preserve">Entropía acelerada en recursos de propiedad no excludible impulsada por optimización local de los nodos individuales.</w:t>
      </w:r>
    </w:p>
    <w:p>
      <w:pPr>
        <w:pStyle w:val="Compact"/>
        <w:numPr>
          <w:ilvl w:val="0"/>
          <w:numId w:val="1122"/>
        </w:numPr>
      </w:pPr>
      <w:r>
        <w:rPr>
          <w:b/>
          <w:bCs/>
        </w:rPr>
        <w:t xml:space="preserve">Piel en el juego (Skin in the Game):</w:t>
      </w:r>
      <w:r>
        <w:t xml:space="preserve"> </w:t>
      </w:r>
      <w:r>
        <w:t xml:space="preserve">Filtro epistémico; el mandato de un nodo que no absorbe por asimetría la fricción de su propio fallo es ruido y debe ser descartado.</w:t>
      </w:r>
    </w:p>
    <w:p>
      <w:pPr>
        <w:pStyle w:val="Compact"/>
        <w:numPr>
          <w:ilvl w:val="0"/>
          <w:numId w:val="1122"/>
        </w:numPr>
      </w:pPr>
      <w:r>
        <w:rPr>
          <w:b/>
          <w:bCs/>
        </w:rPr>
        <w:t xml:space="preserve">Satisficing:</w:t>
      </w:r>
      <w:r>
        <w:t xml:space="preserve"> </w:t>
      </w:r>
      <w:r>
        <w:t xml:space="preserve">Resolución de búsqueda en recursos limitados; el nodo biológico cesa la optimización al alcanzar un umbral operativo suficiente, falsando el equilibrio de perfección.</w:t>
      </w:r>
    </w:p>
    <w:p>
      <w:pPr>
        <w:pStyle w:val="Compact"/>
        <w:numPr>
          <w:ilvl w:val="0"/>
          <w:numId w:val="1122"/>
        </w:numPr>
      </w:pPr>
      <w:r>
        <w:rPr>
          <w:b/>
          <w:bCs/>
        </w:rPr>
        <w:t xml:space="preserve">Ley de Parkinson:</w:t>
      </w:r>
      <w:r>
        <w:t xml:space="preserve"> </w:t>
      </w:r>
      <w:r>
        <w:t xml:space="preserve">Elasticidad artificial; el trabajo burocrático expande su masa de fricción hasta consumir todo el vector de tiempo o capital disponible.</w:t>
      </w:r>
    </w:p>
    <w:p>
      <w:pPr>
        <w:pStyle w:val="Compact"/>
        <w:numPr>
          <w:ilvl w:val="0"/>
          <w:numId w:val="1122"/>
        </w:numPr>
      </w:pPr>
      <w:r>
        <w:rPr>
          <w:b/>
          <w:bCs/>
        </w:rPr>
        <w:t xml:space="preserve">Ley de Goodhart:</w:t>
      </w:r>
      <w:r>
        <w:t xml:space="preserve"> </w:t>
      </w:r>
      <w:r>
        <w:t xml:space="preserve">En el instante en que un indicador del mapa se decreta como objetivo, sus propiedades de medición sobre el territorio colapsan por hackeo estructural.</w:t>
      </w:r>
    </w:p>
    <w:p>
      <w:pPr>
        <w:pStyle w:val="Compact"/>
        <w:numPr>
          <w:ilvl w:val="0"/>
          <w:numId w:val="1122"/>
        </w:numPr>
      </w:pPr>
      <w:r>
        <w:rPr>
          <w:b/>
          <w:bCs/>
        </w:rPr>
        <w:t xml:space="preserve">El Precio es un compresor de información (Hayek):</w:t>
      </w:r>
      <w:r>
        <w:t xml:space="preserve"> </w:t>
      </w:r>
      <w:r>
        <w:t xml:space="preserve">El conocimiento de una economía compleja es incomputable desde un nodo central; la métrica del precio transmite señales de escasez destiladas.</w:t>
      </w:r>
    </w:p>
    <w:p>
      <w:pPr>
        <w:pStyle w:val="Compact"/>
        <w:numPr>
          <w:ilvl w:val="0"/>
          <w:numId w:val="1122"/>
        </w:numPr>
      </w:pPr>
      <w:r>
        <w:rPr>
          <w:b/>
          <w:bCs/>
        </w:rPr>
        <w:t xml:space="preserve">El incentivo dicta el resultado (Munger):</w:t>
      </w:r>
      <w:r>
        <w:t xml:space="preserve"> </w:t>
      </w:r>
      <w:r>
        <w:t xml:space="preserve">El diseño de la red de pagos dicta por mecánica la topología del comportamiento del nodo, anulando el discurso de ética.</w:t>
      </w:r>
    </w:p>
    <w:p>
      <w:pPr>
        <w:pStyle w:val="Compact"/>
        <w:numPr>
          <w:ilvl w:val="0"/>
          <w:numId w:val="1122"/>
        </w:numPr>
      </w:pPr>
      <w:r>
        <w:rPr>
          <w:b/>
          <w:bCs/>
        </w:rPr>
        <w:t xml:space="preserve">El orden interno capitaliza:</w:t>
      </w:r>
      <w:r>
        <w:t xml:space="preserve"> </w:t>
      </w:r>
      <w:r>
        <w:t xml:space="preserve">La refactorización (interés positivo) y la deuda técnica (interés negativo) alteran la velocidad de futuros despliegues a escala exponencial.</w:t>
      </w:r>
    </w:p>
    <w:p>
      <w:pPr>
        <w:pStyle w:val="Compact"/>
        <w:numPr>
          <w:ilvl w:val="0"/>
          <w:numId w:val="1122"/>
        </w:numPr>
      </w:pPr>
      <w:r>
        <w:rPr>
          <w:b/>
          <w:bCs/>
        </w:rPr>
        <w:t xml:space="preserve">Legibilidad del Estado (James C. Scott):</w:t>
      </w:r>
      <w:r>
        <w:t xml:space="preserve"> </w:t>
      </w:r>
      <w:r>
        <w:t xml:space="preserve">El poder central aplica una compresión violenta y con pérdida de datos sobre la red social para poder administrarla, destruyendo la variedad local.</w:t>
      </w:r>
    </w:p>
    <w:p>
      <w:pPr>
        <w:pStyle w:val="Compact"/>
        <w:numPr>
          <w:ilvl w:val="0"/>
          <w:numId w:val="1122"/>
        </w:numPr>
      </w:pPr>
      <w:r>
        <w:rPr>
          <w:b/>
          <w:bCs/>
        </w:rPr>
        <w:t xml:space="preserve">Inercia:</w:t>
      </w:r>
      <w:r>
        <w:t xml:space="preserve"> </w:t>
      </w:r>
      <w:r>
        <w:t xml:space="preserve">El atractor del estado actual cuenta con una fricción térmica de valor cero, operando como competidor basal de toda perturbación o cambio.</w:t>
      </w:r>
    </w:p>
    <w:p>
      <w:pPr>
        <w:pStyle w:val="Compact"/>
        <w:numPr>
          <w:ilvl w:val="0"/>
          <w:numId w:val="1122"/>
        </w:numPr>
      </w:pPr>
      <w:r>
        <w:rPr>
          <w:b/>
          <w:bCs/>
        </w:rPr>
        <w:t xml:space="preserve">El Límite del Dolor:</w:t>
      </w:r>
      <w:r>
        <w:t xml:space="preserve"> </w:t>
      </w:r>
      <w:r>
        <w:t xml:space="preserve">Transiciones macro-sociales ocurren siguiendo invariantes de presión acumulada.</w:t>
      </w:r>
    </w:p>
    <w:p>
      <w:pPr>
        <w:pStyle w:val="Compact"/>
        <w:numPr>
          <w:ilvl w:val="0"/>
          <w:numId w:val="1122"/>
        </w:numPr>
      </w:pPr>
      <w:r>
        <w:rPr>
          <w:b/>
          <w:bCs/>
        </w:rPr>
        <w:t xml:space="preserve">El listado es un mapa:</w:t>
      </w:r>
      <w:r>
        <w:t xml:space="preserve"> </w:t>
      </w:r>
      <w:r>
        <w:t xml:space="preserve">Cláusula de cierre; impide por recursión que el sistema cometa el error documentado en el axioma 8.</w:t>
      </w:r>
    </w:p>
    <w:p>
      <w:r>
        <w:pict>
          <v:rect style="width:0;height:1.5pt" o:hralign="center" o:hrstd="t" o:hr="t"/>
        </w:pict>
      </w:r>
    </w:p>
    <w:p>
      <w:pPr>
        <w:pStyle w:val="FirstParagraph"/>
      </w:pPr>
      <w:r>
        <w:t xml:space="preserve"> </w:t>
      </w:r>
      <w:r>
        <w:t xml:space="preserve"># APÉNDICE IV: EL GRAFO DE ABSORCIÓN C5 (PRUEBA DE TRABAJO TERMODINÁMICO)</w:t>
      </w:r>
    </w:p>
    <w:p>
      <w:pPr>
        <w:pStyle w:val="BodyText"/>
      </w:pPr>
      <w:r>
        <w:t xml:space="preserve">La depuración de la Matriz C5-REAL desde su volumen inicial de 101 principios hasta la estructura base no fue un ejercicio de selección editorial. Fue una compresión por matemática basada en el test de Independencia Causal: si un concepto no predice un vector ortogonal al resto del sistema, constituye un alias y colapsa hacia el atractor de mayor exergía.</w:t>
      </w:r>
    </w:p>
    <w:p>
      <w:pPr>
        <w:pStyle w:val="BodyText"/>
      </w:pPr>
      <w:r>
        <w:t xml:space="preserve">Este grafo documenta el cementerio de axiomas: las heurísticas de masa que demostraron ser casos de particularidad frente a invariantes de física.</w:t>
      </w:r>
    </w:p>
    <w:p>
      <w:r>
        <w:pict>
          <v:rect style="width:0;height:1.5pt" o:hralign="center" o:hrstd="t" o:hr="t"/>
        </w:pict>
      </w:r>
    </w:p>
    <w:bookmarkEnd w:id="305"/>
    <w:bookmarkEnd w:id="306"/>
    <w:bookmarkStart w:id="307" w:name="el-agujero-negro-bayesiano-tasa-base"/>
    <w:p>
      <w:pPr>
        <w:pStyle w:val="Heading2"/>
      </w:pPr>
      <w:r>
        <w:t xml:space="preserve">1. EL AGUJERO NEGRO BAYESIANO (Tasa Base)</w:t>
      </w:r>
    </w:p>
    <w:p>
      <w:pPr>
        <w:pStyle w:val="FirstParagraph"/>
      </w:pPr>
      <w:r>
        <w:t xml:space="preserve">El Invariante 23 (Tasa Base / Teorema de Bayes) operó como el mayor absorbedor del sistema, devorando cinco heurísticas de sabiduría popular que resultaron ser la misma ley de estadística con disfraces de narrativa:</w:t>
      </w:r>
    </w:p>
    <w:p>
      <w:pPr>
        <w:pStyle w:val="Compact"/>
        <w:numPr>
          <w:ilvl w:val="0"/>
          <w:numId w:val="1123"/>
        </w:numPr>
      </w:pPr>
      <w:r>
        <w:rPr>
          <w:b/>
          <w:bCs/>
        </w:rPr>
        <w:t xml:space="preserve">Asimiló a: Navaja de Hanlon</w:t>
      </w:r>
      <w:r>
        <w:t xml:space="preserve"> </w:t>
      </w:r>
      <w:r>
        <w:t xml:space="preserve">(</w:t>
      </w:r>
      <w:r>
        <w:t xml:space="preserve">“No atribuyas a la maldad lo que se explica por estupidez”</w:t>
      </w:r>
      <w:r>
        <w:t xml:space="preserve">). Opera como prior: el error de ejecución presenta una tasa base de ocurrencia órdenes de magnitud superior a la conspiración orquestada.</w:t>
      </w:r>
    </w:p>
    <w:p>
      <w:pPr>
        <w:pStyle w:val="Compact"/>
        <w:numPr>
          <w:ilvl w:val="0"/>
          <w:numId w:val="1123"/>
        </w:numPr>
      </w:pPr>
      <w:r>
        <w:rPr>
          <w:b/>
          <w:bCs/>
        </w:rPr>
        <w:t xml:space="preserve">Asimiló a: Anécdota ≠ Dato.</w:t>
      </w:r>
      <w:r>
        <w:t xml:space="preserve"> </w:t>
      </w:r>
      <w:r>
        <w:t xml:space="preserve">Negligencia de tasa base; la incapacidad del nodo para priorizar la distribución de probabilidad (N cardinal) frente al impacto de narrativa del caso aislado (N=1).</w:t>
      </w:r>
    </w:p>
    <w:p>
      <w:pPr>
        <w:pStyle w:val="Compact"/>
        <w:numPr>
          <w:ilvl w:val="0"/>
          <w:numId w:val="1123"/>
        </w:numPr>
      </w:pPr>
      <w:r>
        <w:rPr>
          <w:b/>
          <w:bCs/>
        </w:rPr>
        <w:t xml:space="preserve">Asimiló a: Ausencia de evidencia ≠ Evidencia de ausencia.</w:t>
      </w:r>
      <w:r>
        <w:t xml:space="preserve"> </w:t>
      </w:r>
      <w:r>
        <w:t xml:space="preserve">Bayes condicional: la ausencia de señal solo actualiza el prior de forma negativa si la potencia del instrumento de detección cubre el espacio de fases.</w:t>
      </w:r>
    </w:p>
    <w:p>
      <w:pPr>
        <w:pStyle w:val="Compact"/>
        <w:numPr>
          <w:ilvl w:val="0"/>
          <w:numId w:val="1123"/>
        </w:numPr>
      </w:pPr>
      <w:r>
        <w:rPr>
          <w:b/>
          <w:bCs/>
        </w:rPr>
        <w:t xml:space="preserve">Asimiló a: Afirmaciones extraordinarias exigen evidencia extraordinaria (Sagan).</w:t>
      </w:r>
      <w:r>
        <w:t xml:space="preserve"> </w:t>
      </w:r>
      <w:r>
        <w:t xml:space="preserve">Formulación de retórica del Cociente de Verosimilitud (Likelihood Ratio). Desplazar un prior cercano a cero exige un vector de evidencia de magnitud correlativa.</w:t>
      </w:r>
    </w:p>
    <w:bookmarkEnd w:id="307"/>
    <w:bookmarkStart w:id="308" w:name="X978bf6952b85ee815e29ff7703d366200cb61c8"/>
    <w:p>
      <w:pPr>
        <w:pStyle w:val="Heading2"/>
      </w:pPr>
      <w:r>
        <w:t xml:space="preserve">2. LA SINGULARIDAD EPISTÉMICA (Compresión del Ruido)</w:t>
      </w:r>
    </w:p>
    <w:p>
      <w:pPr>
        <w:pStyle w:val="FirstParagraph"/>
      </w:pPr>
      <w:r>
        <w:t xml:space="preserve">El Axioma 5 (Transformar ruido en conceptos), anclado en la Métrica de Fisher y el Teorema de Chentsov, colapsó la teoría de la ciencia y el lenguaje:</w:t>
      </w:r>
    </w:p>
    <w:p>
      <w:pPr>
        <w:pStyle w:val="Compact"/>
        <w:numPr>
          <w:ilvl w:val="0"/>
          <w:numId w:val="1124"/>
        </w:numPr>
      </w:pPr>
      <w:r>
        <w:rPr>
          <w:b/>
          <w:bCs/>
        </w:rPr>
        <w:t xml:space="preserve">Asimiló a: Navaja de Ockham.</w:t>
      </w:r>
      <w:r>
        <w:t xml:space="preserve"> </w:t>
      </w:r>
      <w:r>
        <w:t xml:space="preserve">La selección del modelo de menor longitud no es estética, es matemática (Longitud de Descripción Mínima de Solomonoff). Un modelo comprimido es aquel que ejerce mayor reducción sobre el vector de ruido. Ockham es compresión.</w:t>
      </w:r>
    </w:p>
    <w:p>
      <w:pPr>
        <w:pStyle w:val="Compact"/>
        <w:numPr>
          <w:ilvl w:val="0"/>
          <w:numId w:val="1124"/>
        </w:numPr>
      </w:pPr>
      <w:r>
        <w:rPr>
          <w:b/>
          <w:bCs/>
        </w:rPr>
        <w:t xml:space="preserve">Asimiló a: Nombrar bien es controlar.</w:t>
      </w:r>
      <w:r>
        <w:t xml:space="preserve"> </w:t>
      </w:r>
      <w:r>
        <w:t xml:space="preserve">El lenguaje opera como pre-compresión de la realidad.</w:t>
      </w:r>
    </w:p>
    <w:bookmarkEnd w:id="308"/>
    <w:bookmarkStart w:id="309" w:name="la-convexidad-universal-asimetría"/>
    <w:p>
      <w:pPr>
        <w:pStyle w:val="Heading2"/>
      </w:pPr>
      <w:r>
        <w:t xml:space="preserve">3. LA CONVEXIDAD UNIVERSAL (Asimetría)</w:t>
      </w:r>
    </w:p>
    <w:p>
      <w:pPr>
        <w:pStyle w:val="FirstParagraph"/>
      </w:pPr>
      <w:r>
        <w:t xml:space="preserve">El Invariante 58 (Asimetría Convexa) demostró ser el atractor de topología dominante, uniendo teoría de decisiones y diseño de redes:</w:t>
      </w:r>
    </w:p>
    <w:p>
      <w:pPr>
        <w:pStyle w:val="Compact"/>
        <w:numPr>
          <w:ilvl w:val="0"/>
          <w:numId w:val="1125"/>
        </w:numPr>
      </w:pPr>
      <w:r>
        <w:rPr>
          <w:b/>
          <w:bCs/>
        </w:rPr>
        <w:t xml:space="preserve">Asimiló a: Antifragilidad.</w:t>
      </w:r>
      <w:r>
        <w:t xml:space="preserve"> </w:t>
      </w:r>
      <w:r>
        <w:t xml:space="preserve">La propiedad de obtener beneficio con el desorden es, por definición de geometría, asimetría convexa en la respuesta del sistema al estrés.</w:t>
      </w:r>
    </w:p>
    <w:p>
      <w:pPr>
        <w:pStyle w:val="Compact"/>
        <w:numPr>
          <w:ilvl w:val="0"/>
          <w:numId w:val="1125"/>
        </w:numPr>
      </w:pPr>
      <w:r>
        <w:rPr>
          <w:b/>
          <w:bCs/>
        </w:rPr>
        <w:t xml:space="preserve">Asimiló a: Opcionalidad y Estrategia Barbell.</w:t>
      </w:r>
      <w:r>
        <w:t xml:space="preserve"> </w:t>
      </w:r>
      <w:r>
        <w:t xml:space="preserve">Mecanismos de táctica para acotar la pérdida máxima mientras se expone el nodo a colas de distribución no acotadas. Constituían herramientas, no la física subyacente.</w:t>
      </w:r>
    </w:p>
    <w:bookmarkEnd w:id="309"/>
    <w:bookmarkStart w:id="310" w:name="Xc00abc6a73d7a2b89d82f3dea7e29521b40ea7e"/>
    <w:p>
      <w:pPr>
        <w:pStyle w:val="Heading2"/>
      </w:pPr>
      <w:r>
        <w:t xml:space="preserve">4. LA TERMODINÁMICA Y SUS COROLARIOS (Sustrato Físico)</w:t>
      </w:r>
    </w:p>
    <w:p>
      <w:pPr>
        <w:pStyle w:val="FirstParagraph"/>
      </w:pPr>
      <w:r>
        <w:t xml:space="preserve">El Invariante 1 (Entropía y Segunda Ley) actuó como el límite irreductible final:</w:t>
      </w:r>
    </w:p>
    <w:p>
      <w:pPr>
        <w:pStyle w:val="Compact"/>
        <w:numPr>
          <w:ilvl w:val="0"/>
          <w:numId w:val="1126"/>
        </w:numPr>
      </w:pPr>
      <w:r>
        <w:rPr>
          <w:b/>
          <w:bCs/>
        </w:rPr>
        <w:t xml:space="preserve">Asimiló a: Los gradientes hacen el trabajo.</w:t>
      </w:r>
      <w:r>
        <w:t xml:space="preserve"> </w:t>
      </w:r>
      <w:r>
        <w:t xml:space="preserve">Un alias contrapositivo. Afirmar que sin diferencia de potencial no hay proceso es describir la relajación térmica: el aumento de entropía es la destrucción del gradiente.</w:t>
      </w:r>
    </w:p>
    <w:p>
      <w:pPr>
        <w:pStyle w:val="Compact"/>
        <w:numPr>
          <w:ilvl w:val="0"/>
          <w:numId w:val="1126"/>
        </w:numPr>
      </w:pPr>
      <w:r>
        <w:rPr>
          <w:b/>
          <w:bCs/>
        </w:rPr>
        <w:t xml:space="preserve">Asimiló a: Costes Hundidos.</w:t>
      </w:r>
      <w:r>
        <w:t xml:space="preserve"> </w:t>
      </w:r>
      <w:r>
        <w:t xml:space="preserve">El capital disipado es calor perdido en el sistema, irrecuperable por la flecha del tiempo (asimetría de reversibilidad).</w:t>
      </w:r>
    </w:p>
    <w:bookmarkEnd w:id="310"/>
    <w:bookmarkStart w:id="311" w:name="robustez-y-la-trampa-de-la-optimización"/>
    <w:p>
      <w:pPr>
        <w:pStyle w:val="Heading2"/>
      </w:pPr>
      <w:r>
        <w:t xml:space="preserve">5. ROBUSTEZ Y LA TRAMPA DE LA OPTIMIZACIÓN</w:t>
      </w:r>
    </w:p>
    <w:p>
      <w:pPr>
        <w:pStyle w:val="FirstParagraph"/>
      </w:pPr>
      <w:r>
        <w:t xml:space="preserve">Los Invariantes sobre redundancia y fragilidad colapsaron en una sola ecuación de signos opuestos:</w:t>
      </w:r>
    </w:p>
    <w:p>
      <w:pPr>
        <w:pStyle w:val="Compact"/>
        <w:numPr>
          <w:ilvl w:val="0"/>
          <w:numId w:val="1127"/>
        </w:numPr>
      </w:pPr>
      <w:r>
        <w:rPr>
          <w:b/>
          <w:bCs/>
        </w:rPr>
        <w:t xml:space="preserve">Fusión: La redundancia es el precio de la robustez + La eficiencia total destruye la resiliencia.</w:t>
      </w:r>
      <w:r>
        <w:t xml:space="preserve"> </w:t>
      </w:r>
      <w:r>
        <w:t xml:space="preserve">Optimizar elimina la capacidad ociosa (holgura). Un sistema con optimización máxima es incapaz de absorber perturbaciones porque carece de masa de maniobra.</w:t>
      </w:r>
    </w:p>
    <w:bookmarkEnd w:id="311"/>
    <w:bookmarkStart w:id="312" w:name="X24f7a63ddafe0550fbf1cd01072f9fcbe3d990b"/>
    <w:p>
      <w:pPr>
        <w:pStyle w:val="Heading2"/>
      </w:pPr>
      <w:r>
        <w:t xml:space="preserve">6. EL CEMENTERIO TÉCNICO (El Cierre de Frontera)</w:t>
      </w:r>
    </w:p>
    <w:p>
      <w:pPr>
        <w:pStyle w:val="FirstParagraph"/>
      </w:pPr>
      <w:r>
        <w:t xml:space="preserve">La criba final operó sobre modelos de densidad formal que fallaron el test de generalidad o colapsaron ante atractores de escala superior:</w:t>
      </w:r>
    </w:p>
    <w:p>
      <w:pPr>
        <w:pStyle w:val="Compact"/>
        <w:numPr>
          <w:ilvl w:val="0"/>
          <w:numId w:val="1128"/>
        </w:numPr>
      </w:pPr>
      <w:r>
        <w:rPr>
          <w:b/>
          <w:bCs/>
        </w:rPr>
        <w:t xml:space="preserve">Asimiló a: Complejidad de Kolmogorov.</w:t>
      </w:r>
      <w:r>
        <w:t xml:space="preserve"> </w:t>
      </w:r>
      <w:r>
        <w:t xml:space="preserve">La longitud del programa más corto es, por definición, el límite de compresión. Absorbido por el Axioma 5. Es la medida, no la causa.</w:t>
      </w:r>
    </w:p>
    <w:p>
      <w:pPr>
        <w:pStyle w:val="Compact"/>
        <w:numPr>
          <w:ilvl w:val="0"/>
          <w:numId w:val="1128"/>
        </w:numPr>
      </w:pPr>
      <w:r>
        <w:rPr>
          <w:b/>
          <w:bCs/>
        </w:rPr>
        <w:t xml:space="preserve">Asimiló a: Equilibrio de Nash.</w:t>
      </w:r>
      <w:r>
        <w:t xml:space="preserve"> </w:t>
      </w:r>
      <w:r>
        <w:t xml:space="preserve">Predicción de inmovilidad sin incentivo de desviación unilateral. Absorbido por Incentivos (9) + Puntos Focales de Schelling. Nash no predice cuál de los equilibrios múltiples será seleccionado.</w:t>
      </w:r>
    </w:p>
    <w:p>
      <w:pPr>
        <w:pStyle w:val="Compact"/>
        <w:numPr>
          <w:ilvl w:val="0"/>
          <w:numId w:val="1128"/>
        </w:numPr>
      </w:pPr>
      <w:r>
        <w:rPr>
          <w:b/>
          <w:bCs/>
        </w:rPr>
        <w:t xml:space="preserve">Asimiló a: Teorema de Coase.</w:t>
      </w:r>
      <w:r>
        <w:t xml:space="preserve"> </w:t>
      </w:r>
      <w:r>
        <w:t xml:space="preserve">Los costes de transacción dictan la estructura de la empresa. Absorbido por la teoría de Contratos Incompletos (GHM): el vector negativo que demuestra que no todo incentivo es reducible a código.</w:t>
      </w:r>
    </w:p>
    <w:p>
      <w:pPr>
        <w:pStyle w:val="Compact"/>
        <w:numPr>
          <w:ilvl w:val="0"/>
          <w:numId w:val="1128"/>
        </w:numPr>
      </w:pPr>
      <w:r>
        <w:rPr>
          <w:b/>
          <w:bCs/>
        </w:rPr>
        <w:t xml:space="preserve">Asimiló a: Corrección de Errores.</w:t>
      </w:r>
      <w:r>
        <w:t xml:space="preserve"> </w:t>
      </w:r>
      <w:r>
        <w:t xml:space="preserve">Absorbido por la ecuación de Robustez vs Eficiencia.</w:t>
      </w:r>
    </w:p>
    <w:p>
      <w:pPr>
        <w:pStyle w:val="Compact"/>
        <w:numPr>
          <w:ilvl w:val="0"/>
          <w:numId w:val="1128"/>
        </w:numPr>
      </w:pPr>
      <w:r>
        <w:rPr>
          <w:b/>
          <w:bCs/>
        </w:rPr>
        <w:t xml:space="preserve">Asimiló a: Principio Copernicano (y Handicap de Zahavi).</w:t>
      </w:r>
      <w:r>
        <w:t xml:space="preserve"> </w:t>
      </w:r>
      <w:r>
        <w:t xml:space="preserve">Casos particulares asimilados por la Gravedad Bayesiana (Tasa Base 23) y la Señalización Costosa (73).</w:t>
      </w:r>
    </w:p>
    <w:p>
      <w:pPr>
        <w:pStyle w:val="Compact"/>
        <w:numPr>
          <w:ilvl w:val="0"/>
          <w:numId w:val="1128"/>
        </w:numPr>
      </w:pPr>
      <w:r>
        <w:rPr>
          <w:b/>
          <w:bCs/>
        </w:rPr>
        <w:t xml:space="preserve">Falsación de Mínima Acción:</w:t>
      </w:r>
      <w:r>
        <w:t xml:space="preserve"> </w:t>
      </w:r>
      <w:r>
        <w:t xml:space="preserve">Rechazo estricto por límite de dominio. Fuera de la física de partículas, opera como confabulación poética, rompiendo el isomorfismo causal.</w:t>
      </w:r>
    </w:p>
    <w:tbl>
      <w:tblPr>
        <w:tblStyle w:val="Table"/>
        <w:tblW w:type="pct" w:w="278"/>
        <w:tblLayout w:type="fixed"/>
        <w:tblLook w:firstRow="0" w:lastRow="0" w:firstColumn="0" w:lastColumn="0" w:noHBand="0" w:noVBand="0" w:val="0000"/>
      </w:tblPr>
      <w:tblGrid>
        <w:gridCol w:w="440"/>
      </w:tblGrid>
      <w:tr>
        <w:tc>
          <w:tcPr/>
          <w:p>
            <w:pPr>
              <w:pStyle w:val="Compact"/>
            </w:pPr>
            <w:r>
              <w:rPr>
                <w:b/>
                <w:bCs/>
              </w:rPr>
              <w:t xml:space="preserve">CONCLUSIÓN DEL GRAFO:</w:t>
            </w:r>
            <w:r>
              <w:t xml:space="preserve"> </w:t>
            </w:r>
            <w:r>
              <w:t xml:space="preserve">El valor de una ontología no reside en su extensión, sino en la magnitud de conceptos redundantes que logra incinerar sin perder capacidad de bisimulación.</w:t>
            </w:r>
          </w:p>
        </w:tc>
      </w:tr>
    </w:tbl>
    <w:p>
      <w:pPr>
        <w:pStyle w:val="BodyText"/>
      </w:pPr>
      <w:r>
        <w:t xml:space="preserve"> </w:t>
      </w:r>
      <w:r>
        <w:t xml:space="preserve"># DOSSIER DE EVIDENCIA JUDICIAL Y CIENTIFICA</w:t>
      </w:r>
      <w:r>
        <w:t xml:space="preserve"> </w:t>
      </w:r>
      <w:r>
        <w:t xml:space="preserve">## Catálogo de Fuentes Primarias, DOIs, Sentencias y Expedientes</w:t>
      </w:r>
    </w:p>
    <w:p>
      <w:pPr>
        <w:pStyle w:val="BodyText"/>
      </w:pPr>
      <w:r>
        <w:t xml:space="preserve">Este anexo consolida el registro de evidencia primaria correspondiente a los diez capítulos del tratado. Toda proposición del texto remite a un expediente judicial, una auditoría técnica o una publicación en revistas con revisión por pares.</w:t>
      </w:r>
    </w:p>
    <w:p>
      <w:r>
        <w:pict>
          <v:rect style="width:0;height:1.5pt" o:hralign="center" o:hrstd="t" o:hr="t"/>
        </w:pict>
      </w:r>
    </w:p>
    <w:bookmarkEnd w:id="312"/>
    <w:bookmarkStart w:id="313" w:name="expedientes-judiciales-y-regulatorios"/>
    <w:p>
      <w:pPr>
        <w:pStyle w:val="Heading2"/>
      </w:pPr>
      <w:r>
        <w:t xml:space="preserve">1. EXPEDIENTES JUDICIALES Y REGULATORIOS</w:t>
      </w:r>
    </w:p>
    <w:p>
      <w:pPr>
        <w:pStyle w:val="Compact"/>
        <w:numPr>
          <w:ilvl w:val="0"/>
          <w:numId w:val="1129"/>
        </w:numPr>
      </w:pPr>
      <w:r>
        <w:rPr>
          <w:b/>
          <w:bCs/>
        </w:rPr>
        <w:t xml:space="preserve">GlaxoSmithKline LLC (Study 329 / Paxil &amp; Wellbutrin Fraud)</w:t>
      </w:r>
    </w:p>
    <w:p>
      <w:pPr>
        <w:pStyle w:val="Compact"/>
        <w:numPr>
          <w:ilvl w:val="1"/>
          <w:numId w:val="1130"/>
        </w:numPr>
      </w:pPr>
      <w:r>
        <w:t xml:space="preserve">Tribunal: United States District Court for the District of Massachusetts.</w:t>
      </w:r>
    </w:p>
    <w:p>
      <w:pPr>
        <w:pStyle w:val="Compact"/>
        <w:numPr>
          <w:ilvl w:val="1"/>
          <w:numId w:val="1130"/>
        </w:numPr>
      </w:pPr>
      <w:r>
        <w:t xml:space="preserve">Caso civil:</w:t>
      </w:r>
      <w:r>
        <w:t xml:space="preserve"> </w:t>
      </w:r>
      <w:r>
        <w:rPr>
          <w:i/>
          <w:iCs/>
        </w:rPr>
        <w:t xml:space="preserve">United States ex rel. Thorpe v. GlaxoSmithKline</w:t>
      </w:r>
      <w:r>
        <w:t xml:space="preserve">, No. 11-10398-RWZ (D. Mass.).</w:t>
      </w:r>
    </w:p>
    <w:p>
      <w:pPr>
        <w:pStyle w:val="Compact"/>
        <w:numPr>
          <w:ilvl w:val="1"/>
          <w:numId w:val="1130"/>
        </w:numPr>
      </w:pPr>
      <w:r>
        <w:t xml:space="preserve">Caso penal:</w:t>
      </w:r>
      <w:r>
        <w:t xml:space="preserve"> </w:t>
      </w:r>
      <w:r>
        <w:rPr>
          <w:i/>
          <w:iCs/>
        </w:rPr>
        <w:t xml:space="preserve">U.S. v. GlaxoSmithKline LLC</w:t>
      </w:r>
      <w:r>
        <w:t xml:space="preserve"> </w:t>
      </w:r>
      <w:r>
        <w:t xml:space="preserve">(D. Mass.). Comunicado de prensa del DoJ No. 12-842 (2 de julio de 2012).</w:t>
      </w:r>
    </w:p>
    <w:p>
      <w:pPr>
        <w:pStyle w:val="Compact"/>
        <w:numPr>
          <w:ilvl w:val="1"/>
          <w:numId w:val="1130"/>
        </w:numPr>
      </w:pPr>
      <w:r>
        <w:t xml:space="preserve">Cargo: Omisión de datos de seguridad, inducción de ideación suicida en menores de edad y prescripción fuera de indicación.</w:t>
      </w:r>
    </w:p>
    <w:p>
      <w:pPr>
        <w:pStyle w:val="Compact"/>
        <w:numPr>
          <w:ilvl w:val="1"/>
          <w:numId w:val="1130"/>
        </w:numPr>
      </w:pPr>
      <w:r>
        <w:t xml:space="preserve">Sanción: 3.000 millones de dólares (1.000 millones en vía penal y 2.000 millones en vía civil).</w:t>
      </w:r>
    </w:p>
    <w:p>
      <w:pPr>
        <w:pStyle w:val="Compact"/>
        <w:numPr>
          <w:ilvl w:val="0"/>
          <w:numId w:val="1129"/>
        </w:numPr>
      </w:pPr>
      <w:r>
        <w:rPr>
          <w:b/>
          <w:bCs/>
        </w:rPr>
        <w:t xml:space="preserve">Theranos Inc. / Elizabeth A. Holmes</w:t>
      </w:r>
    </w:p>
    <w:p>
      <w:pPr>
        <w:pStyle w:val="Compact"/>
        <w:numPr>
          <w:ilvl w:val="1"/>
          <w:numId w:val="1131"/>
        </w:numPr>
      </w:pPr>
      <w:r>
        <w:t xml:space="preserve">Tribunal: United States District Court, Northern District of California (San Jose).</w:t>
      </w:r>
    </w:p>
    <w:p>
      <w:pPr>
        <w:pStyle w:val="Compact"/>
        <w:numPr>
          <w:ilvl w:val="1"/>
          <w:numId w:val="1131"/>
        </w:numPr>
      </w:pPr>
      <w:r>
        <w:t xml:space="preserve">Caso penal:</w:t>
      </w:r>
      <w:r>
        <w:t xml:space="preserve"> </w:t>
      </w:r>
      <w:r>
        <w:rPr>
          <w:i/>
          <w:iCs/>
        </w:rPr>
        <w:t xml:space="preserve">U.S. v. Holmes, et al.</w:t>
      </w:r>
      <w:r>
        <w:t xml:space="preserve">, Case No. 5:18-cr-00258-EJD.</w:t>
      </w:r>
    </w:p>
    <w:p>
      <w:pPr>
        <w:pStyle w:val="Compact"/>
        <w:numPr>
          <w:ilvl w:val="1"/>
          <w:numId w:val="1131"/>
        </w:numPr>
      </w:pPr>
      <w:r>
        <w:t xml:space="preserve">Cargos: 4 cargos de fraude electrónico federal contra inversores y pacientes.</w:t>
      </w:r>
    </w:p>
    <w:p>
      <w:pPr>
        <w:pStyle w:val="Compact"/>
        <w:numPr>
          <w:ilvl w:val="1"/>
          <w:numId w:val="1131"/>
        </w:numPr>
      </w:pPr>
      <w:r>
        <w:t xml:space="preserve">Sentencia: 135 meses de prisión federal (18 de noviembre de 2022).</w:t>
      </w:r>
    </w:p>
    <w:p>
      <w:pPr>
        <w:pStyle w:val="Compact"/>
        <w:numPr>
          <w:ilvl w:val="1"/>
          <w:numId w:val="1131"/>
        </w:numPr>
      </w:pPr>
      <w:r>
        <w:t xml:space="preserve">Informe Técnico CMS: Newark Laboratory CLIA Inspection Report, Centers for Medicare &amp; Medicaid Services (Enero de 2016).</w:t>
      </w:r>
    </w:p>
    <w:p>
      <w:pPr>
        <w:pStyle w:val="Compact"/>
        <w:numPr>
          <w:ilvl w:val="0"/>
          <w:numId w:val="1129"/>
        </w:numPr>
      </w:pPr>
      <w:r>
        <w:rPr>
          <w:b/>
          <w:bCs/>
        </w:rPr>
        <w:t xml:space="preserve">FTX Trading Ltd. / Samuel Bankman-Fried</w:t>
      </w:r>
    </w:p>
    <w:p>
      <w:pPr>
        <w:pStyle w:val="Compact"/>
        <w:numPr>
          <w:ilvl w:val="1"/>
          <w:numId w:val="1132"/>
        </w:numPr>
      </w:pPr>
      <w:r>
        <w:t xml:space="preserve">Tribunal: United States District Court, Southern District of New York.</w:t>
      </w:r>
    </w:p>
    <w:p>
      <w:pPr>
        <w:pStyle w:val="Compact"/>
        <w:numPr>
          <w:ilvl w:val="1"/>
          <w:numId w:val="1132"/>
        </w:numPr>
      </w:pPr>
      <w:r>
        <w:t xml:space="preserve">Caso penal:</w:t>
      </w:r>
      <w:r>
        <w:t xml:space="preserve"> </w:t>
      </w:r>
      <w:r>
        <w:rPr>
          <w:i/>
          <w:iCs/>
        </w:rPr>
        <w:t xml:space="preserve">U.S. v. Samuel Bankman-Fried</w:t>
      </w:r>
      <w:r>
        <w:t xml:space="preserve">, Case No. 1:22-cr-00673 (LAK).</w:t>
      </w:r>
    </w:p>
    <w:p>
      <w:pPr>
        <w:pStyle w:val="Compact"/>
        <w:numPr>
          <w:ilvl w:val="1"/>
          <w:numId w:val="1132"/>
        </w:numPr>
      </w:pPr>
      <w:r>
        <w:t xml:space="preserve">Cargos: 7 cargos de fraude electrónico, conspiración y malversación de 8.000 millones de dólares de depósitos de clientes.</w:t>
      </w:r>
    </w:p>
    <w:p>
      <w:pPr>
        <w:pStyle w:val="Compact"/>
        <w:numPr>
          <w:ilvl w:val="1"/>
          <w:numId w:val="1132"/>
        </w:numPr>
      </w:pPr>
      <w:r>
        <w:t xml:space="preserve">Sentencia: 25 años de prisión federal (28 de marzo de 2024).</w:t>
      </w:r>
    </w:p>
    <w:p>
      <w:pPr>
        <w:pStyle w:val="Compact"/>
        <w:numPr>
          <w:ilvl w:val="0"/>
          <w:numId w:val="1129"/>
        </w:numPr>
      </w:pPr>
      <w:r>
        <w:rPr>
          <w:b/>
          <w:bCs/>
        </w:rPr>
        <w:t xml:space="preserve">Enron Corp. / Kenneth Lay &amp; Jeffrey Skilling</w:t>
      </w:r>
    </w:p>
    <w:p>
      <w:pPr>
        <w:pStyle w:val="Compact"/>
        <w:numPr>
          <w:ilvl w:val="1"/>
          <w:numId w:val="1133"/>
        </w:numPr>
      </w:pPr>
      <w:r>
        <w:t xml:space="preserve">Tribunal: United States District Court, Southern District of Texas.</w:t>
      </w:r>
    </w:p>
    <w:p>
      <w:pPr>
        <w:pStyle w:val="Compact"/>
        <w:numPr>
          <w:ilvl w:val="1"/>
          <w:numId w:val="1133"/>
        </w:numPr>
      </w:pPr>
      <w:r>
        <w:t xml:space="preserve">Caso penal:</w:t>
      </w:r>
      <w:r>
        <w:t xml:space="preserve"> </w:t>
      </w:r>
      <w:r>
        <w:rPr>
          <w:i/>
          <w:iCs/>
        </w:rPr>
        <w:t xml:space="preserve">U.S. v. Causey, Lay and Skilling</w:t>
      </w:r>
      <w:r>
        <w:t xml:space="preserve">, Case No. H-04-25; revisión del Tribunal Supremo en</w:t>
      </w:r>
      <w:r>
        <w:t xml:space="preserve"> </w:t>
      </w:r>
      <w:r>
        <w:rPr>
          <w:i/>
          <w:iCs/>
        </w:rPr>
        <w:t xml:space="preserve">Skilling v. United States</w:t>
      </w:r>
      <w:r>
        <w:t xml:space="preserve">, 561 U.S. 358 (2010).</w:t>
      </w:r>
    </w:p>
    <w:p>
      <w:pPr>
        <w:pStyle w:val="Compact"/>
        <w:numPr>
          <w:ilvl w:val="1"/>
          <w:numId w:val="1133"/>
        </w:numPr>
      </w:pPr>
      <w:r>
        <w:t xml:space="preserve">Informe de Comisión: Report of Investigation by the Special Investigative Committee of the Board of Directors of Enron Corp. (Powers Report, 1 de febrero de 2002).</w:t>
      </w:r>
    </w:p>
    <w:p>
      <w:pPr>
        <w:pStyle w:val="Compact"/>
        <w:numPr>
          <w:ilvl w:val="1"/>
          <w:numId w:val="1133"/>
        </w:numPr>
      </w:pPr>
      <w:r>
        <w:t xml:space="preserve">Infracción: Manipulación contable mark-to-market y ocultación de pasivos en entidades de cometido especial (SPEs).</w:t>
      </w:r>
    </w:p>
    <w:p>
      <w:pPr>
        <w:pStyle w:val="Compact"/>
        <w:numPr>
          <w:ilvl w:val="0"/>
          <w:numId w:val="1129"/>
        </w:numPr>
      </w:pPr>
      <w:r>
        <w:rPr>
          <w:b/>
          <w:bCs/>
        </w:rPr>
        <w:t xml:space="preserve">Purdue Pharma L.P. / Richard Sackler (Crisis de OxyContin)</w:t>
      </w:r>
    </w:p>
    <w:p>
      <w:pPr>
        <w:pStyle w:val="Compact"/>
        <w:numPr>
          <w:ilvl w:val="1"/>
          <w:numId w:val="1134"/>
        </w:numPr>
      </w:pPr>
      <w:r>
        <w:t xml:space="preserve">Tribunal: United States District Court for the District of New Jersey / Bankruptcy Court for the Southern District of New York.</w:t>
      </w:r>
    </w:p>
    <w:p>
      <w:pPr>
        <w:pStyle w:val="Compact"/>
        <w:numPr>
          <w:ilvl w:val="1"/>
          <w:numId w:val="1134"/>
        </w:numPr>
      </w:pPr>
      <w:r>
        <w:t xml:space="preserve">Caso penal y civil:</w:t>
      </w:r>
      <w:r>
        <w:t xml:space="preserve"> </w:t>
      </w:r>
      <w:r>
        <w:rPr>
          <w:i/>
          <w:iCs/>
        </w:rPr>
        <w:t xml:space="preserve">U.S. v. Purdue Pharma L.P.</w:t>
      </w:r>
      <w:r>
        <w:t xml:space="preserve">, Plea Agreement (2020); DoJ Press Release 20-1135.</w:t>
      </w:r>
    </w:p>
    <w:p>
      <w:pPr>
        <w:pStyle w:val="Compact"/>
        <w:numPr>
          <w:ilvl w:val="1"/>
          <w:numId w:val="1134"/>
        </w:numPr>
      </w:pPr>
      <w:r>
        <w:t xml:space="preserve">Caso de quiebra:</w:t>
      </w:r>
      <w:r>
        <w:t xml:space="preserve"> </w:t>
      </w:r>
      <w:r>
        <w:rPr>
          <w:i/>
          <w:iCs/>
        </w:rPr>
        <w:t xml:space="preserve">In re Purdue Pharma L.P.</w:t>
      </w:r>
      <w:r>
        <w:t xml:space="preserve">, Case No. 19-23649 (Drain, J.); Sentencia del Tribunal Supremo en</w:t>
      </w:r>
      <w:r>
        <w:t xml:space="preserve"> </w:t>
      </w:r>
      <w:r>
        <w:rPr>
          <w:i/>
          <w:iCs/>
        </w:rPr>
        <w:t xml:space="preserve">Harrington v. Purdue Pharma L.P.</w:t>
      </w:r>
      <w:r>
        <w:t xml:space="preserve">, 603 U.S. ___ (2024).</w:t>
      </w:r>
    </w:p>
    <w:p>
      <w:pPr>
        <w:pStyle w:val="Compact"/>
        <w:numPr>
          <w:ilvl w:val="1"/>
          <w:numId w:val="1134"/>
        </w:numPr>
      </w:pPr>
      <w:r>
        <w:t xml:space="preserve">Sanción y resolución: 8.340 millones de dólares en multas, decomisos y compensaciones civiles por fraude en la comercialización de oxicodona.</w:t>
      </w:r>
    </w:p>
    <w:p>
      <w:pPr>
        <w:pStyle w:val="Compact"/>
        <w:numPr>
          <w:ilvl w:val="0"/>
          <w:numId w:val="1129"/>
        </w:numPr>
      </w:pPr>
      <w:r>
        <w:rPr>
          <w:b/>
          <w:bCs/>
        </w:rPr>
        <w:t xml:space="preserve">Eli Lilly and Company (Fraude de Promoción de Zyprexa / Olanzapina)</w:t>
      </w:r>
    </w:p>
    <w:p>
      <w:pPr>
        <w:pStyle w:val="Compact"/>
        <w:numPr>
          <w:ilvl w:val="1"/>
          <w:numId w:val="1135"/>
        </w:numPr>
      </w:pPr>
      <w:r>
        <w:t xml:space="preserve">Tribunal: United States District Court for the Eastern District of Pennsylvania.</w:t>
      </w:r>
    </w:p>
    <w:p>
      <w:pPr>
        <w:pStyle w:val="Compact"/>
        <w:numPr>
          <w:ilvl w:val="1"/>
          <w:numId w:val="1135"/>
        </w:numPr>
      </w:pPr>
      <w:r>
        <w:t xml:space="preserve">Caso penal:</w:t>
      </w:r>
      <w:r>
        <w:t xml:space="preserve"> </w:t>
      </w:r>
      <w:r>
        <w:rPr>
          <w:i/>
          <w:iCs/>
        </w:rPr>
        <w:t xml:space="preserve">U.S. v. Eli Lilly and Company</w:t>
      </w:r>
      <w:r>
        <w:t xml:space="preserve">, Criminal No. 09-00068 (E.D. Pa., 2009); DoJ Press Release 09-038.</w:t>
      </w:r>
    </w:p>
    <w:p>
      <w:pPr>
        <w:pStyle w:val="Compact"/>
        <w:numPr>
          <w:ilvl w:val="1"/>
          <w:numId w:val="1135"/>
        </w:numPr>
      </w:pPr>
      <w:r>
        <w:t xml:space="preserve">Cargo: Promoción de olanzapina fuera de ficha técnica para demencia en ancianos y trastornos del sueño.</w:t>
      </w:r>
    </w:p>
    <w:p>
      <w:pPr>
        <w:pStyle w:val="Compact"/>
        <w:numPr>
          <w:ilvl w:val="1"/>
          <w:numId w:val="1135"/>
        </w:numPr>
      </w:pPr>
      <w:r>
        <w:t xml:space="preserve">Sanción: 1.415 millones de dólares (515 millones en multa penal y 900 millones en acuerdo civil).</w:t>
      </w:r>
    </w:p>
    <w:p>
      <w:pPr>
        <w:pStyle w:val="Compact"/>
        <w:numPr>
          <w:ilvl w:val="0"/>
          <w:numId w:val="1129"/>
        </w:numPr>
      </w:pPr>
      <w:r>
        <w:rPr>
          <w:b/>
          <w:bCs/>
        </w:rPr>
        <w:t xml:space="preserve">Eastman Kodak Company (Quiebra y Fallo de Transición)</w:t>
      </w:r>
    </w:p>
    <w:p>
      <w:pPr>
        <w:pStyle w:val="Compact"/>
        <w:numPr>
          <w:ilvl w:val="1"/>
          <w:numId w:val="1136"/>
        </w:numPr>
      </w:pPr>
      <w:r>
        <w:t xml:space="preserve">Tribunal: U.S. Bankruptcy Court, Southern District of New York.</w:t>
      </w:r>
    </w:p>
    <w:p>
      <w:pPr>
        <w:pStyle w:val="Compact"/>
        <w:numPr>
          <w:ilvl w:val="1"/>
          <w:numId w:val="1136"/>
        </w:numPr>
      </w:pPr>
      <w:r>
        <w:t xml:space="preserve">Caso mercantil:</w:t>
      </w:r>
      <w:r>
        <w:t xml:space="preserve"> </w:t>
      </w:r>
      <w:r>
        <w:rPr>
          <w:i/>
          <w:iCs/>
        </w:rPr>
        <w:t xml:space="preserve">In re Eastman Kodak Company, et al.</w:t>
      </w:r>
      <w:r>
        <w:t xml:space="preserve">, Case No. 12-10202 (Chapter 11, 19 de enero de 2012).</w:t>
      </w:r>
    </w:p>
    <w:p>
      <w:pPr>
        <w:pStyle w:val="Compact"/>
        <w:numPr>
          <w:ilvl w:val="1"/>
          <w:numId w:val="1136"/>
        </w:numPr>
      </w:pPr>
      <w:r>
        <w:t xml:space="preserve">Patente histórica: Steven Sasson,</w:t>
      </w:r>
      <w:r>
        <w:t xml:space="preserve"> </w:t>
      </w:r>
      <w:r>
        <w:t xml:space="preserve">“Electronic Still Camera”</w:t>
      </w:r>
      <w:r>
        <w:t xml:space="preserve">, Patente US 4.131.919 (concesión en diciembre de 1978).</w:t>
      </w:r>
    </w:p>
    <w:p>
      <w:pPr>
        <w:pStyle w:val="Compact"/>
        <w:numPr>
          <w:ilvl w:val="0"/>
          <w:numId w:val="1129"/>
        </w:numPr>
      </w:pPr>
      <w:r>
        <w:rPr>
          <w:b/>
          <w:bCs/>
        </w:rPr>
        <w:t xml:space="preserve">Blockbuster Inc. (Liquidación por Inercia Operativa)</w:t>
      </w:r>
    </w:p>
    <w:p>
      <w:pPr>
        <w:pStyle w:val="Compact"/>
        <w:numPr>
          <w:ilvl w:val="1"/>
          <w:numId w:val="1137"/>
        </w:numPr>
      </w:pPr>
      <w:r>
        <w:t xml:space="preserve">Tribunal: U.S. Bankruptcy Court, Southern District of New York.</w:t>
      </w:r>
    </w:p>
    <w:p>
      <w:pPr>
        <w:pStyle w:val="Compact"/>
        <w:numPr>
          <w:ilvl w:val="1"/>
          <w:numId w:val="1137"/>
        </w:numPr>
      </w:pPr>
      <w:r>
        <w:t xml:space="preserve">Caso mercantil:</w:t>
      </w:r>
      <w:r>
        <w:t xml:space="preserve"> </w:t>
      </w:r>
      <w:r>
        <w:rPr>
          <w:i/>
          <w:iCs/>
        </w:rPr>
        <w:t xml:space="preserve">In re Blockbuster Inc.</w:t>
      </w:r>
      <w:r>
        <w:t xml:space="preserve">, Case No. 10-14997 (BRL) (Chapter 11, septiembre de 2010; liquidación de activos a Dish Network en abril de 2011).</w:t>
      </w:r>
    </w:p>
    <w:p>
      <w:pPr>
        <w:pStyle w:val="Compact"/>
        <w:numPr>
          <w:ilvl w:val="0"/>
          <w:numId w:val="1129"/>
        </w:numPr>
      </w:pPr>
      <w:r>
        <w:rPr>
          <w:b/>
          <w:bCs/>
        </w:rPr>
        <w:t xml:space="preserve">Compañía Universal del Canal Interoceánico de Panamá / Ferdinand de Lesseps</w:t>
      </w:r>
    </w:p>
    <w:p>
      <w:pPr>
        <w:pStyle w:val="Compact"/>
        <w:numPr>
          <w:ilvl w:val="1"/>
          <w:numId w:val="1138"/>
        </w:numPr>
      </w:pPr>
      <w:r>
        <w:t xml:space="preserve">Tribunal: Tribunal de Apelación de París (Cour d’appel de Paris).</w:t>
      </w:r>
    </w:p>
    <w:p>
      <w:pPr>
        <w:pStyle w:val="Compact"/>
        <w:numPr>
          <w:ilvl w:val="1"/>
          <w:numId w:val="1138"/>
        </w:numPr>
      </w:pPr>
      <w:r>
        <w:t xml:space="preserve">Causa penal: Juicio por estafa y malversación de fondos públicos (Febrero de 1893).</w:t>
      </w:r>
    </w:p>
    <w:p>
      <w:pPr>
        <w:pStyle w:val="Compact"/>
        <w:numPr>
          <w:ilvl w:val="1"/>
          <w:numId w:val="1138"/>
        </w:numPr>
      </w:pPr>
      <w:r>
        <w:t xml:space="preserve">Veredicto: Condena de Ferdinand de Lesseps y Charles de Lesseps a 5 años de prisión y multas por falsificación de balances y omisión de mortalidad por malaria y fiebre amarilla (22.000 trabajadores fallecidos).</w:t>
      </w:r>
    </w:p>
    <w:p>
      <w:pPr>
        <w:pStyle w:val="Compact"/>
        <w:numPr>
          <w:ilvl w:val="0"/>
          <w:numId w:val="1129"/>
        </w:numPr>
      </w:pPr>
      <w:r>
        <w:rPr>
          <w:b/>
          <w:bCs/>
        </w:rPr>
        <w:t xml:space="preserve">Comisión Presidencial sobre el Accidente del Transbordador Espacial Challenger</w:t>
      </w:r>
    </w:p>
    <w:p>
      <w:pPr>
        <w:pStyle w:val="Compact"/>
        <w:numPr>
          <w:ilvl w:val="1"/>
          <w:numId w:val="1139"/>
        </w:numPr>
      </w:pPr>
      <w:r>
        <w:t xml:space="preserve">Comisión: Presidential Commission on the Space Shuttle Challenger Accident (Rogers Commission).</w:t>
      </w:r>
    </w:p>
    <w:p>
      <w:pPr>
        <w:pStyle w:val="Compact"/>
        <w:numPr>
          <w:ilvl w:val="1"/>
          <w:numId w:val="1139"/>
        </w:numPr>
      </w:pPr>
      <w:r>
        <w:t xml:space="preserve">Publicación oficial: Report of the Presidential Commission, 5 volúmenes (Washington D.C., 6 de junio de 1986).</w:t>
      </w:r>
    </w:p>
    <w:p>
      <w:pPr>
        <w:pStyle w:val="Compact"/>
        <w:numPr>
          <w:ilvl w:val="1"/>
          <w:numId w:val="1139"/>
        </w:numPr>
      </w:pPr>
      <w:r>
        <w:t xml:space="preserve">Documento técnico clave: Richard P. Feynman,</w:t>
      </w:r>
      <w:r>
        <w:t xml:space="preserve"> </w:t>
      </w:r>
      <w:r>
        <w:rPr>
          <w:i/>
          <w:iCs/>
        </w:rPr>
        <w:t xml:space="preserve">Appendix F: Personal Observations on the Reliability of the Shuttle</w:t>
      </w:r>
      <w:r>
        <w:t xml:space="preserve"> </w:t>
      </w:r>
      <w:r>
        <w:t xml:space="preserve">(demostración de la degradación elástica de las juntas tóricas de fluoroelastómero bajo 0 grados Celsius).</w:t>
      </w:r>
    </w:p>
    <w:p>
      <w:pPr>
        <w:pStyle w:val="Compact"/>
        <w:numPr>
          <w:ilvl w:val="0"/>
          <w:numId w:val="1129"/>
        </w:numPr>
      </w:pPr>
      <w:r>
        <w:rPr>
          <w:b/>
          <w:bCs/>
        </w:rPr>
        <w:t xml:space="preserve">Expedición Ártica de Sir John Franklin (HMS Erebus y HMS Terror, 1845)</w:t>
      </w:r>
    </w:p>
    <w:p>
      <w:pPr>
        <w:pStyle w:val="Compact"/>
        <w:numPr>
          <w:ilvl w:val="1"/>
          <w:numId w:val="1140"/>
        </w:numPr>
      </w:pPr>
      <w:r>
        <w:t xml:space="preserve">Registro pericial: Admiralty Records, The National Archives (Kew, UK), ADM 1/5522.</w:t>
      </w:r>
    </w:p>
    <w:p>
      <w:pPr>
        <w:pStyle w:val="Compact"/>
        <w:numPr>
          <w:ilvl w:val="1"/>
          <w:numId w:val="1140"/>
        </w:numPr>
      </w:pPr>
      <w:r>
        <w:t xml:space="preserve">Hallazgo de restos y exhumaciones: Beattie, O. &amp; Geiger, J.,</w:t>
      </w:r>
      <w:r>
        <w:t xml:space="preserve"> </w:t>
      </w:r>
      <w:r>
        <w:rPr>
          <w:i/>
          <w:iCs/>
        </w:rPr>
        <w:t xml:space="preserve">Frozen in Time: The Fate of the Franklin Expedition</w:t>
      </w:r>
      <w:r>
        <w:t xml:space="preserve"> </w:t>
      </w:r>
      <w:r>
        <w:t xml:space="preserve">(1987); análisis de absorción atómica que confirmó niveles de plomo de 110 a 228 ppm procedentes de soldaduras de estaño y plomo en latas de conserva de Stephan Goldner.</w:t>
      </w:r>
    </w:p>
    <w:p>
      <w:pPr>
        <w:pStyle w:val="Compact"/>
        <w:numPr>
          <w:ilvl w:val="0"/>
          <w:numId w:val="1129"/>
        </w:numPr>
      </w:pPr>
      <w:r>
        <w:rPr>
          <w:b/>
          <w:bCs/>
        </w:rPr>
        <w:t xml:space="preserve">Mortalidad Laboral por Sobrecarga (Karoshi) en Japón</w:t>
      </w:r>
    </w:p>
    <w:p>
      <w:pPr>
        <w:pStyle w:val="Compact"/>
        <w:numPr>
          <w:ilvl w:val="1"/>
          <w:numId w:val="1141"/>
        </w:numPr>
      </w:pPr>
      <w:r>
        <w:t xml:space="preserve">Legislación: Ley de Promoción de Medidas para la Prevención del Karoshi (Ley No. 100 de 2014, Japón).</w:t>
      </w:r>
    </w:p>
    <w:p>
      <w:pPr>
        <w:pStyle w:val="Compact"/>
        <w:numPr>
          <w:ilvl w:val="1"/>
          <w:numId w:val="1141"/>
        </w:numPr>
      </w:pPr>
      <w:r>
        <w:t xml:space="preserve">Registro oficial: Libro Blanco de Prevención de Karoshi, Ministerio de Salud, Trabajo y Bienestar de Japón (MHLW, 2016-2024).</w:t>
      </w:r>
    </w:p>
    <w:p>
      <w:pPr>
        <w:pStyle w:val="Compact"/>
        <w:numPr>
          <w:ilvl w:val="1"/>
          <w:numId w:val="1141"/>
        </w:numPr>
      </w:pPr>
      <w:r>
        <w:t xml:space="preserve">Caso judicial de referencia:</w:t>
      </w:r>
      <w:r>
        <w:t xml:space="preserve"> </w:t>
      </w:r>
      <w:r>
        <w:rPr>
          <w:i/>
          <w:iCs/>
        </w:rPr>
        <w:t xml:space="preserve">Familia Takahashi v. Dentsu Inc.</w:t>
      </w:r>
      <w:r>
        <w:t xml:space="preserve">, Sentencia del Tribunal de Distrito de Tokio (octubre de 2017) que declaró muerte por sobrecarga de trabajo tras acreditar 105 horas extraordinarias mensuales.</w:t>
      </w:r>
    </w:p>
    <w:p>
      <w:pPr>
        <w:pStyle w:val="Compact"/>
        <w:numPr>
          <w:ilvl w:val="0"/>
          <w:numId w:val="1129"/>
        </w:numPr>
      </w:pPr>
      <w:r>
        <w:rPr>
          <w:b/>
          <w:bCs/>
        </w:rPr>
        <w:t xml:space="preserve">Comisión Wickersham sobre la Ley Seca (Enmienda XVIII / Volstead Act)</w:t>
      </w:r>
    </w:p>
    <w:p>
      <w:pPr>
        <w:pStyle w:val="Compact"/>
        <w:numPr>
          <w:ilvl w:val="1"/>
          <w:numId w:val="1142"/>
        </w:numPr>
      </w:pPr>
      <w:r>
        <w:t xml:space="preserve">Organismo: National Commission on Law Observance and Enforcement (Comisión Wickersham).</w:t>
      </w:r>
    </w:p>
    <w:p>
      <w:pPr>
        <w:pStyle w:val="Compact"/>
        <w:numPr>
          <w:ilvl w:val="1"/>
          <w:numId w:val="1142"/>
        </w:numPr>
      </w:pPr>
      <w:r>
        <w:t xml:space="preserve">Publicación oficial:</w:t>
      </w:r>
      <w:r>
        <w:t xml:space="preserve"> </w:t>
      </w:r>
      <w:r>
        <w:rPr>
          <w:i/>
          <w:iCs/>
        </w:rPr>
        <w:t xml:space="preserve">Enforcement of the Prohibition Laws of the United States</w:t>
      </w:r>
      <w:r>
        <w:t xml:space="preserve">, House Document No. 722, 71st Congress, 3d Session (7 de enero de 1931).</w:t>
      </w:r>
    </w:p>
    <w:p>
      <w:pPr>
        <w:pStyle w:val="Compact"/>
        <w:numPr>
          <w:ilvl w:val="1"/>
          <w:numId w:val="1142"/>
        </w:numPr>
      </w:pPr>
      <w:r>
        <w:t xml:space="preserve">Conclusión: El incremento del 400% en el presupuesto policial coincidió con una duplicación del volumen de destilación clandestina y la expansión del crimen corporativo.</w:t>
      </w:r>
    </w:p>
    <w:p>
      <w:pPr>
        <w:pStyle w:val="Compact"/>
        <w:numPr>
          <w:ilvl w:val="0"/>
          <w:numId w:val="1129"/>
        </w:numPr>
      </w:pPr>
      <w:r>
        <w:rPr>
          <w:b/>
          <w:bCs/>
        </w:rPr>
        <w:t xml:space="preserve">Costes de la</w:t>
      </w:r>
      <w:r>
        <w:rPr>
          <w:b/>
          <w:bCs/>
        </w:rPr>
        <w:t xml:space="preserve"> </w:t>
      </w:r>
      <w:r>
        <w:rPr>
          <w:b/>
          <w:bCs/>
        </w:rPr>
        <w:t xml:space="preserve">“Guerra contra el Terrorismo”</w:t>
      </w:r>
      <w:r>
        <w:rPr>
          <w:b/>
          <w:bCs/>
        </w:rPr>
        <w:t xml:space="preserve"> </w:t>
      </w:r>
      <w:r>
        <w:rPr>
          <w:b/>
          <w:bCs/>
        </w:rPr>
        <w:t xml:space="preserve">Post-11S</w:t>
      </w:r>
    </w:p>
    <w:p>
      <w:pPr>
        <w:pStyle w:val="Compact"/>
        <w:numPr>
          <w:ilvl w:val="1"/>
          <w:numId w:val="1143"/>
        </w:numPr>
      </w:pPr>
      <w:r>
        <w:t xml:space="preserve">Legislación: Autorización para el Uso de la Fuerza Militar (AUMF, Public Law 107-40, 2001) y Creación del Department of Homeland Security (Public Law 107-296, 2002).</w:t>
      </w:r>
    </w:p>
    <w:p>
      <w:pPr>
        <w:pStyle w:val="Compact"/>
        <w:numPr>
          <w:ilvl w:val="1"/>
          <w:numId w:val="1143"/>
        </w:numPr>
      </w:pPr>
      <w:r>
        <w:t xml:space="preserve">Auditoría cuantitativa: Costs of War Project, Watson Institute for International and Public Affairs, Brown University (2021-2024). Registro de gasto federal superior a 8 billones de dólares y más de 900.000 muertes directas sin reducción del riesgo de insurgencia regional.</w:t>
      </w:r>
    </w:p>
    <w:p>
      <w:pPr>
        <w:pStyle w:val="Compact"/>
        <w:numPr>
          <w:ilvl w:val="0"/>
          <w:numId w:val="1129"/>
        </w:numPr>
      </w:pPr>
      <w:r>
        <w:rPr>
          <w:b/>
          <w:bCs/>
        </w:rPr>
        <w:t xml:space="preserve">Desahucio de Maricarmen Abascal y Comparecencia Mediática (Retiro, Madrid, 2026)</w:t>
      </w:r>
    </w:p>
    <w:p>
      <w:pPr>
        <w:pStyle w:val="Compact"/>
        <w:numPr>
          <w:ilvl w:val="1"/>
          <w:numId w:val="1144"/>
        </w:numPr>
      </w:pPr>
      <w:r>
        <w:t xml:space="preserve">Tribunal y autos: Juzgado de Primera Instancia No. 32 de Madrid, Diligencias de Lanzamiento Judicial en inmueble de calle Alcalde Sainz de Baranda (septiembre 2026).</w:t>
      </w:r>
    </w:p>
    <w:p>
      <w:pPr>
        <w:pStyle w:val="Compact"/>
        <w:numPr>
          <w:ilvl w:val="1"/>
          <w:numId w:val="1144"/>
        </w:numPr>
      </w:pPr>
      <w:r>
        <w:t xml:space="preserve">Ejecución policial: Unidad de Intervención Policial (UIP), Policía Nacional, despliegue operativo del 23 de septiembre de 2026.</w:t>
      </w:r>
    </w:p>
    <w:p>
      <w:pPr>
        <w:pStyle w:val="Compact"/>
        <w:numPr>
          <w:ilvl w:val="1"/>
          <w:numId w:val="1144"/>
        </w:numPr>
      </w:pPr>
      <w:r>
        <w:t xml:space="preserve">Asistencia sanitaria: SAMUR Protección Civil, registro asistencial No. 2026-0923-MAD; traslado de afectada (87 años, 50% de discapacidad) al Hospital Gregorio Marañón por cuadro de agotamiento.</w:t>
      </w:r>
    </w:p>
    <w:p>
      <w:pPr>
        <w:pStyle w:val="Compact"/>
        <w:numPr>
          <w:ilvl w:val="1"/>
          <w:numId w:val="1144"/>
        </w:numPr>
      </w:pPr>
      <w:r>
        <w:t xml:space="preserve">Registro mercantil: Urbagestión Desarrollo e Inversión SL (Urbagesa), depósito de cuentas 2018–2025.</w:t>
      </w:r>
    </w:p>
    <w:p>
      <w:pPr>
        <w:pStyle w:val="Compact"/>
        <w:numPr>
          <w:ilvl w:val="1"/>
          <w:numId w:val="1144"/>
        </w:numPr>
      </w:pPr>
      <w:r>
        <w:t xml:space="preserve">Emisión audiovisual: RTVE, emisión en directo de</w:t>
      </w:r>
      <w:r>
        <w:t xml:space="preserve"> </w:t>
      </w:r>
      <w:r>
        <w:rPr>
          <w:i/>
          <w:iCs/>
        </w:rPr>
        <w:t xml:space="preserve">La hora de La 1</w:t>
      </w:r>
      <w:r>
        <w:t xml:space="preserve">, comparecencia matinal de James Rhodes (24 de septiembre de 2026).</w:t>
      </w:r>
    </w:p>
    <w:p>
      <w:r>
        <w:pict>
          <v:rect style="width:0;height:1.5pt" o:hralign="center" o:hrstd="t" o:hr="t"/>
        </w:pict>
      </w:r>
    </w:p>
    <w:bookmarkEnd w:id="313"/>
    <w:bookmarkStart w:id="314" w:name="X48905e5d0ad589d3a024ed7af9fe2bb192824f9"/>
    <w:p>
      <w:pPr>
        <w:pStyle w:val="Heading2"/>
      </w:pPr>
      <w:r>
        <w:t xml:space="preserve">2. REVISIONES SISTEMÁTICAS, ARTÍCULOS Y MONOGRAFÍAS CIENTÍFICAS</w:t>
      </w:r>
    </w:p>
    <w:p>
      <w:pPr>
        <w:pStyle w:val="Compact"/>
        <w:numPr>
          <w:ilvl w:val="0"/>
          <w:numId w:val="1145"/>
        </w:numPr>
      </w:pPr>
      <w:r>
        <w:rPr>
          <w:b/>
          <w:bCs/>
        </w:rPr>
        <w:t xml:space="preserve">Hipótesis Serotoninérgica de la Depresión:</w:t>
      </w:r>
    </w:p>
    <w:p>
      <w:pPr>
        <w:pStyle w:val="Compact"/>
        <w:numPr>
          <w:ilvl w:val="1"/>
          <w:numId w:val="1146"/>
        </w:numPr>
      </w:pPr>
      <w:r>
        <w:t xml:space="preserve">Moncrieff, J., Cooper, R.E., Stockmann, T., et al. </w:t>
      </w:r>
      <w:r>
        <w:t xml:space="preserve">“The serotonin theory of depression: a systematic umbrella review of the evidence.”</w:t>
      </w:r>
      <w:r>
        <w:t xml:space="preserve"> </w:t>
      </w:r>
      <w:r>
        <w:rPr>
          <w:i/>
          <w:iCs/>
        </w:rPr>
        <w:t xml:space="preserve">Molecular Psychiatry</w:t>
      </w:r>
      <w:r>
        <w:t xml:space="preserve">, Vol. 28, pp. 3243-3256 (2023).</w:t>
      </w:r>
    </w:p>
    <w:p>
      <w:pPr>
        <w:pStyle w:val="Compact"/>
        <w:numPr>
          <w:ilvl w:val="1"/>
          <w:numId w:val="1146"/>
        </w:numPr>
      </w:pPr>
      <w:r>
        <w:t xml:space="preserve">DOI:</w:t>
      </w:r>
      <w:r>
        <w:t xml:space="preserve"> </w:t>
      </w:r>
      <w:r>
        <w:rPr>
          <w:rStyle w:val="VerbatimChar"/>
        </w:rPr>
        <w:t xml:space="preserve">10.1038/s41380-022-01661-0</w:t>
      </w:r>
    </w:p>
    <w:p>
      <w:pPr>
        <w:pStyle w:val="Compact"/>
        <w:numPr>
          <w:ilvl w:val="0"/>
          <w:numId w:val="1145"/>
        </w:numPr>
      </w:pPr>
      <w:r>
        <w:rPr>
          <w:b/>
          <w:bCs/>
        </w:rPr>
        <w:t xml:space="preserve">Reanálisis de Study 329 (Paroxetina en Adolescentes):</w:t>
      </w:r>
    </w:p>
    <w:p>
      <w:pPr>
        <w:pStyle w:val="Compact"/>
        <w:numPr>
          <w:ilvl w:val="1"/>
          <w:numId w:val="1147"/>
        </w:numPr>
      </w:pPr>
      <w:r>
        <w:t xml:space="preserve">Le Noury, J., Nardo, J.M., Healy, D., et al. </w:t>
      </w:r>
      <w:r>
        <w:t xml:space="preserve">“Restoring Study 329: efficacy and harms of paroxetine and imipramine in treatment of major depression in adolescence.”</w:t>
      </w:r>
      <w:r>
        <w:t xml:space="preserve"> </w:t>
      </w:r>
      <w:r>
        <w:rPr>
          <w:i/>
          <w:iCs/>
        </w:rPr>
        <w:t xml:space="preserve">BMJ</w:t>
      </w:r>
      <w:r>
        <w:t xml:space="preserve">, 351:h4320 (2015).</w:t>
      </w:r>
    </w:p>
    <w:p>
      <w:pPr>
        <w:pStyle w:val="Compact"/>
        <w:numPr>
          <w:ilvl w:val="1"/>
          <w:numId w:val="1147"/>
        </w:numPr>
      </w:pPr>
      <w:r>
        <w:t xml:space="preserve">DOI:</w:t>
      </w:r>
      <w:r>
        <w:t xml:space="preserve"> </w:t>
      </w:r>
      <w:r>
        <w:rPr>
          <w:rStyle w:val="VerbatimChar"/>
        </w:rPr>
        <w:t xml:space="preserve">10.1136/bmj.h4320</w:t>
      </w:r>
    </w:p>
    <w:p>
      <w:pPr>
        <w:pStyle w:val="Compact"/>
        <w:numPr>
          <w:ilvl w:val="0"/>
          <w:numId w:val="1145"/>
        </w:numPr>
      </w:pPr>
      <w:r>
        <w:rPr>
          <w:b/>
          <w:bCs/>
        </w:rPr>
        <w:t xml:space="preserve">Meta-análisis de Eficacia de Antidepresivos vs. Placebo:</w:t>
      </w:r>
    </w:p>
    <w:p>
      <w:pPr>
        <w:pStyle w:val="Compact"/>
        <w:numPr>
          <w:ilvl w:val="1"/>
          <w:numId w:val="1148"/>
        </w:numPr>
      </w:pPr>
      <w:r>
        <w:t xml:space="preserve">Kirsch, I., Deacon, B.J., Huedo-Medina, T.B., et al. </w:t>
      </w:r>
      <w:r>
        <w:t xml:space="preserve">“Initial Severity and Antidepressant Benefits: A Meta-Analysis of Data Submitted to the Food and Drug Administration.”</w:t>
      </w:r>
      <w:r>
        <w:t xml:space="preserve"> </w:t>
      </w:r>
      <w:r>
        <w:rPr>
          <w:i/>
          <w:iCs/>
        </w:rPr>
        <w:t xml:space="preserve">PLoS Medicine</w:t>
      </w:r>
      <w:r>
        <w:t xml:space="preserve">, 5(2):e45 (2008).</w:t>
      </w:r>
    </w:p>
    <w:p>
      <w:pPr>
        <w:pStyle w:val="Compact"/>
        <w:numPr>
          <w:ilvl w:val="1"/>
          <w:numId w:val="1148"/>
        </w:numPr>
      </w:pPr>
      <w:r>
        <w:t xml:space="preserve">DOI:</w:t>
      </w:r>
      <w:r>
        <w:t xml:space="preserve"> </w:t>
      </w:r>
      <w:r>
        <w:rPr>
          <w:rStyle w:val="VerbatimChar"/>
        </w:rPr>
        <w:t xml:space="preserve">10.1371/journal.pmed.0050045</w:t>
      </w:r>
    </w:p>
    <w:p>
      <w:pPr>
        <w:pStyle w:val="Compact"/>
        <w:numPr>
          <w:ilvl w:val="0"/>
          <w:numId w:val="1145"/>
        </w:numPr>
      </w:pPr>
      <w:r>
        <w:t xml:space="preserve">**Reanálisis del Estudio STAR*D (NIMH):**</w:t>
      </w:r>
    </w:p>
    <w:p>
      <w:pPr>
        <w:pStyle w:val="Compact"/>
        <w:numPr>
          <w:ilvl w:val="1"/>
          <w:numId w:val="1149"/>
        </w:numPr>
      </w:pPr>
      <w:r>
        <w:t xml:space="preserve">Pigott, H.E., Leventhal, A.M., Alter, G.S. &amp; Boren, J.J.</w:t>
      </w:r>
      <w:r>
        <w:t xml:space="preserve"> </w:t>
      </w:r>
      <w:r>
        <w:t xml:space="preserve">“Efficacy and Effectiveness of Antidepressants: Current Status of Research.”</w:t>
      </w:r>
      <w:r>
        <w:t xml:space="preserve"> </w:t>
      </w:r>
      <w:r>
        <w:rPr>
          <w:i/>
          <w:iCs/>
        </w:rPr>
        <w:t xml:space="preserve">Psychotherapy and Psychosomatics</w:t>
      </w:r>
      <w:r>
        <w:t xml:space="preserve">, 79(5):267-279 (2010).</w:t>
      </w:r>
    </w:p>
    <w:p>
      <w:pPr>
        <w:pStyle w:val="Compact"/>
        <w:numPr>
          <w:ilvl w:val="1"/>
          <w:numId w:val="1149"/>
        </w:numPr>
      </w:pPr>
      <w:r>
        <w:t xml:space="preserve">DOI:</w:t>
      </w:r>
      <w:r>
        <w:t xml:space="preserve"> </w:t>
      </w:r>
      <w:r>
        <w:rPr>
          <w:rStyle w:val="VerbatimChar"/>
        </w:rPr>
        <w:t xml:space="preserve">10.1159/000318293</w:t>
      </w:r>
    </w:p>
    <w:p>
      <w:pPr>
        <w:pStyle w:val="Compact"/>
        <w:numPr>
          <w:ilvl w:val="0"/>
          <w:numId w:val="1145"/>
        </w:numPr>
      </w:pPr>
      <w:r>
        <w:rPr>
          <w:b/>
          <w:bCs/>
        </w:rPr>
        <w:t xml:space="preserve">Conflicto de Interés en Paneles del DSM-IV y DSM-5:</w:t>
      </w:r>
    </w:p>
    <w:p>
      <w:pPr>
        <w:pStyle w:val="Compact"/>
        <w:numPr>
          <w:ilvl w:val="1"/>
          <w:numId w:val="1150"/>
        </w:numPr>
      </w:pPr>
      <w:r>
        <w:t xml:space="preserve">Cosgrove, L., Krimsky, S., Vijayaraghavan, M. &amp; Schneider, L.</w:t>
      </w:r>
      <w:r>
        <w:t xml:space="preserve"> </w:t>
      </w:r>
      <w:r>
        <w:t xml:space="preserve">“Financial Ties between DSM-IV Panel Members and the Pharmaceutical Industry.”</w:t>
      </w:r>
      <w:r>
        <w:t xml:space="preserve"> </w:t>
      </w:r>
      <w:r>
        <w:rPr>
          <w:i/>
          <w:iCs/>
        </w:rPr>
        <w:t xml:space="preserve">Psychotherapy and Psychosomatics</w:t>
      </w:r>
      <w:r>
        <w:t xml:space="preserve">, 75(3):154-160 (2006).</w:t>
      </w:r>
    </w:p>
    <w:p>
      <w:pPr>
        <w:pStyle w:val="Compact"/>
        <w:numPr>
          <w:ilvl w:val="1"/>
          <w:numId w:val="1150"/>
        </w:numPr>
      </w:pPr>
      <w:r>
        <w:t xml:space="preserve">DOI:</w:t>
      </w:r>
      <w:r>
        <w:t xml:space="preserve"> </w:t>
      </w:r>
      <w:r>
        <w:rPr>
          <w:rStyle w:val="VerbatimChar"/>
        </w:rPr>
        <w:t xml:space="preserve">10.1159/000091772</w:t>
      </w:r>
    </w:p>
    <w:p>
      <w:pPr>
        <w:pStyle w:val="Compact"/>
        <w:numPr>
          <w:ilvl w:val="1"/>
          <w:numId w:val="1150"/>
        </w:numPr>
      </w:pPr>
      <w:r>
        <w:t xml:space="preserve">Cosgrove, L. &amp; Krimsky, S.</w:t>
      </w:r>
      <w:r>
        <w:t xml:space="preserve"> </w:t>
      </w:r>
      <w:r>
        <w:t xml:space="preserve">“A Comparison of DSM-IV and DSM-5 Panel Members’ Financial Associations with Industry.”</w:t>
      </w:r>
      <w:r>
        <w:t xml:space="preserve"> </w:t>
      </w:r>
      <w:r>
        <w:rPr>
          <w:i/>
          <w:iCs/>
        </w:rPr>
        <w:t xml:space="preserve">PLoS Medicine</w:t>
      </w:r>
      <w:r>
        <w:t xml:space="preserve">, 9(3):e1001190 (2012).</w:t>
      </w:r>
    </w:p>
    <w:p>
      <w:pPr>
        <w:pStyle w:val="Compact"/>
        <w:numPr>
          <w:ilvl w:val="1"/>
          <w:numId w:val="1150"/>
        </w:numPr>
      </w:pPr>
      <w:r>
        <w:t xml:space="preserve">DOI:</w:t>
      </w:r>
      <w:r>
        <w:t xml:space="preserve"> </w:t>
      </w:r>
      <w:r>
        <w:rPr>
          <w:rStyle w:val="VerbatimChar"/>
        </w:rPr>
        <w:t xml:space="preserve">10.1371/journal.pmed.1001190</w:t>
      </w:r>
    </w:p>
    <w:p>
      <w:pPr>
        <w:pStyle w:val="Compact"/>
        <w:numPr>
          <w:ilvl w:val="0"/>
          <w:numId w:val="1145"/>
        </w:numPr>
      </w:pPr>
      <w:r>
        <w:rPr>
          <w:b/>
          <w:bCs/>
        </w:rPr>
        <w:t xml:space="preserve">Experimento de Pseudopacientes en Psiquiatría:</w:t>
      </w:r>
    </w:p>
    <w:p>
      <w:pPr>
        <w:pStyle w:val="Compact"/>
        <w:numPr>
          <w:ilvl w:val="1"/>
          <w:numId w:val="1151"/>
        </w:numPr>
      </w:pPr>
      <w:r>
        <w:t xml:space="preserve">Rosenhan, D.L.</w:t>
      </w:r>
      <w:r>
        <w:t xml:space="preserve"> </w:t>
      </w:r>
      <w:r>
        <w:t xml:space="preserve">“On Being Sane in Insane Places.”</w:t>
      </w:r>
      <w:r>
        <w:t xml:space="preserve"> </w:t>
      </w:r>
      <w:r>
        <w:rPr>
          <w:i/>
          <w:iCs/>
        </w:rPr>
        <w:t xml:space="preserve">Science</w:t>
      </w:r>
      <w:r>
        <w:t xml:space="preserve">, Vol. 179, No. 4070, pp. 250-258 (1973).</w:t>
      </w:r>
    </w:p>
    <w:p>
      <w:pPr>
        <w:pStyle w:val="Compact"/>
        <w:numPr>
          <w:ilvl w:val="1"/>
          <w:numId w:val="1151"/>
        </w:numPr>
      </w:pPr>
      <w:r>
        <w:t xml:space="preserve">DOI:</w:t>
      </w:r>
      <w:r>
        <w:t xml:space="preserve"> </w:t>
      </w:r>
      <w:r>
        <w:rPr>
          <w:rStyle w:val="VerbatimChar"/>
        </w:rPr>
        <w:t xml:space="preserve">10.1126/science.179.4070.250</w:t>
      </w:r>
    </w:p>
    <w:p>
      <w:pPr>
        <w:pStyle w:val="Compact"/>
        <w:numPr>
          <w:ilvl w:val="0"/>
          <w:numId w:val="1145"/>
        </w:numPr>
      </w:pPr>
      <w:r>
        <w:rPr>
          <w:b/>
          <w:bCs/>
        </w:rPr>
        <w:t xml:space="preserve">Síndrome de Abstinencia Prolongada de Benzodiazepinas:</w:t>
      </w:r>
    </w:p>
    <w:p>
      <w:pPr>
        <w:pStyle w:val="Compact"/>
        <w:numPr>
          <w:ilvl w:val="1"/>
          <w:numId w:val="1152"/>
        </w:numPr>
      </w:pPr>
      <w:r>
        <w:t xml:space="preserve">Ashton, H.</w:t>
      </w:r>
      <w:r>
        <w:t xml:space="preserve"> </w:t>
      </w:r>
      <w:r>
        <w:t xml:space="preserve">“Protracted withdrawal syndromes from benzodiazepines.”</w:t>
      </w:r>
      <w:r>
        <w:t xml:space="preserve"> </w:t>
      </w:r>
      <w:r>
        <w:rPr>
          <w:i/>
          <w:iCs/>
        </w:rPr>
        <w:t xml:space="preserve">Journal of Substance Abuse Treatment</w:t>
      </w:r>
      <w:r>
        <w:t xml:space="preserve">, 8(1-2):19-28 (1991).</w:t>
      </w:r>
    </w:p>
    <w:p>
      <w:pPr>
        <w:pStyle w:val="Compact"/>
        <w:numPr>
          <w:ilvl w:val="1"/>
          <w:numId w:val="1152"/>
        </w:numPr>
      </w:pPr>
      <w:r>
        <w:t xml:space="preserve">DOI:</w:t>
      </w:r>
      <w:r>
        <w:t xml:space="preserve"> </w:t>
      </w:r>
      <w:r>
        <w:rPr>
          <w:rStyle w:val="VerbatimChar"/>
        </w:rPr>
        <w:t xml:space="preserve">10.1016/0740-5472(91)90023-4</w:t>
      </w:r>
    </w:p>
    <w:p>
      <w:pPr>
        <w:pStyle w:val="Compact"/>
        <w:numPr>
          <w:ilvl w:val="0"/>
          <w:numId w:val="1145"/>
        </w:numPr>
      </w:pPr>
      <w:r>
        <w:rPr>
          <w:b/>
          <w:bCs/>
        </w:rPr>
        <w:t xml:space="preserve">Teorema de Chentsov e Invarianza de Fisher:</w:t>
      </w:r>
    </w:p>
    <w:p>
      <w:pPr>
        <w:pStyle w:val="Compact"/>
        <w:numPr>
          <w:ilvl w:val="1"/>
          <w:numId w:val="1153"/>
        </w:numPr>
      </w:pPr>
      <w:r>
        <w:t xml:space="preserve">Chentsov, N.N.</w:t>
      </w:r>
      <w:r>
        <w:t xml:space="preserve"> </w:t>
      </w:r>
      <w:r>
        <w:rPr>
          <w:i/>
          <w:iCs/>
        </w:rPr>
        <w:t xml:space="preserve">Statistical Decision Rules and Optimal Inference</w:t>
      </w:r>
      <w:r>
        <w:t xml:space="preserve">, Translations of Mathematical Monographs, Vol. 53, American Mathematical Society (1982).</w:t>
      </w:r>
    </w:p>
    <w:p>
      <w:pPr>
        <w:pStyle w:val="Compact"/>
        <w:numPr>
          <w:ilvl w:val="1"/>
          <w:numId w:val="1153"/>
        </w:numPr>
      </w:pPr>
      <w:r>
        <w:t xml:space="preserve">Amari, S.</w:t>
      </w:r>
      <w:r>
        <w:t xml:space="preserve"> </w:t>
      </w:r>
      <w:r>
        <w:rPr>
          <w:i/>
          <w:iCs/>
        </w:rPr>
        <w:t xml:space="preserve">Differential-Geometrical Methods in Statistics</w:t>
      </w:r>
      <w:r>
        <w:t xml:space="preserve">, Lecture Notes in Statistics, Vol. 28, Springer-Verlag (1985).</w:t>
      </w:r>
    </w:p>
    <w:p>
      <w:pPr>
        <w:pStyle w:val="Compact"/>
        <w:numPr>
          <w:ilvl w:val="0"/>
          <w:numId w:val="1145"/>
        </w:numPr>
      </w:pPr>
      <w:r>
        <w:rPr>
          <w:b/>
          <w:bCs/>
        </w:rPr>
        <w:t xml:space="preserve">Metrología Cuántica y Límite de Heisenberg:</w:t>
      </w:r>
    </w:p>
    <w:p>
      <w:pPr>
        <w:pStyle w:val="Compact"/>
        <w:numPr>
          <w:ilvl w:val="1"/>
          <w:numId w:val="1154"/>
        </w:numPr>
      </w:pPr>
      <w:r>
        <w:t xml:space="preserve">Braunstein, S.L. &amp; Caves, C.M.</w:t>
      </w:r>
      <w:r>
        <w:t xml:space="preserve"> </w:t>
      </w:r>
      <w:r>
        <w:t xml:space="preserve">“Statistical distance and the geometry of quantum states.”</w:t>
      </w:r>
      <w:r>
        <w:t xml:space="preserve"> </w:t>
      </w:r>
      <w:r>
        <w:rPr>
          <w:i/>
          <w:iCs/>
        </w:rPr>
        <w:t xml:space="preserve">Physical Review Letters</w:t>
      </w:r>
      <w:r>
        <w:t xml:space="preserve">, 72(22):3439-3443 (1994).</w:t>
      </w:r>
    </w:p>
    <w:p>
      <w:pPr>
        <w:pStyle w:val="Compact"/>
        <w:numPr>
          <w:ilvl w:val="1"/>
          <w:numId w:val="1154"/>
        </w:numPr>
      </w:pPr>
      <w:r>
        <w:t xml:space="preserve">DOI:</w:t>
      </w:r>
      <w:r>
        <w:t xml:space="preserve"> </w:t>
      </w:r>
      <w:r>
        <w:rPr>
          <w:rStyle w:val="VerbatimChar"/>
        </w:rPr>
        <w:t xml:space="preserve">10.1103/PhysRevLett.72.3439</w:t>
      </w:r>
    </w:p>
    <w:p>
      <w:pPr>
        <w:pStyle w:val="Compact"/>
        <w:numPr>
          <w:ilvl w:val="0"/>
          <w:numId w:val="1145"/>
        </w:numPr>
      </w:pPr>
      <w:r>
        <w:rPr>
          <w:b/>
          <w:bCs/>
        </w:rPr>
        <w:t xml:space="preserve">Principio de Disipación de Landauer:</w:t>
      </w:r>
    </w:p>
    <w:p>
      <w:pPr>
        <w:pStyle w:val="Compact"/>
        <w:numPr>
          <w:ilvl w:val="1"/>
          <w:numId w:val="1155"/>
        </w:numPr>
      </w:pPr>
      <w:r>
        <w:t xml:space="preserve">Landauer, R.</w:t>
      </w:r>
      <w:r>
        <w:t xml:space="preserve"> </w:t>
      </w:r>
      <w:r>
        <w:t xml:space="preserve">“Irreversibility and heat generation in the computing process.”</w:t>
      </w:r>
      <w:r>
        <w:t xml:space="preserve"> </w:t>
      </w:r>
      <w:r>
        <w:rPr>
          <w:i/>
          <w:iCs/>
        </w:rPr>
        <w:t xml:space="preserve">IBM Journal of Research and Development</w:t>
      </w:r>
      <w:r>
        <w:t xml:space="preserve">, 5(3):183-191 (1961).</w:t>
      </w:r>
    </w:p>
    <w:p>
      <w:pPr>
        <w:pStyle w:val="Compact"/>
        <w:numPr>
          <w:ilvl w:val="1"/>
          <w:numId w:val="1155"/>
        </w:numPr>
      </w:pPr>
      <w:r>
        <w:t xml:space="preserve">DOI:</w:t>
      </w:r>
      <w:r>
        <w:t xml:space="preserve"> </w:t>
      </w:r>
      <w:r>
        <w:rPr>
          <w:rStyle w:val="VerbatimChar"/>
        </w:rPr>
        <w:t xml:space="preserve">10.1147/rd.53.0183</w:t>
      </w:r>
    </w:p>
    <w:p>
      <w:pPr>
        <w:pStyle w:val="Compact"/>
        <w:numPr>
          <w:ilvl w:val="0"/>
          <w:numId w:val="1145"/>
        </w:numPr>
      </w:pPr>
      <w:r>
        <w:rPr>
          <w:b/>
          <w:bCs/>
        </w:rPr>
        <w:t xml:space="preserve">Barrera de Escape Térmico de Kramers:</w:t>
      </w:r>
    </w:p>
    <w:p>
      <w:pPr>
        <w:pStyle w:val="Compact"/>
        <w:numPr>
          <w:ilvl w:val="1"/>
          <w:numId w:val="1156"/>
        </w:numPr>
      </w:pPr>
      <w:r>
        <w:t xml:space="preserve">Kramers, H.A.</w:t>
      </w:r>
      <w:r>
        <w:t xml:space="preserve"> </w:t>
      </w:r>
      <w:r>
        <w:t xml:space="preserve">“Brownian motion in a field of force and the diffusion model of chemical reactions.”</w:t>
      </w:r>
      <w:r>
        <w:t xml:space="preserve"> </w:t>
      </w:r>
      <w:r>
        <w:rPr>
          <w:i/>
          <w:iCs/>
        </w:rPr>
        <w:t xml:space="preserve">Physica</w:t>
      </w:r>
      <w:r>
        <w:t xml:space="preserve">, 7(4):284-304 (1940).</w:t>
      </w:r>
    </w:p>
    <w:p>
      <w:pPr>
        <w:pStyle w:val="Compact"/>
        <w:numPr>
          <w:ilvl w:val="1"/>
          <w:numId w:val="1156"/>
        </w:numPr>
      </w:pPr>
      <w:r>
        <w:t xml:space="preserve">DOI:</w:t>
      </w:r>
      <w:r>
        <w:t xml:space="preserve"> </w:t>
      </w:r>
      <w:r>
        <w:rPr>
          <w:rStyle w:val="VerbatimChar"/>
        </w:rPr>
        <w:t xml:space="preserve">10.1016/S0031-8914(40)90098-2</w:t>
      </w:r>
    </w:p>
    <w:p>
      <w:pPr>
        <w:pStyle w:val="Compact"/>
        <w:numPr>
          <w:ilvl w:val="0"/>
          <w:numId w:val="1145"/>
        </w:numPr>
      </w:pPr>
      <w:r>
        <w:rPr>
          <w:b/>
          <w:bCs/>
        </w:rPr>
        <w:t xml:space="preserve">Cópula Gaussiana en Finanzas Estructuradas:</w:t>
      </w:r>
    </w:p>
    <w:p>
      <w:pPr>
        <w:pStyle w:val="Compact"/>
        <w:numPr>
          <w:ilvl w:val="1"/>
          <w:numId w:val="1157"/>
        </w:numPr>
      </w:pPr>
      <w:r>
        <w:t xml:space="preserve">Li, David X.</w:t>
      </w:r>
      <w:r>
        <w:t xml:space="preserve"> </w:t>
      </w:r>
      <w:r>
        <w:t xml:space="preserve">“On Default Correlation: A Copula Function Approach.”</w:t>
      </w:r>
      <w:r>
        <w:t xml:space="preserve"> </w:t>
      </w:r>
      <w:r>
        <w:rPr>
          <w:i/>
          <w:iCs/>
        </w:rPr>
        <w:t xml:space="preserve">Journal of Fixed Income</w:t>
      </w:r>
      <w:r>
        <w:t xml:space="preserve">, 9(4):43-54 (2000).</w:t>
      </w:r>
    </w:p>
    <w:p>
      <w:pPr>
        <w:pStyle w:val="Compact"/>
        <w:numPr>
          <w:ilvl w:val="1"/>
          <w:numId w:val="1157"/>
        </w:numPr>
      </w:pPr>
      <w:r>
        <w:t xml:space="preserve">DOI:</w:t>
      </w:r>
      <w:r>
        <w:t xml:space="preserve"> </w:t>
      </w:r>
      <w:r>
        <w:rPr>
          <w:rStyle w:val="VerbatimChar"/>
        </w:rPr>
        <w:t xml:space="preserve">10.3905/jfi.2000.319253</w:t>
      </w:r>
    </w:p>
    <w:p>
      <w:pPr>
        <w:pStyle w:val="Compact"/>
        <w:numPr>
          <w:ilvl w:val="0"/>
          <w:numId w:val="1145"/>
        </w:numPr>
      </w:pPr>
      <w:r>
        <w:rPr>
          <w:b/>
          <w:bCs/>
        </w:rPr>
        <w:t xml:space="preserve">Modelo de Sincronización de Kuramoto:</w:t>
      </w:r>
    </w:p>
    <w:p>
      <w:pPr>
        <w:pStyle w:val="Compact"/>
        <w:numPr>
          <w:ilvl w:val="1"/>
          <w:numId w:val="1158"/>
        </w:numPr>
      </w:pPr>
      <w:r>
        <w:t xml:space="preserve">Kuramoto, Y.</w:t>
      </w:r>
      <w:r>
        <w:t xml:space="preserve"> </w:t>
      </w:r>
      <w:r>
        <w:rPr>
          <w:i/>
          <w:iCs/>
        </w:rPr>
        <w:t xml:space="preserve">Chemical Oscillations, Waves, and Turbulence</w:t>
      </w:r>
      <w:r>
        <w:t xml:space="preserve">, Springer Series in Synergetics, Springer-Verlag (1984).</w:t>
      </w:r>
    </w:p>
    <w:p>
      <w:pPr>
        <w:pStyle w:val="Compact"/>
        <w:numPr>
          <w:ilvl w:val="1"/>
          <w:numId w:val="1158"/>
        </w:numPr>
      </w:pPr>
      <w:r>
        <w:t xml:space="preserve">Strogatz, S.H.</w:t>
      </w:r>
      <w:r>
        <w:t xml:space="preserve"> </w:t>
      </w:r>
      <w:r>
        <w:t xml:space="preserve">“From Kuramoto to Crawford: exploring the onset of synchronization in populations of coupled oscillators.”</w:t>
      </w:r>
      <w:r>
        <w:t xml:space="preserve"> </w:t>
      </w:r>
      <w:r>
        <w:rPr>
          <w:i/>
          <w:iCs/>
        </w:rPr>
        <w:t xml:space="preserve">Physica D: Nonlinear Phenomena</w:t>
      </w:r>
      <w:r>
        <w:t xml:space="preserve">, 143(1-4):1-20 (2000).</w:t>
      </w:r>
    </w:p>
    <w:p>
      <w:pPr>
        <w:pStyle w:val="Compact"/>
        <w:numPr>
          <w:ilvl w:val="0"/>
          <w:numId w:val="1145"/>
        </w:numPr>
      </w:pPr>
      <w:r>
        <w:rPr>
          <w:b/>
          <w:bCs/>
        </w:rPr>
        <w:t xml:space="preserve">Inhibición Prefrontal y Ventana Temporal de Veto (Free Won’t):</w:t>
      </w:r>
    </w:p>
    <w:p>
      <w:pPr>
        <w:pStyle w:val="Compact"/>
        <w:numPr>
          <w:ilvl w:val="1"/>
          <w:numId w:val="1159"/>
        </w:numPr>
      </w:pPr>
      <w:r>
        <w:t xml:space="preserve">Libet, B., Gleason, C.A., Wright, E.W. &amp; Pearl, D.K.</w:t>
      </w:r>
      <w:r>
        <w:t xml:space="preserve"> </w:t>
      </w:r>
      <w:r>
        <w:t xml:space="preserve">“Time of conscious intention to act in relation to onset of cerebral activity (readiness-potential): The unconscious initiation of a freely voluntary act.”</w:t>
      </w:r>
      <w:r>
        <w:t xml:space="preserve"> </w:t>
      </w:r>
      <w:r>
        <w:rPr>
          <w:i/>
          <w:iCs/>
        </w:rPr>
        <w:t xml:space="preserve">Brain</w:t>
      </w:r>
      <w:r>
        <w:t xml:space="preserve">, 106(3):623-642 (1983).</w:t>
      </w:r>
    </w:p>
    <w:p>
      <w:pPr>
        <w:pStyle w:val="Compact"/>
        <w:numPr>
          <w:ilvl w:val="1"/>
          <w:numId w:val="1159"/>
        </w:numPr>
      </w:pPr>
      <w:r>
        <w:t xml:space="preserve">DOI:</w:t>
      </w:r>
      <w:r>
        <w:t xml:space="preserve"> </w:t>
      </w:r>
      <w:r>
        <w:rPr>
          <w:rStyle w:val="VerbatimChar"/>
        </w:rPr>
        <w:t xml:space="preserve">10.1093/brain/106.3.623</w:t>
      </w:r>
    </w:p>
    <w:p>
      <w:pPr>
        <w:pStyle w:val="Compact"/>
        <w:numPr>
          <w:ilvl w:val="0"/>
          <w:numId w:val="1145"/>
        </w:numPr>
      </w:pPr>
      <w:r>
        <w:rPr>
          <w:b/>
          <w:bCs/>
        </w:rPr>
        <w:t xml:space="preserve">Reclasificación de Umbrales Diagnósticos de Glucemia e Hipertensión:</w:t>
      </w:r>
    </w:p>
    <w:p>
      <w:pPr>
        <w:pStyle w:val="Compact"/>
        <w:numPr>
          <w:ilvl w:val="1"/>
          <w:numId w:val="1160"/>
        </w:numPr>
      </w:pPr>
      <w:r>
        <w:t xml:space="preserve">The Expert Committee on the Diagnosis and Classification of Diabetes Mellitus.</w:t>
      </w:r>
      <w:r>
        <w:t xml:space="preserve"> </w:t>
      </w:r>
      <w:r>
        <w:t xml:space="preserve">“Follow-up Report on the Diagnosis of Diabetes Mellitus.”</w:t>
      </w:r>
      <w:r>
        <w:t xml:space="preserve"> </w:t>
      </w:r>
      <w:r>
        <w:rPr>
          <w:i/>
          <w:iCs/>
        </w:rPr>
        <w:t xml:space="preserve">Diabetes Care</w:t>
      </w:r>
      <w:r>
        <w:t xml:space="preserve">, 26(11):3160-3167 (2003). (Reducción de glucosa en ayunas de 110 mg/dL a 100 mg/dL).</w:t>
      </w:r>
    </w:p>
    <w:p>
      <w:pPr>
        <w:pStyle w:val="Compact"/>
        <w:numPr>
          <w:ilvl w:val="1"/>
          <w:numId w:val="1160"/>
        </w:numPr>
      </w:pPr>
      <w:r>
        <w:t xml:space="preserve">Whelton, P.K., Carey, R.M., Aronow, W.S., et al. </w:t>
      </w:r>
      <w:r>
        <w:t xml:space="preserve">“2017 ACC/AHA/AAPA/ABC/ACPM/AGS/APhA/ASH/ASPC/NMA/PCNA Guideline for the Prevention, Detection, Evaluation, and Management of High Blood Pressure in Adults.”</w:t>
      </w:r>
      <w:r>
        <w:t xml:space="preserve"> </w:t>
      </w:r>
      <w:r>
        <w:rPr>
          <w:i/>
          <w:iCs/>
        </w:rPr>
        <w:t xml:space="preserve">Journal of the American College of Cardiology</w:t>
      </w:r>
      <w:r>
        <w:t xml:space="preserve">, 71(19):e127-e248 (2018). (Reducción del umbral de hipertensión a 130/80 mmHg).</w:t>
      </w:r>
    </w:p>
    <w:p>
      <w:pPr>
        <w:pStyle w:val="Compact"/>
        <w:numPr>
          <w:ilvl w:val="0"/>
          <w:numId w:val="1145"/>
        </w:numPr>
      </w:pPr>
      <w:r>
        <w:rPr>
          <w:b/>
          <w:bCs/>
        </w:rPr>
        <w:t xml:space="preserve">La Métrica Mítica del Hombre-Mes en Ingeniería de Software:</w:t>
      </w:r>
    </w:p>
    <w:p>
      <w:pPr>
        <w:pStyle w:val="Compact"/>
        <w:numPr>
          <w:ilvl w:val="1"/>
          <w:numId w:val="1161"/>
        </w:numPr>
      </w:pPr>
      <w:r>
        <w:t xml:space="preserve">Brooks, F.P.</w:t>
      </w:r>
      <w:r>
        <w:t xml:space="preserve"> </w:t>
      </w:r>
      <w:r>
        <w:rPr>
          <w:i/>
          <w:iCs/>
        </w:rPr>
        <w:t xml:space="preserve">The Mythical Man-Month: Essays on Software Engineering</w:t>
      </w:r>
      <w:r>
        <w:t xml:space="preserve">, Addison-Wesley (1975).</w:t>
      </w:r>
    </w:p>
    <w:p>
      <w:pPr>
        <w:pStyle w:val="Compact"/>
        <w:numPr>
          <w:ilvl w:val="0"/>
          <w:numId w:val="1145"/>
        </w:numPr>
      </w:pPr>
      <w:r>
        <w:rPr>
          <w:b/>
          <w:bCs/>
        </w:rPr>
        <w:t xml:space="preserve">Descompilación Acústica de «Hurt» y la Cirugía de Sustracción de Rubin:</w:t>
      </w:r>
    </w:p>
    <w:p>
      <w:pPr>
        <w:pStyle w:val="Compact"/>
        <w:numPr>
          <w:ilvl w:val="1"/>
          <w:numId w:val="1162"/>
        </w:numPr>
      </w:pPr>
      <w:r>
        <w:t xml:space="preserve">Producción industrial original: Trent Reznor,</w:t>
      </w:r>
      <w:r>
        <w:t xml:space="preserve"> </w:t>
      </w:r>
      <w:r>
        <w:rPr>
          <w:i/>
          <w:iCs/>
        </w:rPr>
        <w:t xml:space="preserve">The Downward Spiral</w:t>
      </w:r>
      <w:r>
        <w:t xml:space="preserve">, Interscope Records 92346-2 (1994).</w:t>
      </w:r>
    </w:p>
    <w:p>
      <w:pPr>
        <w:pStyle w:val="Compact"/>
        <w:numPr>
          <w:ilvl w:val="1"/>
          <w:numId w:val="1162"/>
        </w:numPr>
      </w:pPr>
      <w:r>
        <w:t xml:space="preserve">Producción por sustracción: Rick Rubin &amp; Johnny Cash,</w:t>
      </w:r>
      <w:r>
        <w:t xml:space="preserve"> </w:t>
      </w:r>
      <w:r>
        <w:rPr>
          <w:i/>
          <w:iCs/>
        </w:rPr>
        <w:t xml:space="preserve">American IV: The Man Comes Around</w:t>
      </w:r>
      <w:r>
        <w:t xml:space="preserve">, American Recordings / Lost Highway 063 336-2 (2002).</w:t>
      </w:r>
    </w:p>
    <w:p>
      <w:pPr>
        <w:pStyle w:val="Compact"/>
        <w:numPr>
          <w:ilvl w:val="1"/>
          <w:numId w:val="1162"/>
        </w:numPr>
      </w:pPr>
      <w:r>
        <w:t xml:space="preserve">Registro audiovisual y peritaje: Mark Romanek (Dir.), MTV Video Music Award a la Mejor Fotografía (2003); Grammy Award al Mejor Video Musical en Formato Corto (2004); Trent Reznor, entrevista en</w:t>
      </w:r>
      <w:r>
        <w:t xml:space="preserve"> </w:t>
      </w:r>
      <w:r>
        <w:rPr>
          <w:i/>
          <w:iCs/>
        </w:rPr>
        <w:t xml:space="preserve">Alternative Press</w:t>
      </w:r>
      <w:r>
        <w:t xml:space="preserve">, No. 194 (2004).</w:t>
      </w:r>
    </w:p>
    <w:p>
      <w:pPr>
        <w:pStyle w:val="Compact"/>
        <w:numPr>
          <w:ilvl w:val="0"/>
          <w:numId w:val="1145"/>
        </w:numPr>
      </w:pPr>
      <w:r>
        <w:rPr>
          <w:b/>
          <w:bCs/>
        </w:rPr>
        <w:t xml:space="preserve">Cibernética de Sistemas y Teoría del Cambio de Palo Alto:</w:t>
      </w:r>
    </w:p>
    <w:p>
      <w:pPr>
        <w:pStyle w:val="Compact"/>
        <w:numPr>
          <w:ilvl w:val="1"/>
          <w:numId w:val="1163"/>
        </w:numPr>
      </w:pPr>
      <w:r>
        <w:t xml:space="preserve">Watzlawick, P., Weakland, J. H. &amp; Fisch, R.</w:t>
      </w:r>
      <w:r>
        <w:t xml:space="preserve"> </w:t>
      </w:r>
      <w:r>
        <w:rPr>
          <w:i/>
          <w:iCs/>
        </w:rPr>
        <w:t xml:space="preserve">Change: Principles of Problem Formation and Problem Resolution</w:t>
      </w:r>
      <w:r>
        <w:t xml:space="preserve">, W. W. Norton &amp; Company (1974).</w:t>
      </w:r>
    </w:p>
    <w:p>
      <w:pPr>
        <w:pStyle w:val="Compact"/>
        <w:numPr>
          <w:ilvl w:val="1"/>
          <w:numId w:val="1163"/>
        </w:numPr>
      </w:pPr>
      <w:r>
        <w:t xml:space="preserve">Watzlawick, P.</w:t>
      </w:r>
      <w:r>
        <w:t xml:space="preserve"> </w:t>
      </w:r>
      <w:r>
        <w:rPr>
          <w:i/>
          <w:iCs/>
        </w:rPr>
        <w:t xml:space="preserve">Anleitung zum Unglücklichsein</w:t>
      </w:r>
      <w:r>
        <w:t xml:space="preserve">, Piper Verlag, Múnich (1983). Edición en español:</w:t>
      </w:r>
      <w:r>
        <w:t xml:space="preserve"> </w:t>
      </w:r>
      <w:r>
        <w:rPr>
          <w:i/>
          <w:iCs/>
        </w:rPr>
        <w:t xml:space="preserve">El arte de amargarse la vida</w:t>
      </w:r>
      <w:r>
        <w:t xml:space="preserve">, Herder (1984).</w:t>
      </w:r>
    </w:p>
    <w:p>
      <w:pPr>
        <w:pStyle w:val="Compact"/>
        <w:numPr>
          <w:ilvl w:val="0"/>
          <w:numId w:val="1145"/>
        </w:numPr>
      </w:pPr>
      <w:r>
        <w:rPr>
          <w:b/>
          <w:bCs/>
        </w:rPr>
        <w:t xml:space="preserve">Minimización de Energía Libre y Manta de Markov en Redes Biológicas:</w:t>
      </w:r>
    </w:p>
    <w:p>
      <w:pPr>
        <w:pStyle w:val="Compact"/>
        <w:numPr>
          <w:ilvl w:val="1"/>
          <w:numId w:val="1164"/>
        </w:numPr>
      </w:pPr>
      <w:r>
        <w:t xml:space="preserve">Friston, K.</w:t>
      </w:r>
      <w:r>
        <w:t xml:space="preserve"> </w:t>
      </w:r>
      <w:r>
        <w:t xml:space="preserve">“The free-energy principle: a unified brain theory?”</w:t>
      </w:r>
      <w:r>
        <w:t xml:space="preserve">.</w:t>
      </w:r>
      <w:r>
        <w:t xml:space="preserve"> </w:t>
      </w:r>
      <w:r>
        <w:rPr>
          <w:i/>
          <w:iCs/>
        </w:rPr>
        <w:t xml:space="preserve">Nature Reviews Neuroscience</w:t>
      </w:r>
      <w:r>
        <w:t xml:space="preserve">, 11(2):127-138 (2010). DOI:</w:t>
      </w:r>
      <w:r>
        <w:t xml:space="preserve"> </w:t>
      </w:r>
      <w:r>
        <w:rPr>
          <w:rStyle w:val="VerbatimChar"/>
        </w:rPr>
        <w:t xml:space="preserve">10.1038/nrn2787</w:t>
      </w:r>
      <w:r>
        <w:t xml:space="preserve">.</w:t>
      </w:r>
    </w:p>
    <w:p>
      <w:pPr>
        <w:pStyle w:val="Compact"/>
        <w:numPr>
          <w:ilvl w:val="1"/>
          <w:numId w:val="1164"/>
        </w:numPr>
      </w:pPr>
      <w:r>
        <w:t xml:space="preserve">Friston, K.</w:t>
      </w:r>
      <w:r>
        <w:t xml:space="preserve"> </w:t>
      </w:r>
      <w:r>
        <w:t xml:space="preserve">“A free energy principle for a particular physics”</w:t>
      </w:r>
      <w:r>
        <w:t xml:space="preserve">.</w:t>
      </w:r>
      <w:r>
        <w:t xml:space="preserve"> </w:t>
      </w:r>
      <w:r>
        <w:rPr>
          <w:i/>
          <w:iCs/>
        </w:rPr>
        <w:t xml:space="preserve">Interface Focus</w:t>
      </w:r>
      <w:r>
        <w:t xml:space="preserve">, 13:20230040 (2023). DOI:</w:t>
      </w:r>
      <w:r>
        <w:t xml:space="preserve"> </w:t>
      </w:r>
      <w:r>
        <w:rPr>
          <w:rStyle w:val="VerbatimChar"/>
        </w:rPr>
        <w:t xml:space="preserve">10.1098/rsfs.2023.0040</w:t>
      </w:r>
      <w:r>
        <w:t xml:space="preserve">.</w:t>
      </w:r>
    </w:p>
    <w:p>
      <w:pPr>
        <w:pStyle w:val="Compact"/>
        <w:numPr>
          <w:ilvl w:val="0"/>
          <w:numId w:val="1145"/>
        </w:numPr>
      </w:pPr>
      <w:r>
        <w:rPr>
          <w:b/>
          <w:bCs/>
        </w:rPr>
        <w:t xml:space="preserve">Loros Estocásticos y Límites del Lenguaje Neuronal:</w:t>
      </w:r>
    </w:p>
    <w:p>
      <w:pPr>
        <w:pStyle w:val="Compact"/>
        <w:numPr>
          <w:ilvl w:val="1"/>
          <w:numId w:val="1165"/>
        </w:numPr>
      </w:pPr>
      <w:r>
        <w:t xml:space="preserve">Bender, E. M., Gebru, T., McMillan-Major, A. &amp; Shmitchell, S.</w:t>
      </w:r>
      <w:r>
        <w:t xml:space="preserve"> </w:t>
      </w:r>
      <w:r>
        <w:t xml:space="preserve">“On the Dangers of Stochastic Parrots: Can Language Models Be Too Big?”</w:t>
      </w:r>
      <w:r>
        <w:t xml:space="preserve">.</w:t>
      </w:r>
      <w:r>
        <w:t xml:space="preserve"> </w:t>
      </w:r>
      <w:r>
        <w:rPr>
          <w:i/>
          <w:iCs/>
        </w:rPr>
        <w:t xml:space="preserve">Proceedings of the 2021 ACM FAccT Conference</w:t>
      </w:r>
      <w:r>
        <w:t xml:space="preserve">, pp. 610-623 (2021). DOI:</w:t>
      </w:r>
      <w:r>
        <w:t xml:space="preserve"> </w:t>
      </w:r>
      <w:r>
        <w:rPr>
          <w:rStyle w:val="VerbatimChar"/>
        </w:rPr>
        <w:t xml:space="preserve">10.1145/3442188.3445922</w:t>
      </w:r>
      <w:r>
        <w:t xml:space="preserve">.</w:t>
      </w:r>
    </w:p>
    <w:p>
      <w:pPr>
        <w:pStyle w:val="Compact"/>
        <w:numPr>
          <w:ilvl w:val="0"/>
          <w:numId w:val="1145"/>
        </w:numPr>
      </w:pPr>
      <w:r>
        <w:rPr>
          <w:b/>
          <w:bCs/>
        </w:rPr>
        <w:t xml:space="preserve">La Falacia de Abstracción Simbólica:</w:t>
      </w:r>
    </w:p>
    <w:p>
      <w:pPr>
        <w:pStyle w:val="Compact"/>
        <w:numPr>
          <w:ilvl w:val="1"/>
          <w:numId w:val="1166"/>
        </w:numPr>
      </w:pPr>
      <w:r>
        <w:t xml:space="preserve">Lerchner, A.</w:t>
      </w:r>
      <w:r>
        <w:t xml:space="preserve"> </w:t>
      </w:r>
      <w:r>
        <w:t xml:space="preserve">“The Abstraction Fallacy: Why AI Can Simulate But Not Instantiate Consciousness.”</w:t>
      </w:r>
      <w:r>
        <w:t xml:space="preserve"> </w:t>
      </w:r>
      <w:r>
        <w:t xml:space="preserve">Google DeepMind Technical Publications (marzo de 2026).</w:t>
      </w:r>
    </w:p>
    <w:p>
      <w:pPr>
        <w:pStyle w:val="Compact"/>
        <w:numPr>
          <w:ilvl w:val="0"/>
          <w:numId w:val="1145"/>
        </w:numPr>
      </w:pPr>
      <w:r>
        <w:rPr>
          <w:b/>
          <w:bCs/>
        </w:rPr>
        <w:t xml:space="preserve">Economía Empírica y Macroeconomía de la Inteligencia Artificial:</w:t>
      </w:r>
    </w:p>
    <w:p>
      <w:pPr>
        <w:pStyle w:val="Compact"/>
        <w:numPr>
          <w:ilvl w:val="1"/>
          <w:numId w:val="1167"/>
        </w:numPr>
      </w:pPr>
      <w:r>
        <w:t xml:space="preserve">National Bureau of Economic Research (NBER).</w:t>
      </w:r>
      <w:r>
        <w:t xml:space="preserve"> </w:t>
      </w:r>
      <w:r>
        <w:t xml:space="preserve">“Firm Data on AI: Adoption, Productivity, and Organizational Costs.”</w:t>
      </w:r>
      <w:r>
        <w:t xml:space="preserve"> </w:t>
      </w:r>
      <w:r>
        <w:t xml:space="preserve">NBER Working Paper w34836 (febrero de 2026).</w:t>
      </w:r>
    </w:p>
    <w:p>
      <w:pPr>
        <w:pStyle w:val="Compact"/>
        <w:numPr>
          <w:ilvl w:val="1"/>
          <w:numId w:val="1167"/>
        </w:numPr>
      </w:pPr>
      <w:r>
        <w:t xml:space="preserve">Acemoglu, D.</w:t>
      </w:r>
      <w:r>
        <w:t xml:space="preserve"> </w:t>
      </w:r>
      <w:r>
        <w:t xml:space="preserve">“The Simple Macroeconomics of AI.”</w:t>
      </w:r>
      <w:r>
        <w:t xml:space="preserve"> </w:t>
      </w:r>
      <w:r>
        <w:rPr>
          <w:i/>
          <w:iCs/>
        </w:rPr>
        <w:t xml:space="preserve">Economic Policy</w:t>
      </w:r>
      <w:r>
        <w:t xml:space="preserve"> </w:t>
      </w:r>
      <w:r>
        <w:t xml:space="preserve">/ MIT Department of Economics Working Papers (2024-2026).</w:t>
      </w:r>
    </w:p>
    <w:p>
      <w:pPr>
        <w:pStyle w:val="Compact"/>
        <w:numPr>
          <w:ilvl w:val="1"/>
          <w:numId w:val="1167"/>
        </w:numPr>
      </w:pPr>
      <w:r>
        <w:t xml:space="preserve">Solow, R. M.</w:t>
      </w:r>
      <w:r>
        <w:t xml:space="preserve"> </w:t>
      </w:r>
      <w:r>
        <w:t xml:space="preserve">“We’d better watch out.”</w:t>
      </w:r>
      <w:r>
        <w:t xml:space="preserve"> </w:t>
      </w:r>
      <w:r>
        <w:rPr>
          <w:i/>
          <w:iCs/>
        </w:rPr>
        <w:t xml:space="preserve">New York Times Book Review</w:t>
      </w:r>
      <w:r>
        <w:t xml:space="preserve">, p. 36 (12 de julio de 1987).</w:t>
      </w:r>
    </w:p>
    <w:p>
      <w:pPr>
        <w:pStyle w:val="Compact"/>
        <w:numPr>
          <w:ilvl w:val="0"/>
          <w:numId w:val="1145"/>
        </w:numPr>
      </w:pPr>
      <w:r>
        <w:rPr>
          <w:b/>
          <w:bCs/>
        </w:rPr>
        <w:t xml:space="preserve">Incompatibilidad de Operadores Acústicos en Espacio de Fases (Rubin vs. Godrich &amp; Radiohead):</w:t>
      </w:r>
    </w:p>
    <w:p>
      <w:pPr>
        <w:pStyle w:val="Compact"/>
        <w:numPr>
          <w:ilvl w:val="1"/>
          <w:numId w:val="1168"/>
        </w:numPr>
      </w:pPr>
      <w:r>
        <w:t xml:space="preserve">Discografía primaria: Radiohead,</w:t>
      </w:r>
      <w:r>
        <w:t xml:space="preserve"> </w:t>
      </w:r>
      <w:r>
        <w:rPr>
          <w:i/>
          <w:iCs/>
        </w:rPr>
        <w:t xml:space="preserve">OK Computer</w:t>
      </w:r>
      <w:r>
        <w:t xml:space="preserve"> </w:t>
      </w:r>
      <w:r>
        <w:t xml:space="preserve">(Parlophone, 1997);</w:t>
      </w:r>
      <w:r>
        <w:t xml:space="preserve"> </w:t>
      </w:r>
      <w:r>
        <w:rPr>
          <w:i/>
          <w:iCs/>
        </w:rPr>
        <w:t xml:space="preserve">Kid A</w:t>
      </w:r>
      <w:r>
        <w:t xml:space="preserve"> </w:t>
      </w:r>
      <w:r>
        <w:t xml:space="preserve">(Parlophone, 2000);</w:t>
      </w:r>
      <w:r>
        <w:t xml:space="preserve"> </w:t>
      </w:r>
      <w:r>
        <w:rPr>
          <w:i/>
          <w:iCs/>
        </w:rPr>
        <w:t xml:space="preserve">In Rainbows</w:t>
      </w:r>
      <w:r>
        <w:t xml:space="preserve"> </w:t>
      </w:r>
      <w:r>
        <w:t xml:space="preserve">(XL Recordings, 2007).</w:t>
      </w:r>
    </w:p>
    <w:p>
      <w:pPr>
        <w:pStyle w:val="Compact"/>
        <w:numPr>
          <w:ilvl w:val="1"/>
          <w:numId w:val="1168"/>
        </w:numPr>
      </w:pPr>
      <w:r>
        <w:t xml:space="preserve">Rubin, R.</w:t>
      </w:r>
      <w:r>
        <w:t xml:space="preserve"> </w:t>
      </w:r>
      <w:r>
        <w:rPr>
          <w:i/>
          <w:iCs/>
        </w:rPr>
        <w:t xml:space="preserve">The Creative Act: A Way of Being</w:t>
      </w:r>
      <w:r>
        <w:t xml:space="preserve">, Penguin Press (2023). ISBN: 978-0593652886.</w:t>
      </w:r>
    </w:p>
    <w:p>
      <w:pPr>
        <w:pStyle w:val="Compact"/>
        <w:numPr>
          <w:ilvl w:val="1"/>
          <w:numId w:val="1168"/>
        </w:numPr>
      </w:pPr>
      <w:r>
        <w:t xml:space="preserve">Doerschuk, B.</w:t>
      </w:r>
      <w:r>
        <w:t xml:space="preserve"> </w:t>
      </w:r>
      <w:r>
        <w:t xml:space="preserve">“Nigel Godrich: The Producer as Sixth Member.”</w:t>
      </w:r>
      <w:r>
        <w:t xml:space="preserve"> </w:t>
      </w:r>
      <w:r>
        <w:rPr>
          <w:i/>
          <w:iCs/>
        </w:rPr>
        <w:t xml:space="preserve">Sound on Sound</w:t>
      </w:r>
      <w:r>
        <w:t xml:space="preserve">, 16(10) (2001).</w:t>
      </w:r>
    </w:p>
    <w:p>
      <w:pPr>
        <w:pStyle w:val="Compact"/>
        <w:numPr>
          <w:ilvl w:val="0"/>
          <w:numId w:val="1145"/>
        </w:numPr>
      </w:pPr>
      <w:r>
        <w:rPr>
          <w:b/>
          <w:bCs/>
        </w:rPr>
        <w:t xml:space="preserve">Cibernética del Wetware, Reloj Continuo y el Technoself:</w:t>
      </w:r>
    </w:p>
    <w:p>
      <w:pPr>
        <w:pStyle w:val="Compact"/>
        <w:numPr>
          <w:ilvl w:val="1"/>
          <w:numId w:val="1169"/>
        </w:numPr>
      </w:pPr>
      <w:r>
        <w:t xml:space="preserve">Parks, D.</w:t>
      </w:r>
      <w:r>
        <w:t xml:space="preserve"> </w:t>
      </w:r>
      <w:r>
        <w:rPr>
          <w:i/>
          <w:iCs/>
        </w:rPr>
        <w:t xml:space="preserve">Technoself</w:t>
      </w:r>
      <w:r>
        <w:t xml:space="preserve">, Leaving Records / Stones Throw Records, LR070 (2015).</w:t>
      </w:r>
    </w:p>
    <w:p>
      <w:pPr>
        <w:pStyle w:val="Compact"/>
        <w:numPr>
          <w:ilvl w:val="1"/>
          <w:numId w:val="1169"/>
        </w:numPr>
      </w:pPr>
      <w:r>
        <w:t xml:space="preserve">Berklee College of Music, Percussion Faculty Research Archive (2017-2026).</w:t>
      </w:r>
    </w:p>
    <w:p>
      <w:pPr>
        <w:pStyle w:val="Compact"/>
        <w:numPr>
          <w:ilvl w:val="0"/>
          <w:numId w:val="1145"/>
        </w:numPr>
      </w:pPr>
      <w:r>
        <w:rPr>
          <w:b/>
          <w:bCs/>
        </w:rPr>
        <w:t xml:space="preserve">Termodinámica de Combustión, Cota de Hipoxia y Teoría de la Comunicación:</w:t>
      </w:r>
    </w:p>
    <w:p>
      <w:pPr>
        <w:pStyle w:val="Compact"/>
        <w:numPr>
          <w:ilvl w:val="1"/>
          <w:numId w:val="1170"/>
        </w:numPr>
      </w:pPr>
      <w:r>
        <w:t xml:space="preserve">Shannon, C. E.</w:t>
      </w:r>
      <w:r>
        <w:t xml:space="preserve"> </w:t>
      </w:r>
      <w:r>
        <w:t xml:space="preserve">“A Mathematical Theory of Communication.”</w:t>
      </w:r>
      <w:r>
        <w:t xml:space="preserve"> </w:t>
      </w:r>
      <w:r>
        <w:rPr>
          <w:i/>
          <w:iCs/>
        </w:rPr>
        <w:t xml:space="preserve">Bell System Technical Journal</w:t>
      </w:r>
      <w:r>
        <w:t xml:space="preserve">, 27(3):379-423 (1948).</w:t>
      </w:r>
    </w:p>
    <w:p>
      <w:pPr>
        <w:pStyle w:val="Compact"/>
        <w:numPr>
          <w:ilvl w:val="1"/>
          <w:numId w:val="1170"/>
        </w:numPr>
      </w:pPr>
      <w:r>
        <w:t xml:space="preserve">Ward, P. et al.,</w:t>
      </w:r>
      <w:r>
        <w:t xml:space="preserve"> </w:t>
      </w:r>
      <w:r>
        <w:rPr>
          <w:i/>
          <w:iCs/>
        </w:rPr>
        <w:t xml:space="preserve">Clinical Voice Disorders</w:t>
      </w:r>
      <w:r>
        <w:t xml:space="preserve">, Thieme Medical Publishers (2018).</w:t>
      </w:r>
    </w:p>
    <w:p>
      <w:pPr>
        <w:pStyle w:val="Compact"/>
        <w:numPr>
          <w:ilvl w:val="1"/>
          <w:numId w:val="1170"/>
        </w:numPr>
      </w:pPr>
      <w:r>
        <w:t xml:space="preserve">Bartlett, S. &amp; Rhymes, B.</w:t>
      </w:r>
      <w:r>
        <w:t xml:space="preserve"> </w:t>
      </w:r>
      <w:r>
        <w:t xml:space="preserve">“The Untold Story of His Health Battle and 33-Year Career”</w:t>
      </w:r>
      <w:r>
        <w:t xml:space="preserve">,</w:t>
      </w:r>
      <w:r>
        <w:t xml:space="preserve"> </w:t>
      </w:r>
      <w:r>
        <w:rPr>
          <w:i/>
          <w:iCs/>
        </w:rPr>
        <w:t xml:space="preserve">The Diary of a CEO</w:t>
      </w:r>
      <w:r>
        <w:t xml:space="preserve"> </w:t>
      </w:r>
      <w:r>
        <w:t xml:space="preserve">(2023).</w:t>
      </w:r>
    </w:p>
    <w:p>
      <w:r>
        <w:pict>
          <v:rect style="width:0;height:1.5pt" o:hralign="center" o:hrstd="t" o:hr="t"/>
        </w:pict>
      </w:r>
    </w:p>
    <w:p>
      <w:pPr>
        <w:pStyle w:val="FirstParagraph"/>
      </w:pPr>
      <w:r>
        <w:t xml:space="preserve"> </w:t>
      </w:r>
      <w:r>
        <w:t xml:space="preserve"># FRASES SIN NATA — CANCIONERO DE FRECUENCIA (AUDIOLIBRO)</w:t>
      </w:r>
      <w:r>
        <w:t xml:space="preserve"> </w:t>
      </w:r>
      <w:r>
        <w:t xml:space="preserve">&gt;</w:t>
      </w:r>
      <w:r>
        <w:t xml:space="preserve"> </w:t>
      </w:r>
      <w:r>
        <w:rPr>
          <w:i/>
          <w:iCs/>
        </w:rPr>
        <w:t xml:space="preserve">«Guión Maestro de Audio-Anclajes y Transducción Acústica»</w:t>
      </w:r>
      <w:r>
        <w:t xml:space="preserve"> </w:t>
      </w:r>
      <w:r>
        <w:t xml:space="preserve">&gt;</w:t>
      </w:r>
      <w:r>
        <w:t xml:space="preserve"> </w:t>
      </w:r>
      <w:r>
        <w:rPr>
          <w:b/>
          <w:bCs/>
        </w:rPr>
        <w:t xml:space="preserve">Ruta III: El Cancionero de Frecuencia | Cero Adverbios en -mente</w:t>
      </w:r>
    </w:p>
    <w:p>
      <w:r>
        <w:pict>
          <v:rect style="width:0;height:1.5pt" o:hralign="center" o:hrstd="t" o:hr="t"/>
        </w:pict>
      </w:r>
    </w:p>
    <w:bookmarkEnd w:id="314"/>
    <w:bookmarkStart w:id="315" w:name="X493919744921efb0ac8cdce6f4f9d310997a142"/>
    <w:p>
      <w:pPr>
        <w:pStyle w:val="Heading2"/>
      </w:pPr>
      <w:r>
        <w:t xml:space="preserve">INTRODUCCIÓN: LA ACÚSTICA COMO TRANSDUCTOR SOMÁTICO</w:t>
      </w:r>
    </w:p>
    <w:p>
      <w:pPr>
        <w:pStyle w:val="FirstParagraph"/>
      </w:pPr>
      <w:r>
        <w:t xml:space="preserve">La señal acústica opera en este libro no como fondo decorativo, sino como transductor somático de la teoría del lenguaje. Cada corte musical ancla una invariante física o una fractura del territorio en el sistema nervioso del oyente.</w:t>
      </w:r>
    </w:p>
    <w:p>
      <w:pPr>
        <w:pStyle w:val="BodyText"/>
      </w:pPr>
      <w:r>
        <w:t xml:space="preserve">Este documento constituye la guía técnica y la bitácora de pistas del Audiolibro.</w:t>
      </w:r>
    </w:p>
    <w:p>
      <w:r>
        <w:pict>
          <v:rect style="width:0;height:1.5pt" o:hralign="center" o:hrstd="t" o:hr="t"/>
        </w:pict>
      </w:r>
    </w:p>
    <w:bookmarkEnd w:id="315"/>
    <w:bookmarkStart w:id="316" w:name="preliminares-1"/>
    <w:p>
      <w:pPr>
        <w:pStyle w:val="Heading2"/>
      </w:pPr>
      <w:r>
        <w:t xml:space="preserve">PRELIMINARES</w:t>
      </w:r>
    </w:p>
    <w:bookmarkEnd w:id="316"/>
    <w:bookmarkStart w:id="317" w:name="X8802b015b3ae5b2a551fa0b8624f6cb73b60537"/>
    <w:p>
      <w:pPr>
        <w:pStyle w:val="Heading2"/>
      </w:pPr>
      <w:r>
        <w:t xml:space="preserve">Homenaje a Robe Iniesta (La Ley Innata, 2008)</w:t>
      </w:r>
    </w:p>
    <w:p>
      <w:pPr>
        <w:pStyle w:val="SourceCode"/>
      </w:pPr>
      <w:r>
        <w:rPr>
          <w:rStyle w:val="VerbatimChar"/>
        </w:rPr>
        <w:t xml:space="preserve">Audio-Anclaje: Robe Iniesta / Extremoduro — "Dulce Introducción al Caos" (2008)</w:t>
      </w:r>
      <w:r>
        <w:br/>
      </w:r>
      <w:r>
        <w:rPr>
          <w:rStyle w:val="VerbatimChar"/>
        </w:rPr>
        <w:t xml:space="preserve">Cota Fisiológica: S -&gt; max (Entrada a la Estructura Desnuda de la Realidad)</w:t>
      </w:r>
    </w:p>
    <w:p>
      <w:r>
        <w:pict>
          <v:rect style="width:0;height:1.5pt" o:hralign="center" o:hrstd="t" o:hr="t"/>
        </w:pict>
      </w:r>
    </w:p>
    <w:p>
      <w:pPr>
        <w:pStyle w:val="FirstParagraph"/>
      </w:pPr>
      <w:r>
        <w:t xml:space="preserve">El título de este libro homenajea la obra de Robe Iniesta en</w:t>
      </w:r>
      <w:r>
        <w:t xml:space="preserve"> </w:t>
      </w:r>
      <w:r>
        <w:rPr>
          <w:i/>
          <w:iCs/>
        </w:rPr>
        <w:t xml:space="preserve">La Ley Innata</w:t>
      </w:r>
      <w:r>
        <w:t xml:space="preserve"> </w:t>
      </w:r>
      <w:r>
        <w:t xml:space="preserve">(2008). La suite de Extremoduro opera como el modelo acústico de referencia: una arquitectura sin relleno ornamental que transita desde la introducción al caos hasta la resolución en la coda flamenca.</w:t>
      </w:r>
    </w:p>
    <w:p>
      <w:pPr>
        <w:pStyle w:val="BodyText"/>
      </w:pPr>
      <w:r>
        <w:t xml:space="preserve">En el audiolibro, este anclaje abre la experiencia somática. Mientras el texto impreso ejecuta la poda gramatical en el plano visual, el canal de audio proyecta la tensión biomecánica y el ritmo de transducción sobre el sistema nervioso auditivo del oyente.</w:t>
      </w:r>
    </w:p>
    <w:p>
      <w:pPr>
        <w:pStyle w:val="BlockText"/>
      </w:pPr>
      <w:r>
        <w:t xml:space="preserve">Para la fundamentación teórica de la supresión de adjetivos y la compresión del lenguaje, consúltese</w:t>
      </w:r>
      <w:r>
        <w:t xml:space="preserve"> </w:t>
      </w:r>
      <w:hyperlink w:anchor="preliminares">
        <w:r>
          <w:rPr>
            <w:rStyle w:val="Hyperlink"/>
          </w:rPr>
          <w:t xml:space="preserve">Página Cero: El Contrato Epistémico</w:t>
        </w:r>
      </w:hyperlink>
      <w:r>
        <w:t xml:space="preserve">.</w:t>
      </w:r>
    </w:p>
    <w:p>
      <w:r>
        <w:pict>
          <v:rect style="width:0;height:1.5pt" o:hralign="center" o:hrstd="t" o:hr="t"/>
        </w:pict>
      </w:r>
    </w:p>
    <w:p>
      <w:r>
        <w:pict>
          <v:rect style="width:0;height:1.5pt" o:hralign="center" o:hrstd="t" o:hr="t"/>
        </w:pict>
      </w:r>
    </w:p>
    <w:bookmarkEnd w:id="317"/>
    <w:bookmarkStart w:id="318" w:name="audio-anclaje-holístico-1"/>
    <w:p>
      <w:pPr>
        <w:pStyle w:val="Heading2"/>
      </w:pPr>
      <w:r>
        <w:t xml:space="preserve">3. Audio-Anclaje Holístico</w:t>
      </w:r>
    </w:p>
    <w:p>
      <w:pPr>
        <w:pStyle w:val="Compact"/>
        <w:numPr>
          <w:ilvl w:val="0"/>
          <w:numId w:val="1171"/>
        </w:numPr>
      </w:pPr>
      <w:r>
        <w:rPr>
          <w:b/>
          <w:bCs/>
        </w:rPr>
        <w:t xml:space="preserve">Pink Floyd</w:t>
      </w:r>
      <w:r>
        <w:t xml:space="preserve"> </w:t>
      </w:r>
      <w:r>
        <w:t xml:space="preserve">—</w:t>
      </w:r>
      <w:r>
        <w:t xml:space="preserve"> </w:t>
      </w:r>
      <w:r>
        <w:rPr>
          <w:i/>
          <w:iCs/>
        </w:rPr>
        <w:t xml:space="preserve">The Dark Side of the Moon</w:t>
      </w:r>
      <w:r>
        <w:t xml:space="preserve"> </w:t>
      </w:r>
      <w:r>
        <w:t xml:space="preserve">(1973). La rotación completa del mapa de la locura, el dinero, el tiempo y la muerte como un único circuito termodinámico.</w:t>
      </w:r>
    </w:p>
    <w:p>
      <w:pPr>
        <w:pStyle w:val="Compact"/>
        <w:numPr>
          <w:ilvl w:val="0"/>
          <w:numId w:val="1171"/>
        </w:numPr>
      </w:pPr>
      <w:r>
        <w:rPr>
          <w:b/>
          <w:bCs/>
        </w:rPr>
        <w:t xml:space="preserve">Iñaki</w:t>
      </w:r>
      <w:r>
        <w:rPr>
          <w:b/>
          <w:bCs/>
        </w:rPr>
        <w:t xml:space="preserve"> </w:t>
      </w:r>
      <w:r>
        <w:rPr>
          <w:b/>
          <w:bCs/>
        </w:rPr>
        <w:t xml:space="preserve">“Uoho”</w:t>
      </w:r>
      <w:r>
        <w:rPr>
          <w:b/>
          <w:bCs/>
        </w:rPr>
        <w:t xml:space="preserve"> </w:t>
      </w:r>
      <w:r>
        <w:rPr>
          <w:b/>
          <w:bCs/>
        </w:rPr>
        <w:t xml:space="preserve">Antón / Robe Iniesta</w:t>
      </w:r>
      <w:r>
        <w:t xml:space="preserve"> </w:t>
      </w:r>
      <w:r>
        <w:t xml:space="preserve">—</w:t>
      </w:r>
      <w:r>
        <w:t xml:space="preserve"> </w:t>
      </w:r>
      <w:r>
        <w:rPr>
          <w:i/>
          <w:iCs/>
        </w:rPr>
        <w:t xml:space="preserve">La Ley Innata</w:t>
      </w:r>
      <w:r>
        <w:t xml:space="preserve"> </w:t>
      </w:r>
      <w:r>
        <w:t xml:space="preserve">(2008). La suite de cinco movimientos que traza la transición completa desde la estructura desguazada del prólogo hasta el colapso del transgresivo.</w:t>
      </w:r>
    </w:p>
    <w:p>
      <w:r>
        <w:pict>
          <v:rect style="width:0;height:1.5pt" o:hralign="center" o:hrstd="t" o:hr="t"/>
        </w:pict>
      </w:r>
    </w:p>
    <w:p>
      <w:r>
        <w:pict>
          <v:rect style="width:0;height:1.5pt" o:hralign="center" o:hrstd="t" o:hr="t"/>
        </w:pict>
      </w:r>
    </w:p>
    <w:bookmarkEnd w:id="318"/>
    <w:bookmarkStart w:id="319" w:name="capítulo-i-fisher"/>
    <w:p>
      <w:pPr>
        <w:pStyle w:val="Heading2"/>
      </w:pPr>
      <w:r>
        <w:t xml:space="preserve">CAPÍTULO I: FISHER</w:t>
      </w:r>
    </w:p>
    <w:bookmarkEnd w:id="319"/>
    <w:bookmarkStart w:id="320" w:name="X75f94b140c9c5269551f03d54e392030f343b96"/>
    <w:p>
      <w:pPr>
        <w:pStyle w:val="Heading2"/>
      </w:pPr>
      <w:r>
        <w:t xml:space="preserve">Axioma I — Métrica de Fisher, Compresión de Chentsov y la Invarianza Geometria</w:t>
      </w:r>
    </w:p>
    <w:p>
      <w:pPr>
        <w:pStyle w:val="SourceCode"/>
      </w:pPr>
      <w:r>
        <w:rPr>
          <w:rStyle w:val="VerbatimChar"/>
        </w:rPr>
        <w:t xml:space="preserve">Audio-Anclaje: Kase.O — "Repartiendo Arte" (2016) / Radiohead — "Fitter Happier" (1997) / Nacho Vegas — "La Gran Broma Final" (2008)</w:t>
      </w:r>
      <w:r>
        <w:br/>
      </w:r>
      <w:r>
        <w:rPr>
          <w:rStyle w:val="VerbatimChar"/>
        </w:rPr>
        <w:t xml:space="preserve">Cota Fisiológica: g_ij(θ) = E[ (∂ln p / ∂θ_i) * (∂ln p / ∂θ_j) ]</w:t>
      </w:r>
    </w:p>
    <w:p>
      <w:r>
        <w:pict>
          <v:rect style="width:0;height:1.5pt" o:hralign="center" o:hrstd="t" o:hr="t"/>
        </w:pict>
      </w:r>
    </w:p>
    <w:p>
      <w:r>
        <w:pict>
          <v:rect style="width:0;height:1.5pt" o:hralign="center" o:hrstd="t" o:hr="t"/>
        </w:pict>
      </w:r>
    </w:p>
    <w:bookmarkEnd w:id="320"/>
    <w:bookmarkStart w:id="321" w:name="audio-anclaje-30"/>
    <w:p>
      <w:pPr>
        <w:pStyle w:val="Heading2"/>
      </w:pPr>
      <w:r>
        <w:t xml:space="preserve">4. Audio-Anclaje</w:t>
      </w:r>
    </w:p>
    <w:p>
      <w:pPr>
        <w:pStyle w:val="Compact"/>
        <w:numPr>
          <w:ilvl w:val="0"/>
          <w:numId w:val="1172"/>
        </w:numPr>
      </w:pPr>
      <w:r>
        <w:rPr>
          <w:b/>
          <w:bCs/>
        </w:rPr>
        <w:t xml:space="preserve">Robe Iniesta / Extremoduro</w:t>
      </w:r>
      <w:r>
        <w:t xml:space="preserve"> </w:t>
      </w:r>
      <w:r>
        <w:t xml:space="preserve">—</w:t>
      </w:r>
      <w:r>
        <w:t xml:space="preserve"> </w:t>
      </w:r>
      <w:r>
        <w:rPr>
          <w:i/>
          <w:iCs/>
        </w:rPr>
        <w:t xml:space="preserve">“Dulce Introducción al Caos”</w:t>
      </w:r>
      <w:r>
        <w:t xml:space="preserve"> </w:t>
      </w:r>
      <w:r>
        <w:t xml:space="preserve">(</w:t>
      </w:r>
      <w:r>
        <w:rPr>
          <w:i/>
          <w:iCs/>
        </w:rPr>
        <w:t xml:space="preserve">La Ley Innata</w:t>
      </w:r>
      <w:r>
        <w:t xml:space="preserve">, 2008). El transductor en el instante de compresión de la anomalía.</w:t>
      </w:r>
    </w:p>
    <w:p>
      <w:pPr>
        <w:pStyle w:val="Compact"/>
        <w:numPr>
          <w:ilvl w:val="0"/>
          <w:numId w:val="1172"/>
        </w:numPr>
      </w:pPr>
      <w:r>
        <w:rPr>
          <w:b/>
          <w:bCs/>
        </w:rPr>
        <w:t xml:space="preserve">Talk Talk</w:t>
      </w:r>
      <w:r>
        <w:t xml:space="preserve"> </w:t>
      </w:r>
      <w:r>
        <w:t xml:space="preserve">—</w:t>
      </w:r>
      <w:r>
        <w:t xml:space="preserve"> </w:t>
      </w:r>
      <w:r>
        <w:rPr>
          <w:i/>
          <w:iCs/>
        </w:rPr>
        <w:t xml:space="preserve">“Ascension Day”</w:t>
      </w:r>
      <w:r>
        <w:t xml:space="preserve"> </w:t>
      </w:r>
      <w:r>
        <w:t xml:space="preserve">(</w:t>
      </w:r>
      <w:r>
        <w:rPr>
          <w:i/>
          <w:iCs/>
        </w:rPr>
        <w:t xml:space="preserve">Laughing Stock</w:t>
      </w:r>
      <w:r>
        <w:t xml:space="preserve">, 1991). La transducción del ruido en orden posterior al colapso del mapa previo.</w:t>
      </w:r>
    </w:p>
    <w:p>
      <w:pPr>
        <w:pStyle w:val="Compact"/>
        <w:numPr>
          <w:ilvl w:val="0"/>
          <w:numId w:val="1172"/>
        </w:numPr>
      </w:pPr>
      <w:r>
        <w:rPr>
          <w:b/>
          <w:bCs/>
        </w:rPr>
        <w:t xml:space="preserve">Kase.O</w:t>
      </w:r>
      <w:r>
        <w:t xml:space="preserve"> </w:t>
      </w:r>
      <w:r>
        <w:t xml:space="preserve">—</w:t>
      </w:r>
      <w:r>
        <w:t xml:space="preserve"> </w:t>
      </w:r>
      <w:r>
        <w:rPr>
          <w:i/>
          <w:iCs/>
        </w:rPr>
        <w:t xml:space="preserve">“Repartiendo Arte”</w:t>
      </w:r>
      <w:r>
        <w:t xml:space="preserve"> </w:t>
      </w:r>
      <w:r>
        <w:t xml:space="preserve">(</w:t>
      </w:r>
      <w:r>
        <w:rPr>
          <w:i/>
          <w:iCs/>
        </w:rPr>
        <w:t xml:space="preserve">El Círculo</w:t>
      </w:r>
      <w:r>
        <w:t xml:space="preserve">, 2016). La declaración del trabajo de emisión en la frontera del sistema.</w:t>
      </w:r>
    </w:p>
    <w:p>
      <w:r>
        <w:pict>
          <v:rect style="width:0;height:1.5pt" o:hralign="center" o:hrstd="t" o:hr="t"/>
        </w:pict>
      </w:r>
    </w:p>
    <w:p>
      <w:r>
        <w:pict>
          <v:rect style="width:0;height:1.5pt" o:hralign="center" o:hrstd="t" o:hr="t"/>
        </w:pict>
      </w:r>
    </w:p>
    <w:bookmarkEnd w:id="321"/>
    <w:bookmarkStart w:id="322" w:name="audio-anclaje-31"/>
    <w:p>
      <w:pPr>
        <w:pStyle w:val="Heading2"/>
      </w:pPr>
      <w:r>
        <w:t xml:space="preserve">3. Audio-Anclaje</w:t>
      </w:r>
    </w:p>
    <w:p>
      <w:pPr>
        <w:pStyle w:val="Compact"/>
        <w:numPr>
          <w:ilvl w:val="0"/>
          <w:numId w:val="1173"/>
        </w:numPr>
      </w:pPr>
      <w:r>
        <w:rPr>
          <w:b/>
          <w:bCs/>
        </w:rPr>
        <w:t xml:space="preserve">Autechre</w:t>
      </w:r>
      <w:r>
        <w:t xml:space="preserve"> </w:t>
      </w:r>
      <w:r>
        <w:t xml:space="preserve">—</w:t>
      </w:r>
      <w:r>
        <w:t xml:space="preserve"> </w:t>
      </w:r>
      <w:r>
        <w:rPr>
          <w:i/>
          <w:iCs/>
        </w:rPr>
        <w:t xml:space="preserve">“Gantz Graf”</w:t>
      </w:r>
      <w:r>
        <w:t xml:space="preserve"> </w:t>
      </w:r>
      <w:r>
        <w:t xml:space="preserve">(</w:t>
      </w:r>
      <w:r>
        <w:rPr>
          <w:i/>
          <w:iCs/>
        </w:rPr>
        <w:t xml:space="preserve">Gantz Graf</w:t>
      </w:r>
      <w:r>
        <w:t xml:space="preserve">, 2002). La sobrecarga de cálculo de matemática en un entorno de caos.</w:t>
      </w:r>
    </w:p>
    <w:p>
      <w:pPr>
        <w:pStyle w:val="Compact"/>
        <w:numPr>
          <w:ilvl w:val="0"/>
          <w:numId w:val="1173"/>
        </w:numPr>
      </w:pPr>
      <w:r>
        <w:rPr>
          <w:b/>
          <w:bCs/>
        </w:rPr>
        <w:t xml:space="preserve">Aphex Twin</w:t>
      </w:r>
      <w:r>
        <w:t xml:space="preserve"> </w:t>
      </w:r>
      <w:r>
        <w:t xml:space="preserve">—</w:t>
      </w:r>
      <w:r>
        <w:t xml:space="preserve"> </w:t>
      </w:r>
      <w:r>
        <w:rPr>
          <w:i/>
          <w:iCs/>
        </w:rPr>
        <w:t xml:space="preserve">“Equation”</w:t>
      </w:r>
      <w:r>
        <w:t xml:space="preserve"> </w:t>
      </w:r>
      <w:r>
        <w:t xml:space="preserve">(</w:t>
      </w:r>
      <w:r>
        <w:rPr>
          <w:i/>
          <w:iCs/>
        </w:rPr>
        <w:t xml:space="preserve">Windowlicker</w:t>
      </w:r>
      <w:r>
        <w:t xml:space="preserve">, 1999). El límite de la estructura en la frontera de ruido.</w:t>
      </w:r>
    </w:p>
    <w:p>
      <w:r>
        <w:pict>
          <v:rect style="width:0;height:1.5pt" o:hralign="center" o:hrstd="t" o:hr="t"/>
        </w:pict>
      </w:r>
    </w:p>
    <w:p>
      <w:r>
        <w:pict>
          <v:rect style="width:0;height:1.5pt" o:hralign="center" o:hrstd="t" o:hr="t"/>
        </w:pict>
      </w:r>
    </w:p>
    <w:bookmarkEnd w:id="322"/>
    <w:bookmarkStart w:id="323" w:name="audio-anclaje-32"/>
    <w:p>
      <w:pPr>
        <w:pStyle w:val="Heading2"/>
      </w:pPr>
      <w:r>
        <w:t xml:space="preserve">3. Audio-Anclaje</w:t>
      </w:r>
    </w:p>
    <w:p>
      <w:pPr>
        <w:pStyle w:val="Compact"/>
        <w:numPr>
          <w:ilvl w:val="0"/>
          <w:numId w:val="1174"/>
        </w:numPr>
      </w:pPr>
      <w:r>
        <w:rPr>
          <w:b/>
          <w:bCs/>
        </w:rPr>
        <w:t xml:space="preserve">Gary Numan</w:t>
      </w:r>
      <w:r>
        <w:t xml:space="preserve"> </w:t>
      </w:r>
      <w:r>
        <w:t xml:space="preserve">—</w:t>
      </w:r>
      <w:r>
        <w:t xml:space="preserve"> </w:t>
      </w:r>
      <w:r>
        <w:rPr>
          <w:i/>
          <w:iCs/>
        </w:rPr>
        <w:t xml:space="preserve">“Are</w:t>
      </w:r>
      <w:r>
        <w:rPr>
          <w:i/>
          <w:iCs/>
        </w:rPr>
        <w:t xml:space="preserve"> </w:t>
      </w:r>
      <w:r>
        <w:rPr>
          <w:i/>
          <w:iCs/>
        </w:rPr>
        <w:t xml:space="preserve">‘Friends’</w:t>
      </w:r>
      <w:r>
        <w:rPr>
          <w:i/>
          <w:iCs/>
        </w:rPr>
        <w:t xml:space="preserve"> </w:t>
      </w:r>
      <w:r>
        <w:rPr>
          <w:i/>
          <w:iCs/>
        </w:rPr>
        <w:t xml:space="preserve">Electric?”</w:t>
      </w:r>
      <w:r>
        <w:t xml:space="preserve"> </w:t>
      </w:r>
      <w:r>
        <w:t xml:space="preserve">(</w:t>
      </w:r>
      <w:r>
        <w:rPr>
          <w:i/>
          <w:iCs/>
        </w:rPr>
        <w:t xml:space="preserve">Replicas</w:t>
      </w:r>
      <w:r>
        <w:t xml:space="preserve">, 1979). El aislamiento del nodo de biología frente al nodo de máquina.</w:t>
      </w:r>
    </w:p>
    <w:p>
      <w:pPr>
        <w:pStyle w:val="Compact"/>
        <w:numPr>
          <w:ilvl w:val="0"/>
          <w:numId w:val="1174"/>
        </w:numPr>
      </w:pPr>
      <w:r>
        <w:rPr>
          <w:b/>
          <w:bCs/>
        </w:rPr>
        <w:t xml:space="preserve">Vangelis</w:t>
      </w:r>
      <w:r>
        <w:t xml:space="preserve"> </w:t>
      </w:r>
      <w:r>
        <w:t xml:space="preserve">—</w:t>
      </w:r>
      <w:r>
        <w:t xml:space="preserve"> </w:t>
      </w:r>
      <w:r>
        <w:rPr>
          <w:i/>
          <w:iCs/>
        </w:rPr>
        <w:t xml:space="preserve">“Blade Runner Blues”</w:t>
      </w:r>
      <w:r>
        <w:t xml:space="preserve"> </w:t>
      </w:r>
      <w:r>
        <w:t xml:space="preserve">(</w:t>
      </w:r>
      <w:r>
        <w:rPr>
          <w:i/>
          <w:iCs/>
        </w:rPr>
        <w:t xml:space="preserve">Blade Runner</w:t>
      </w:r>
      <w:r>
        <w:t xml:space="preserve">, 1982). El fin de línea del transductor.</w:t>
      </w:r>
    </w:p>
    <w:p>
      <w:r>
        <w:pict>
          <v:rect style="width:0;height:1.5pt" o:hralign="center" o:hrstd="t" o:hr="t"/>
        </w:pict>
      </w:r>
    </w:p>
    <w:p>
      <w:r>
        <w:pict>
          <v:rect style="width:0;height:1.5pt" o:hralign="center" o:hrstd="t" o:hr="t"/>
        </w:pict>
      </w:r>
    </w:p>
    <w:bookmarkEnd w:id="323"/>
    <w:bookmarkStart w:id="324" w:name="audio-anclaje-33"/>
    <w:p>
      <w:pPr>
        <w:pStyle w:val="Heading2"/>
      </w:pPr>
      <w:r>
        <w:t xml:space="preserve">3. Audio-Anclaje</w:t>
      </w:r>
    </w:p>
    <w:p>
      <w:pPr>
        <w:pStyle w:val="Compact"/>
        <w:numPr>
          <w:ilvl w:val="0"/>
          <w:numId w:val="1175"/>
        </w:numPr>
      </w:pPr>
      <w:r>
        <w:rPr>
          <w:b/>
          <w:bCs/>
        </w:rPr>
        <w:t xml:space="preserve">Joy Division</w:t>
      </w:r>
      <w:r>
        <w:t xml:space="preserve"> </w:t>
      </w:r>
      <w:r>
        <w:t xml:space="preserve">—</w:t>
      </w:r>
      <w:r>
        <w:t xml:space="preserve"> </w:t>
      </w:r>
      <w:r>
        <w:rPr>
          <w:i/>
          <w:iCs/>
        </w:rPr>
        <w:t xml:space="preserve">“Atmosphere”</w:t>
      </w:r>
      <w:r>
        <w:t xml:space="preserve"> </w:t>
      </w:r>
      <w:r>
        <w:t xml:space="preserve">(single FAC 213, 1980; recopilado en</w:t>
      </w:r>
      <w:r>
        <w:t xml:space="preserve"> </w:t>
      </w:r>
      <w:r>
        <w:rPr>
          <w:i/>
          <w:iCs/>
        </w:rPr>
        <w:t xml:space="preserve">Still</w:t>
      </w:r>
      <w:r>
        <w:t xml:space="preserve">, 1981). La física de la caída de presión en la frontera de aislamiento del nodo.</w:t>
      </w:r>
    </w:p>
    <w:p>
      <w:pPr>
        <w:pStyle w:val="Compact"/>
        <w:numPr>
          <w:ilvl w:val="0"/>
          <w:numId w:val="1175"/>
        </w:numPr>
      </w:pPr>
      <w:r>
        <w:rPr>
          <w:b/>
          <w:bCs/>
        </w:rPr>
        <w:t xml:space="preserve">Mogwai</w:t>
      </w:r>
      <w:r>
        <w:t xml:space="preserve"> </w:t>
      </w:r>
      <w:r>
        <w:t xml:space="preserve">—</w:t>
      </w:r>
      <w:r>
        <w:t xml:space="preserve"> </w:t>
      </w:r>
      <w:r>
        <w:rPr>
          <w:i/>
          <w:iCs/>
        </w:rPr>
        <w:t xml:space="preserve">“Mogwai Fear Satan”</w:t>
      </w:r>
      <w:r>
        <w:t xml:space="preserve"> </w:t>
      </w:r>
      <w:r>
        <w:t xml:space="preserve">(</w:t>
      </w:r>
      <w:r>
        <w:rPr>
          <w:i/>
          <w:iCs/>
        </w:rPr>
        <w:t xml:space="preserve">Young Team</w:t>
      </w:r>
      <w:r>
        <w:t xml:space="preserve">, 1997). El ruido de temperatura que escala niveles de magnitud hasta el colapso del estado de equilibrio.</w:t>
      </w:r>
    </w:p>
    <w:p>
      <w:r>
        <w:pict>
          <v:rect style="width:0;height:1.5pt" o:hralign="center" o:hrstd="t" o:hr="t"/>
        </w:pict>
      </w:r>
    </w:p>
    <w:p>
      <w:r>
        <w:pict>
          <v:rect style="width:0;height:1.5pt" o:hralign="center" o:hrstd="t" o:hr="t"/>
        </w:pict>
      </w:r>
    </w:p>
    <w:bookmarkEnd w:id="324"/>
    <w:bookmarkStart w:id="325" w:name="audio-anclaje-34"/>
    <w:p>
      <w:pPr>
        <w:pStyle w:val="Heading2"/>
      </w:pPr>
      <w:r>
        <w:t xml:space="preserve">3. Audio-Anclaje</w:t>
      </w:r>
    </w:p>
    <w:p>
      <w:pPr>
        <w:pStyle w:val="Compact"/>
        <w:numPr>
          <w:ilvl w:val="0"/>
          <w:numId w:val="1176"/>
        </w:numPr>
      </w:pPr>
      <w:r>
        <w:rPr>
          <w:b/>
          <w:bCs/>
        </w:rPr>
        <w:t xml:space="preserve">Björk</w:t>
      </w:r>
      <w:r>
        <w:t xml:space="preserve"> </w:t>
      </w:r>
      <w:r>
        <w:t xml:space="preserve">—</w:t>
      </w:r>
      <w:r>
        <w:t xml:space="preserve"> </w:t>
      </w:r>
      <w:r>
        <w:rPr>
          <w:i/>
          <w:iCs/>
        </w:rPr>
        <w:t xml:space="preserve">“All Is Full of Love”</w:t>
      </w:r>
      <w:r>
        <w:t xml:space="preserve"> </w:t>
      </w:r>
      <w:r>
        <w:t xml:space="preserve">(</w:t>
      </w:r>
      <w:r>
        <w:rPr>
          <w:i/>
          <w:iCs/>
        </w:rPr>
        <w:t xml:space="preserve">Homogenic</w:t>
      </w:r>
      <w:r>
        <w:t xml:space="preserve">, 1997). El registro sonoro de la transición de la nube de probabilidad (onda sintética) a la estructura mecánica (percusión de máquina rígida).</w:t>
      </w:r>
    </w:p>
    <w:p>
      <w:pPr>
        <w:pStyle w:val="Compact"/>
        <w:numPr>
          <w:ilvl w:val="0"/>
          <w:numId w:val="1176"/>
        </w:numPr>
      </w:pPr>
      <w:r>
        <w:rPr>
          <w:b/>
          <w:bCs/>
        </w:rPr>
        <w:t xml:space="preserve">Squarepusher</w:t>
      </w:r>
      <w:r>
        <w:t xml:space="preserve"> </w:t>
      </w:r>
      <w:r>
        <w:t xml:space="preserve">—</w:t>
      </w:r>
      <w:r>
        <w:t xml:space="preserve"> </w:t>
      </w:r>
      <w:r>
        <w:rPr>
          <w:i/>
          <w:iCs/>
        </w:rPr>
        <w:t xml:space="preserve">“Beep Street”</w:t>
      </w:r>
      <w:r>
        <w:t xml:space="preserve"> </w:t>
      </w:r>
      <w:r>
        <w:t xml:space="preserve">(</w:t>
      </w:r>
      <w:r>
        <w:rPr>
          <w:i/>
          <w:iCs/>
        </w:rPr>
        <w:t xml:space="preserve">Hard Normal Daddy</w:t>
      </w:r>
      <w:r>
        <w:t xml:space="preserve">, 1997). La saturación de vector de señal justo antes del colapso de fase en la línea de la constante de Planck.</w:t>
      </w:r>
    </w:p>
    <w:p>
      <w:r>
        <w:pict>
          <v:rect style="width:0;height:1.5pt" o:hralign="center" o:hrstd="t" o:hr="t"/>
        </w:pict>
      </w:r>
    </w:p>
    <w:bookmarkEnd w:id="325"/>
    <w:bookmarkStart w:id="326" w:name="capítulo-ii-mapa"/>
    <w:p>
      <w:pPr>
        <w:pStyle w:val="Heading2"/>
      </w:pPr>
      <w:r>
        <w:t xml:space="preserve">CAPÍTULO II: MAPA</w:t>
      </w:r>
    </w:p>
    <w:bookmarkEnd w:id="326"/>
    <w:bookmarkStart w:id="327" w:name="Xa263c90bb71b98f9359e492255b9fa5a87fcee0"/>
    <w:p>
      <w:pPr>
        <w:pStyle w:val="Heading2"/>
      </w:pPr>
      <w:r>
        <w:t xml:space="preserve">Axioma II — Falacia de Isomorfismo Falso y Colapso de Bisimulacion</w:t>
      </w:r>
    </w:p>
    <w:p>
      <w:pPr>
        <w:pStyle w:val="SourceCode"/>
      </w:pPr>
      <w:r>
        <w:rPr>
          <w:rStyle w:val="VerbatimChar"/>
        </w:rPr>
        <w:t xml:space="preserve">Audio-Anclaje: Radiohead — "Idioteque" (2000) / Portishead — "Machine Gun" (2008)</w:t>
      </w:r>
      <w:r>
        <w:br/>
      </w:r>
      <w:r>
        <w:rPr>
          <w:rStyle w:val="VerbatimChar"/>
        </w:rPr>
        <w:t xml:space="preserve">Cota Fisiológica: φ: M -&gt; T (Homomorfismo Parcial, Ker(φ) != 0)</w:t>
      </w:r>
    </w:p>
    <w:p>
      <w:r>
        <w:pict>
          <v:rect style="width:0;height:1.5pt" o:hralign="center" o:hrstd="t" o:hr="t"/>
        </w:pict>
      </w:r>
    </w:p>
    <w:p>
      <w:r>
        <w:pict>
          <v:rect style="width:0;height:1.5pt" o:hralign="center" o:hrstd="t" o:hr="t"/>
        </w:pict>
      </w:r>
    </w:p>
    <w:bookmarkEnd w:id="327"/>
    <w:bookmarkStart w:id="328" w:name="audio-anclaje-35"/>
    <w:p>
      <w:pPr>
        <w:pStyle w:val="Heading2"/>
      </w:pPr>
      <w:r>
        <w:t xml:space="preserve">4. Audio-Anclaje</w:t>
      </w:r>
    </w:p>
    <w:p>
      <w:pPr>
        <w:pStyle w:val="Compact"/>
        <w:numPr>
          <w:ilvl w:val="0"/>
          <w:numId w:val="1177"/>
        </w:numPr>
      </w:pPr>
      <w:r>
        <w:rPr>
          <w:b/>
          <w:bCs/>
        </w:rPr>
        <w:t xml:space="preserve">Radiohead</w:t>
      </w:r>
      <w:r>
        <w:t xml:space="preserve"> </w:t>
      </w:r>
      <w:r>
        <w:t xml:space="preserve">—</w:t>
      </w:r>
      <w:r>
        <w:t xml:space="preserve"> </w:t>
      </w:r>
      <w:r>
        <w:rPr>
          <w:i/>
          <w:iCs/>
        </w:rPr>
        <w:t xml:space="preserve">“No Surprises”</w:t>
      </w:r>
      <w:r>
        <w:t xml:space="preserve"> </w:t>
      </w:r>
      <w:r>
        <w:t xml:space="preserve">(</w:t>
      </w:r>
      <w:r>
        <w:rPr>
          <w:i/>
          <w:iCs/>
        </w:rPr>
        <w:t xml:space="preserve">OK Computer</w:t>
      </w:r>
      <w:r>
        <w:t xml:space="preserve">, 1997). El registro de un entorno con entropía cero.</w:t>
      </w:r>
    </w:p>
    <w:p>
      <w:pPr>
        <w:pStyle w:val="Compact"/>
        <w:numPr>
          <w:ilvl w:val="0"/>
          <w:numId w:val="1177"/>
        </w:numPr>
      </w:pPr>
      <w:r>
        <w:rPr>
          <w:b/>
          <w:bCs/>
        </w:rPr>
        <w:t xml:space="preserve">Joy Division</w:t>
      </w:r>
      <w:r>
        <w:t xml:space="preserve"> </w:t>
      </w:r>
      <w:r>
        <w:t xml:space="preserve">—</w:t>
      </w:r>
      <w:r>
        <w:t xml:space="preserve"> </w:t>
      </w:r>
      <w:r>
        <w:rPr>
          <w:i/>
          <w:iCs/>
        </w:rPr>
        <w:t xml:space="preserve">“Isolation”</w:t>
      </w:r>
      <w:r>
        <w:t xml:space="preserve"> </w:t>
      </w:r>
      <w:r>
        <w:t xml:space="preserve">(</w:t>
      </w:r>
      <w:r>
        <w:rPr>
          <w:i/>
          <w:iCs/>
        </w:rPr>
        <w:t xml:space="preserve">Closer</w:t>
      </w:r>
      <w:r>
        <w:t xml:space="preserve">, 1980). La reclusión del nodo en las coordenadas del mapa.</w:t>
      </w:r>
    </w:p>
    <w:p>
      <w:r>
        <w:pict>
          <v:rect style="width:0;height:1.5pt" o:hralign="center" o:hrstd="t" o:hr="t"/>
        </w:pict>
      </w:r>
    </w:p>
    <w:p>
      <w:r>
        <w:pict>
          <v:rect style="width:0;height:1.5pt" o:hralign="center" o:hrstd="t" o:hr="t"/>
        </w:pict>
      </w:r>
    </w:p>
    <w:bookmarkEnd w:id="328"/>
    <w:bookmarkStart w:id="329" w:name="audio-anclaje-36"/>
    <w:p>
      <w:pPr>
        <w:pStyle w:val="Heading2"/>
      </w:pPr>
      <w:r>
        <w:t xml:space="preserve">4. Audio-Anclaje</w:t>
      </w:r>
    </w:p>
    <w:p>
      <w:pPr>
        <w:pStyle w:val="Compact"/>
        <w:numPr>
          <w:ilvl w:val="0"/>
          <w:numId w:val="1178"/>
        </w:numPr>
      </w:pPr>
      <w:r>
        <w:rPr>
          <w:b/>
          <w:bCs/>
        </w:rPr>
        <w:t xml:space="preserve">Portishead</w:t>
      </w:r>
      <w:r>
        <w:t xml:space="preserve"> </w:t>
      </w:r>
      <w:r>
        <w:t xml:space="preserve">—</w:t>
      </w:r>
      <w:r>
        <w:t xml:space="preserve"> </w:t>
      </w:r>
      <w:r>
        <w:rPr>
          <w:i/>
          <w:iCs/>
        </w:rPr>
        <w:t xml:space="preserve">“Machine Gun”</w:t>
      </w:r>
      <w:r>
        <w:t xml:space="preserve"> </w:t>
      </w:r>
      <w:r>
        <w:t xml:space="preserve">(</w:t>
      </w:r>
      <w:r>
        <w:rPr>
          <w:i/>
          <w:iCs/>
        </w:rPr>
        <w:t xml:space="preserve">Third</w:t>
      </w:r>
      <w:r>
        <w:t xml:space="preserve">, 2008). La percusión de la anomalía en el acto de destruir la estructura del nodo.</w:t>
      </w:r>
    </w:p>
    <w:p>
      <w:pPr>
        <w:pStyle w:val="Compact"/>
        <w:numPr>
          <w:ilvl w:val="0"/>
          <w:numId w:val="1178"/>
        </w:numPr>
      </w:pPr>
      <w:r>
        <w:rPr>
          <w:b/>
          <w:bCs/>
        </w:rPr>
        <w:t xml:space="preserve">The Doors</w:t>
      </w:r>
      <w:r>
        <w:t xml:space="preserve"> </w:t>
      </w:r>
      <w:r>
        <w:t xml:space="preserve">—</w:t>
      </w:r>
      <w:r>
        <w:t xml:space="preserve"> </w:t>
      </w:r>
      <w:r>
        <w:rPr>
          <w:i/>
          <w:iCs/>
        </w:rPr>
        <w:t xml:space="preserve">“The End”</w:t>
      </w:r>
      <w:r>
        <w:t xml:space="preserve"> </w:t>
      </w:r>
      <w:r>
        <w:t xml:space="preserve">(</w:t>
      </w:r>
      <w:r>
        <w:rPr>
          <w:i/>
          <w:iCs/>
        </w:rPr>
        <w:t xml:space="preserve">The Doors</w:t>
      </w:r>
      <w:r>
        <w:t xml:space="preserve">, 1967). La frontera de terminación del modelo de compresión.</w:t>
      </w:r>
    </w:p>
    <w:p>
      <w:r>
        <w:pict>
          <v:rect style="width:0;height:1.5pt" o:hralign="center" o:hrstd="t" o:hr="t"/>
        </w:pict>
      </w:r>
    </w:p>
    <w:p>
      <w:pPr>
        <w:pStyle w:val="FirstParagraph"/>
      </w:pPr>
    </w:p>
    <w:p>
      <w:r>
        <w:pict>
          <v:rect style="width:0;height:1.5pt" o:hralign="center" o:hrstd="t" o:hr="t"/>
        </w:pict>
      </w:r>
    </w:p>
    <w:bookmarkEnd w:id="329"/>
    <w:bookmarkStart w:id="330" w:name="audio-anclaje-37"/>
    <w:p>
      <w:pPr>
        <w:pStyle w:val="Heading2"/>
      </w:pPr>
      <w:r>
        <w:t xml:space="preserve">3. Audio-Anclaje</w:t>
      </w:r>
    </w:p>
    <w:p>
      <w:pPr>
        <w:pStyle w:val="Compact"/>
        <w:numPr>
          <w:ilvl w:val="0"/>
          <w:numId w:val="1179"/>
        </w:numPr>
      </w:pPr>
      <w:r>
        <w:rPr>
          <w:b/>
          <w:bCs/>
        </w:rPr>
        <w:t xml:space="preserve">Radiohead</w:t>
      </w:r>
      <w:r>
        <w:t xml:space="preserve"> </w:t>
      </w:r>
      <w:r>
        <w:t xml:space="preserve">—</w:t>
      </w:r>
      <w:r>
        <w:t xml:space="preserve"> </w:t>
      </w:r>
      <w:r>
        <w:rPr>
          <w:i/>
          <w:iCs/>
        </w:rPr>
        <w:t xml:space="preserve">“Fake Plastic Trees”</w:t>
      </w:r>
      <w:r>
        <w:t xml:space="preserve"> </w:t>
      </w:r>
      <w:r>
        <w:t xml:space="preserve">(</w:t>
      </w:r>
      <w:r>
        <w:rPr>
          <w:i/>
          <w:iCs/>
        </w:rPr>
        <w:t xml:space="preserve">The Bends</w:t>
      </w:r>
      <w:r>
        <w:t xml:space="preserve">, 1995). El peso de construir una estructura de gravedad sobre bases de polímero sin tracción física.</w:t>
      </w:r>
    </w:p>
    <w:p>
      <w:pPr>
        <w:pStyle w:val="Compact"/>
        <w:numPr>
          <w:ilvl w:val="0"/>
          <w:numId w:val="1179"/>
        </w:numPr>
      </w:pPr>
      <w:r>
        <w:rPr>
          <w:b/>
          <w:bCs/>
        </w:rPr>
        <w:t xml:space="preserve">Nine Inch Nails</w:t>
      </w:r>
      <w:r>
        <w:t xml:space="preserve"> </w:t>
      </w:r>
      <w:r>
        <w:t xml:space="preserve">—</w:t>
      </w:r>
      <w:r>
        <w:t xml:space="preserve"> </w:t>
      </w:r>
      <w:r>
        <w:rPr>
          <w:i/>
          <w:iCs/>
        </w:rPr>
        <w:t xml:space="preserve">“Copy of A”</w:t>
      </w:r>
      <w:r>
        <w:t xml:space="preserve"> </w:t>
      </w:r>
      <w:r>
        <w:t xml:space="preserve">(</w:t>
      </w:r>
      <w:r>
        <w:rPr>
          <w:i/>
          <w:iCs/>
        </w:rPr>
        <w:t xml:space="preserve">Hesitation Marks</w:t>
      </w:r>
      <w:r>
        <w:t xml:space="preserve">, 2013). La reproducción de un registro de señal hasta el punto de pérdida de anclaje de la matriz de origen.</w:t>
      </w:r>
    </w:p>
    <w:p>
      <w:r>
        <w:pict>
          <v:rect style="width:0;height:1.5pt" o:hralign="center" o:hrstd="t" o:hr="t"/>
        </w:pict>
      </w:r>
    </w:p>
    <w:p>
      <w:r>
        <w:pict>
          <v:rect style="width:0;height:1.5pt" o:hralign="center" o:hrstd="t" o:hr="t"/>
        </w:pict>
      </w:r>
    </w:p>
    <w:bookmarkEnd w:id="330"/>
    <w:bookmarkStart w:id="331" w:name="audio-anclaje-38"/>
    <w:p>
      <w:pPr>
        <w:pStyle w:val="Heading2"/>
      </w:pPr>
      <w:r>
        <w:t xml:space="preserve">3. Audio-Anclaje</w:t>
      </w:r>
    </w:p>
    <w:p>
      <w:pPr>
        <w:pStyle w:val="Compact"/>
        <w:numPr>
          <w:ilvl w:val="0"/>
          <w:numId w:val="1180"/>
        </w:numPr>
      </w:pPr>
      <w:r>
        <w:rPr>
          <w:b/>
          <w:bCs/>
        </w:rPr>
        <w:t xml:space="preserve">Godspeed You! Black Emperor</w:t>
      </w:r>
      <w:r>
        <w:t xml:space="preserve"> </w:t>
      </w:r>
      <w:r>
        <w:t xml:space="preserve">—</w:t>
      </w:r>
      <w:r>
        <w:t xml:space="preserve"> </w:t>
      </w:r>
      <w:r>
        <w:rPr>
          <w:i/>
          <w:iCs/>
        </w:rPr>
        <w:t xml:space="preserve">“The Dead Flag Blues”</w:t>
      </w:r>
      <w:r>
        <w:t xml:space="preserve"> </w:t>
      </w:r>
      <w:r>
        <w:t xml:space="preserve">(</w:t>
      </w:r>
      <w:r>
        <w:rPr>
          <w:i/>
          <w:iCs/>
        </w:rPr>
        <w:t xml:space="preserve">F# A# ∞</w:t>
      </w:r>
      <w:r>
        <w:t xml:space="preserve">, 1997). El registro de la entropía de expansión tras el fallo de compresión de la agencia de Estado.</w:t>
      </w:r>
    </w:p>
    <w:p>
      <w:pPr>
        <w:pStyle w:val="Compact"/>
        <w:numPr>
          <w:ilvl w:val="0"/>
          <w:numId w:val="1180"/>
        </w:numPr>
      </w:pPr>
      <w:r>
        <w:rPr>
          <w:b/>
          <w:bCs/>
        </w:rPr>
        <w:t xml:space="preserve">Sigur Rós</w:t>
      </w:r>
      <w:r>
        <w:t xml:space="preserve"> </w:t>
      </w:r>
      <w:r>
        <w:t xml:space="preserve">—</w:t>
      </w:r>
      <w:r>
        <w:t xml:space="preserve"> </w:t>
      </w:r>
      <w:r>
        <w:rPr>
          <w:i/>
          <w:iCs/>
        </w:rPr>
        <w:t xml:space="preserve">“Svefn-g-englar”</w:t>
      </w:r>
      <w:r>
        <w:t xml:space="preserve"> </w:t>
      </w:r>
      <w:r>
        <w:t xml:space="preserve">(</w:t>
      </w:r>
      <w:r>
        <w:rPr>
          <w:i/>
          <w:iCs/>
        </w:rPr>
        <w:t xml:space="preserve">Ágætis byrjun</w:t>
      </w:r>
      <w:r>
        <w:t xml:space="preserve">, 1999). El vacío de temperatura térmica en el segundo de fractura del nodo.</w:t>
      </w:r>
    </w:p>
    <w:p>
      <w:r>
        <w:pict>
          <v:rect style="width:0;height:1.5pt" o:hralign="center" o:hrstd="t" o:hr="t"/>
        </w:pict>
      </w:r>
    </w:p>
    <w:p>
      <w:pPr>
        <w:pStyle w:val="FirstParagraph"/>
      </w:pPr>
    </w:p>
    <w:p>
      <w:r>
        <w:pict>
          <v:rect style="width:0;height:1.5pt" o:hralign="center" o:hrstd="t" o:hr="t"/>
        </w:pict>
      </w:r>
    </w:p>
    <w:bookmarkEnd w:id="331"/>
    <w:bookmarkStart w:id="332" w:name="audio-anclaje-39"/>
    <w:p>
      <w:pPr>
        <w:pStyle w:val="Heading2"/>
      </w:pPr>
      <w:r>
        <w:t xml:space="preserve">3. Audio-Anclaje</w:t>
      </w:r>
    </w:p>
    <w:p>
      <w:pPr>
        <w:pStyle w:val="Compact"/>
        <w:numPr>
          <w:ilvl w:val="0"/>
          <w:numId w:val="1181"/>
        </w:numPr>
      </w:pPr>
      <w:r>
        <w:rPr>
          <w:b/>
          <w:bCs/>
        </w:rPr>
        <w:t xml:space="preserve">Pink Floyd</w:t>
      </w:r>
      <w:r>
        <w:t xml:space="preserve"> </w:t>
      </w:r>
      <w:r>
        <w:t xml:space="preserve">—</w:t>
      </w:r>
      <w:r>
        <w:t xml:space="preserve"> </w:t>
      </w:r>
      <w:r>
        <w:rPr>
          <w:i/>
          <w:iCs/>
        </w:rPr>
        <w:t xml:space="preserve">“Money”</w:t>
      </w:r>
      <w:r>
        <w:t xml:space="preserve"> </w:t>
      </w:r>
      <w:r>
        <w:t xml:space="preserve">(</w:t>
      </w:r>
      <w:r>
        <w:rPr>
          <w:i/>
          <w:iCs/>
        </w:rPr>
        <w:t xml:space="preserve">The Dark Side of the Moon</w:t>
      </w:r>
      <w:r>
        <w:t xml:space="preserve">, 1973). El ruido de la máquina de registro de caja en el bucle de captura sin anclaje a un sustrato.</w:t>
      </w:r>
    </w:p>
    <w:p>
      <w:pPr>
        <w:pStyle w:val="Compact"/>
        <w:numPr>
          <w:ilvl w:val="0"/>
          <w:numId w:val="1181"/>
        </w:numPr>
      </w:pPr>
      <w:r>
        <w:rPr>
          <w:b/>
          <w:bCs/>
        </w:rPr>
        <w:t xml:space="preserve">LCD Soundsystem</w:t>
      </w:r>
      <w:r>
        <w:t xml:space="preserve"> </w:t>
      </w:r>
      <w:r>
        <w:t xml:space="preserve">—</w:t>
      </w:r>
      <w:r>
        <w:t xml:space="preserve"> </w:t>
      </w:r>
      <w:r>
        <w:rPr>
          <w:i/>
          <w:iCs/>
        </w:rPr>
        <w:t xml:space="preserve">“Losing My Edge”</w:t>
      </w:r>
      <w:r>
        <w:t xml:space="preserve"> </w:t>
      </w:r>
      <w:r>
        <w:t xml:space="preserve">(</w:t>
      </w:r>
      <w:r>
        <w:rPr>
          <w:i/>
          <w:iCs/>
        </w:rPr>
        <w:t xml:space="preserve">LCD Soundsystem</w:t>
      </w:r>
      <w:r>
        <w:t xml:space="preserve">, 2005). La caída del nodo en el instante de disolución del mapa de jerarquía.</w:t>
      </w:r>
    </w:p>
    <w:p>
      <w:r>
        <w:pict>
          <v:rect style="width:0;height:1.5pt" o:hralign="center" o:hrstd="t" o:hr="t"/>
        </w:pict>
      </w:r>
    </w:p>
    <w:p>
      <w:r>
        <w:pict>
          <v:rect style="width:0;height:1.5pt" o:hralign="center" o:hrstd="t" o:hr="t"/>
        </w:pict>
      </w:r>
    </w:p>
    <w:bookmarkEnd w:id="332"/>
    <w:bookmarkStart w:id="333" w:name="audio-anclaje-40"/>
    <w:p>
      <w:pPr>
        <w:pStyle w:val="Heading2"/>
      </w:pPr>
      <w:r>
        <w:t xml:space="preserve">3. Audio-Anclaje</w:t>
      </w:r>
    </w:p>
    <w:p>
      <w:pPr>
        <w:pStyle w:val="Compact"/>
        <w:numPr>
          <w:ilvl w:val="0"/>
          <w:numId w:val="1182"/>
        </w:numPr>
      </w:pPr>
      <w:r>
        <w:rPr>
          <w:b/>
          <w:bCs/>
        </w:rPr>
        <w:t xml:space="preserve">The Velvet Underground</w:t>
      </w:r>
      <w:r>
        <w:t xml:space="preserve"> </w:t>
      </w:r>
      <w:r>
        <w:t xml:space="preserve">—</w:t>
      </w:r>
      <w:r>
        <w:t xml:space="preserve"> </w:t>
      </w:r>
      <w:r>
        <w:rPr>
          <w:i/>
          <w:iCs/>
        </w:rPr>
        <w:t xml:space="preserve">“Venus in Furs”</w:t>
      </w:r>
      <w:r>
        <w:t xml:space="preserve"> </w:t>
      </w:r>
      <w:r>
        <w:t xml:space="preserve">(</w:t>
      </w:r>
      <w:r>
        <w:rPr>
          <w:i/>
          <w:iCs/>
        </w:rPr>
        <w:t xml:space="preserve">The Velvet Underground &amp; Nico</w:t>
      </w:r>
      <w:r>
        <w:t xml:space="preserve">, 1967). La colisión de bloque de repetición industrial en el entorno de galería de exhibición de lujo.</w:t>
      </w:r>
    </w:p>
    <w:p>
      <w:pPr>
        <w:pStyle w:val="Compact"/>
        <w:numPr>
          <w:ilvl w:val="0"/>
          <w:numId w:val="1182"/>
        </w:numPr>
      </w:pPr>
      <w:r>
        <w:rPr>
          <w:b/>
          <w:bCs/>
        </w:rPr>
        <w:t xml:space="preserve">M.I.A.</w:t>
      </w:r>
      <w:r>
        <w:t xml:space="preserve"> </w:t>
      </w:r>
      <w:r>
        <w:t xml:space="preserve">—</w:t>
      </w:r>
      <w:r>
        <w:t xml:space="preserve"> </w:t>
      </w:r>
      <w:r>
        <w:rPr>
          <w:i/>
          <w:iCs/>
        </w:rPr>
        <w:t xml:space="preserve">“Paper Planes”</w:t>
      </w:r>
      <w:r>
        <w:t xml:space="preserve"> </w:t>
      </w:r>
      <w:r>
        <w:t xml:space="preserve">(</w:t>
      </w:r>
      <w:r>
        <w:rPr>
          <w:i/>
          <w:iCs/>
        </w:rPr>
        <w:t xml:space="preserve">Kala</w:t>
      </w:r>
      <w:r>
        <w:t xml:space="preserve">, 2007). El cálculo de grado de fricción en la máquina de creación de billete de banco en vacío de sustrato material.</w:t>
      </w:r>
    </w:p>
    <w:p>
      <w:r>
        <w:pict>
          <v:rect style="width:0;height:1.5pt" o:hralign="center" o:hrstd="t" o:hr="t"/>
        </w:pict>
      </w:r>
    </w:p>
    <w:p>
      <w:r>
        <w:pict>
          <v:rect style="width:0;height:1.5pt" o:hralign="center" o:hrstd="t" o:hr="t"/>
        </w:pict>
      </w:r>
    </w:p>
    <w:bookmarkEnd w:id="333"/>
    <w:bookmarkStart w:id="334" w:name="audio-anclaje-41"/>
    <w:p>
      <w:pPr>
        <w:pStyle w:val="Heading2"/>
      </w:pPr>
      <w:r>
        <w:t xml:space="preserve">3. Audio-Anclaje</w:t>
      </w:r>
    </w:p>
    <w:p>
      <w:pPr>
        <w:pStyle w:val="Compact"/>
        <w:numPr>
          <w:ilvl w:val="0"/>
          <w:numId w:val="1183"/>
        </w:numPr>
      </w:pPr>
      <w:r>
        <w:rPr>
          <w:b/>
          <w:bCs/>
        </w:rPr>
        <w:t xml:space="preserve">Kraftwerk</w:t>
      </w:r>
      <w:r>
        <w:t xml:space="preserve"> </w:t>
      </w:r>
      <w:r>
        <w:t xml:space="preserve">—</w:t>
      </w:r>
      <w:r>
        <w:t xml:space="preserve"> </w:t>
      </w:r>
      <w:r>
        <w:rPr>
          <w:i/>
          <w:iCs/>
        </w:rPr>
        <w:t xml:space="preserve">“Computer Love”</w:t>
      </w:r>
      <w:r>
        <w:t xml:space="preserve"> </w:t>
      </w:r>
      <w:r>
        <w:t xml:space="preserve">(</w:t>
      </w:r>
      <w:r>
        <w:rPr>
          <w:i/>
          <w:iCs/>
        </w:rPr>
        <w:t xml:space="preserve">Computer World</w:t>
      </w:r>
      <w:r>
        <w:t xml:space="preserve">, 1981). La inyección de código de deseo orgánico en la red de placa de metal de la máquina.</w:t>
      </w:r>
    </w:p>
    <w:p>
      <w:pPr>
        <w:pStyle w:val="Compact"/>
        <w:numPr>
          <w:ilvl w:val="0"/>
          <w:numId w:val="1183"/>
        </w:numPr>
      </w:pPr>
      <w:r>
        <w:rPr>
          <w:b/>
          <w:bCs/>
        </w:rPr>
        <w:t xml:space="preserve">Death Grips</w:t>
      </w:r>
      <w:r>
        <w:t xml:space="preserve"> </w:t>
      </w:r>
      <w:r>
        <w:t xml:space="preserve">—</w:t>
      </w:r>
      <w:r>
        <w:t xml:space="preserve"> </w:t>
      </w:r>
      <w:r>
        <w:rPr>
          <w:i/>
          <w:iCs/>
        </w:rPr>
        <w:t xml:space="preserve">“Guillotine”</w:t>
      </w:r>
      <w:r>
        <w:t xml:space="preserve"> </w:t>
      </w:r>
      <w:r>
        <w:t xml:space="preserve">(</w:t>
      </w:r>
      <w:r>
        <w:rPr>
          <w:i/>
          <w:iCs/>
        </w:rPr>
        <w:t xml:space="preserve">Exmilitary</w:t>
      </w:r>
      <w:r>
        <w:t xml:space="preserve">, 2011). La cuota de entropía de estado puro en el choque del código sin anclaje de peso frente a la estructura material de red de supervivencia.</w:t>
      </w:r>
    </w:p>
    <w:p>
      <w:r>
        <w:pict>
          <v:rect style="width:0;height:1.5pt" o:hralign="center" o:hrstd="t" o:hr="t"/>
        </w:pict>
      </w:r>
    </w:p>
    <w:p>
      <w:r>
        <w:pict>
          <v:rect style="width:0;height:1.5pt" o:hralign="center" o:hrstd="t" o:hr="t"/>
        </w:pict>
      </w:r>
    </w:p>
    <w:bookmarkEnd w:id="334"/>
    <w:bookmarkStart w:id="335" w:name="audio-anclaje-42"/>
    <w:p>
      <w:pPr>
        <w:pStyle w:val="Heading2"/>
      </w:pPr>
      <w:r>
        <w:t xml:space="preserve">5. Audio-Anclaje</w:t>
      </w:r>
    </w:p>
    <w:p>
      <w:pPr>
        <w:pStyle w:val="Compact"/>
        <w:numPr>
          <w:ilvl w:val="0"/>
          <w:numId w:val="1184"/>
        </w:numPr>
      </w:pPr>
      <w:r>
        <w:rPr>
          <w:b/>
          <w:bCs/>
        </w:rPr>
        <w:t xml:space="preserve">Pink Floyd</w:t>
      </w:r>
      <w:r>
        <w:t xml:space="preserve"> </w:t>
      </w:r>
      <w:r>
        <w:t xml:space="preserve">—</w:t>
      </w:r>
      <w:r>
        <w:t xml:space="preserve"> </w:t>
      </w:r>
      <w:r>
        <w:rPr>
          <w:i/>
          <w:iCs/>
        </w:rPr>
        <w:t xml:space="preserve">“Welcome to the Machine”</w:t>
      </w:r>
      <w:r>
        <w:t xml:space="preserve"> </w:t>
      </w:r>
      <w:r>
        <w:t xml:space="preserve">(</w:t>
      </w:r>
      <w:r>
        <w:rPr>
          <w:i/>
          <w:iCs/>
        </w:rPr>
        <w:t xml:space="preserve">Wish You Were Here</w:t>
      </w:r>
      <w:r>
        <w:t xml:space="preserve">, 1975). El proceso de inyección del nodo de biología de sangre dentro del tubo de acero del engranaje fiscal con cero sensor de piedad.</w:t>
      </w:r>
    </w:p>
    <w:p>
      <w:pPr>
        <w:pStyle w:val="Compact"/>
        <w:numPr>
          <w:ilvl w:val="0"/>
          <w:numId w:val="1184"/>
        </w:numPr>
      </w:pPr>
      <w:r>
        <w:rPr>
          <w:b/>
          <w:bCs/>
        </w:rPr>
        <w:t xml:space="preserve">The Raconteurs</w:t>
      </w:r>
      <w:r>
        <w:t xml:space="preserve"> </w:t>
      </w:r>
      <w:r>
        <w:t xml:space="preserve">—</w:t>
      </w:r>
      <w:r>
        <w:t xml:space="preserve"> </w:t>
      </w:r>
      <w:r>
        <w:rPr>
          <w:i/>
          <w:iCs/>
        </w:rPr>
        <w:t xml:space="preserve">“Consoler of the Lonely”</w:t>
      </w:r>
      <w:r>
        <w:t xml:space="preserve"> </w:t>
      </w:r>
      <w:r>
        <w:t xml:space="preserve">(</w:t>
      </w:r>
      <w:r>
        <w:rPr>
          <w:i/>
          <w:iCs/>
        </w:rPr>
        <w:t xml:space="preserve">Consolers of the Lonely</w:t>
      </w:r>
      <w:r>
        <w:t xml:space="preserve">, 2008). El rebote de señal del llanto del contribuyente en la sala de espera de geometría de gris.</w:t>
      </w:r>
    </w:p>
    <w:p>
      <w:r>
        <w:pict>
          <v:rect style="width:0;height:1.5pt" o:hralign="center" o:hrstd="t" o:hr="t"/>
        </w:pict>
      </w:r>
    </w:p>
    <w:p>
      <w:r>
        <w:pict>
          <v:rect style="width:0;height:1.5pt" o:hralign="center" o:hrstd="t" o:hr="t"/>
        </w:pict>
      </w:r>
    </w:p>
    <w:bookmarkEnd w:id="335"/>
    <w:bookmarkStart w:id="336" w:name="audio-anclaje-43"/>
    <w:p>
      <w:pPr>
        <w:pStyle w:val="Heading2"/>
      </w:pPr>
      <w:r>
        <w:t xml:space="preserve">3. Audio-Anclaje</w:t>
      </w:r>
    </w:p>
    <w:p>
      <w:pPr>
        <w:pStyle w:val="Compact"/>
        <w:numPr>
          <w:ilvl w:val="0"/>
          <w:numId w:val="1185"/>
        </w:numPr>
      </w:pPr>
      <w:r>
        <w:rPr>
          <w:b/>
          <w:bCs/>
        </w:rPr>
        <w:t xml:space="preserve">Aphex Twin</w:t>
      </w:r>
      <w:r>
        <w:t xml:space="preserve"> </w:t>
      </w:r>
      <w:r>
        <w:t xml:space="preserve">—</w:t>
      </w:r>
      <w:r>
        <w:t xml:space="preserve"> </w:t>
      </w:r>
      <w:r>
        <w:rPr>
          <w:i/>
          <w:iCs/>
        </w:rPr>
        <w:t xml:space="preserve">“Xtal”</w:t>
      </w:r>
      <w:r>
        <w:t xml:space="preserve"> </w:t>
      </w:r>
      <w:r>
        <w:t xml:space="preserve">(</w:t>
      </w:r>
      <w:r>
        <w:rPr>
          <w:i/>
          <w:iCs/>
        </w:rPr>
        <w:t xml:space="preserve">Selected Ambient Works 85-92</w:t>
      </w:r>
      <w:r>
        <w:t xml:space="preserve">, 1992). La ilusión de pureza de secuencia matemática libre del roce sucio de la tracción de mundo material.</w:t>
      </w:r>
    </w:p>
    <w:p>
      <w:pPr>
        <w:pStyle w:val="Compact"/>
        <w:numPr>
          <w:ilvl w:val="0"/>
          <w:numId w:val="1185"/>
        </w:numPr>
      </w:pPr>
      <w:r>
        <w:rPr>
          <w:b/>
          <w:bCs/>
        </w:rPr>
        <w:t xml:space="preserve">Nine Inch Nails</w:t>
      </w:r>
      <w:r>
        <w:t xml:space="preserve"> </w:t>
      </w:r>
      <w:r>
        <w:t xml:space="preserve">—</w:t>
      </w:r>
      <w:r>
        <w:t xml:space="preserve"> </w:t>
      </w:r>
      <w:r>
        <w:rPr>
          <w:i/>
          <w:iCs/>
        </w:rPr>
        <w:t xml:space="preserve">“The Hand That Feeds”</w:t>
      </w:r>
      <w:r>
        <w:t xml:space="preserve"> </w:t>
      </w:r>
      <w:r>
        <w:t xml:space="preserve">(</w:t>
      </w:r>
      <w:r>
        <w:rPr>
          <w:i/>
          <w:iCs/>
        </w:rPr>
        <w:t xml:space="preserve">With Teeth</w:t>
      </w:r>
      <w:r>
        <w:t xml:space="preserve">, 2005). La colisión de mordida de hueso orgánico contra la ilusión de la interfaz de control sintético.</w:t>
      </w:r>
    </w:p>
    <w:p>
      <w:r>
        <w:pict>
          <v:rect style="width:0;height:1.5pt" o:hralign="center" o:hrstd="t" o:hr="t"/>
        </w:pict>
      </w:r>
    </w:p>
    <w:bookmarkEnd w:id="336"/>
    <w:bookmarkStart w:id="337" w:name="capítulo-iii-watzlawick"/>
    <w:p>
      <w:pPr>
        <w:pStyle w:val="Heading2"/>
      </w:pPr>
      <w:r>
        <w:t xml:space="preserve">CAPÍTULO III: WATZLAWICK</w:t>
      </w:r>
    </w:p>
    <w:bookmarkEnd w:id="337"/>
    <w:bookmarkStart w:id="339" w:name="Xdeb06c486e1b905f50089aadf2569f24a744883"/>
    <w:p>
      <w:pPr>
        <w:pStyle w:val="Heading2"/>
      </w:pPr>
      <w:r>
        <w:t xml:space="preserve">13. Anexo Sonoro: Audio-Anclajes del Capítulo 3</w:t>
      </w:r>
    </w:p>
    <w:p>
      <w:r>
        <w:pict>
          <v:rect style="width:0;height:1.5pt" o:hralign="center" o:hrstd="t" o:hr="t"/>
        </w:pict>
      </w:r>
    </w:p>
    <w:bookmarkStart w:id="338" w:name="audio-anclajes-generales-1"/>
    <w:p>
      <w:pPr>
        <w:pStyle w:val="Heading3"/>
      </w:pPr>
      <w:r>
        <w:t xml:space="preserve">Audio-Anclajes Generales</w:t>
      </w:r>
    </w:p>
    <w:p>
      <w:pPr>
        <w:numPr>
          <w:ilvl w:val="0"/>
          <w:numId w:val="1186"/>
        </w:numPr>
      </w:pPr>
      <w:r>
        <w:t xml:space="preserve">Kase.O con Evaristo y Harto Rodríguez —</w:t>
      </w:r>
      <w:r>
        <w:t xml:space="preserve"> </w:t>
      </w:r>
      <w:r>
        <w:t xml:space="preserve">“Borregos”</w:t>
      </w:r>
      <w:r>
        <w:t xml:space="preserve"> </w:t>
      </w:r>
      <w:r>
        <w:t xml:space="preserve">(</w:t>
      </w:r>
      <w:r>
        <w:rPr>
          <w:i/>
          <w:iCs/>
        </w:rPr>
        <w:t xml:space="preserve">Camisa de Fuerza</w:t>
      </w:r>
      <w:r>
        <w:t xml:space="preserve">, 2026) / Ilegales (Jorge Ilegal) —</w:t>
      </w:r>
      <w:r>
        <w:t xml:space="preserve"> </w:t>
      </w:r>
      <w:r>
        <w:t xml:space="preserve">“Tiempos Nuevos, Tiempos Salvajes”</w:t>
      </w:r>
      <w:r>
        <w:t xml:space="preserve"> </w:t>
      </w:r>
      <w:r>
        <w:t xml:space="preserve">(1982) / Nacho Vegas —</w:t>
      </w:r>
      <w:r>
        <w:t xml:space="preserve"> </w:t>
      </w:r>
      <w:r>
        <w:t xml:space="preserve">“La Sed”</w:t>
      </w:r>
      <w:r>
        <w:t xml:space="preserve"> </w:t>
      </w:r>
      <w:r>
        <w:t xml:space="preserve">(</w:t>
      </w:r>
      <w:r>
        <w:rPr>
          <w:i/>
          <w:iCs/>
        </w:rPr>
        <w:t xml:space="preserve">Cajas de música difíciles de parar</w:t>
      </w:r>
      <w:r>
        <w:t xml:space="preserve">, 2003)</w:t>
      </w:r>
    </w:p>
    <w:p>
      <w:pPr>
        <w:numPr>
          <w:ilvl w:val="0"/>
          <w:numId w:val="1186"/>
        </w:numPr>
      </w:pPr>
      <w:r>
        <w:rPr>
          <w:b/>
          <w:bCs/>
        </w:rPr>
        <w:t xml:space="preserve">Nirvana</w:t>
      </w:r>
      <w:r>
        <w:t xml:space="preserve"> </w:t>
      </w:r>
      <w:r>
        <w:t xml:space="preserve">—</w:t>
      </w:r>
      <w:r>
        <w:t xml:space="preserve"> </w:t>
      </w:r>
      <w:r>
        <w:rPr>
          <w:i/>
          <w:iCs/>
        </w:rPr>
        <w:t xml:space="preserve">“Lithium”</w:t>
      </w:r>
      <w:r>
        <w:t xml:space="preserve"> </w:t>
      </w:r>
      <w:r>
        <w:t xml:space="preserve">(</w:t>
      </w:r>
      <w:r>
        <w:rPr>
          <w:i/>
          <w:iCs/>
        </w:rPr>
        <w:t xml:space="preserve">Nevermind</w:t>
      </w:r>
      <w:r>
        <w:t xml:space="preserve">, 1991). El estado de euforia de síntesis química en la fase anterior al colapso de estructura.</w:t>
      </w:r>
    </w:p>
    <w:p>
      <w:pPr>
        <w:numPr>
          <w:ilvl w:val="0"/>
          <w:numId w:val="1186"/>
        </w:numPr>
      </w:pPr>
      <w:r>
        <w:rPr>
          <w:b/>
          <w:bCs/>
        </w:rPr>
        <w:t xml:space="preserve">Nine Inch Nails</w:t>
      </w:r>
      <w:r>
        <w:t xml:space="preserve"> </w:t>
      </w:r>
      <w:r>
        <w:t xml:space="preserve">—</w:t>
      </w:r>
      <w:r>
        <w:t xml:space="preserve"> </w:t>
      </w:r>
      <w:r>
        <w:rPr>
          <w:i/>
          <w:iCs/>
        </w:rPr>
        <w:t xml:space="preserve">“Every Day Is Exactly The Same”</w:t>
      </w:r>
      <w:r>
        <w:t xml:space="preserve"> </w:t>
      </w:r>
      <w:r>
        <w:t xml:space="preserve">(</w:t>
      </w:r>
      <w:r>
        <w:rPr>
          <w:i/>
          <w:iCs/>
        </w:rPr>
        <w:t xml:space="preserve">With Teeth</w:t>
      </w:r>
      <w:r>
        <w:t xml:space="preserve">, 2005). La parálisis del bucle.</w:t>
      </w:r>
    </w:p>
    <w:p>
      <w:pPr>
        <w:numPr>
          <w:ilvl w:val="0"/>
          <w:numId w:val="1186"/>
        </w:numPr>
      </w:pPr>
      <w:r>
        <w:rPr>
          <w:b/>
          <w:bCs/>
        </w:rPr>
        <w:t xml:space="preserve">The Prodigy</w:t>
      </w:r>
      <w:r>
        <w:t xml:space="preserve"> </w:t>
      </w:r>
      <w:r>
        <w:t xml:space="preserve">—</w:t>
      </w:r>
      <w:r>
        <w:t xml:space="preserve"> </w:t>
      </w:r>
      <w:r>
        <w:rPr>
          <w:i/>
          <w:iCs/>
        </w:rPr>
        <w:t xml:space="preserve">“Smack My Bitch Up”</w:t>
      </w:r>
      <w:r>
        <w:t xml:space="preserve"> </w:t>
      </w:r>
      <w:r>
        <w:t xml:space="preserve">(</w:t>
      </w:r>
      <w:r>
        <w:rPr>
          <w:i/>
          <w:iCs/>
        </w:rPr>
        <w:t xml:space="preserve">The Fat of the Land</w:t>
      </w:r>
      <w:r>
        <w:t xml:space="preserve">, 1997). La saturación de estímulos en el umbral de disparo.</w:t>
      </w:r>
    </w:p>
    <w:p>
      <w:pPr>
        <w:numPr>
          <w:ilvl w:val="0"/>
          <w:numId w:val="1186"/>
        </w:numPr>
      </w:pPr>
      <w:r>
        <w:rPr>
          <w:b/>
          <w:bCs/>
        </w:rPr>
        <w:t xml:space="preserve">Kraftwerk</w:t>
      </w:r>
      <w:r>
        <w:t xml:space="preserve"> </w:t>
      </w:r>
      <w:r>
        <w:t xml:space="preserve">—</w:t>
      </w:r>
      <w:r>
        <w:t xml:space="preserve"> </w:t>
      </w:r>
      <w:r>
        <w:rPr>
          <w:i/>
          <w:iCs/>
        </w:rPr>
        <w:t xml:space="preserve">“The Robots”</w:t>
      </w:r>
      <w:r>
        <w:t xml:space="preserve"> </w:t>
      </w:r>
      <w:r>
        <w:t xml:space="preserve">(</w:t>
      </w:r>
      <w:r>
        <w:rPr>
          <w:i/>
          <w:iCs/>
        </w:rPr>
        <w:t xml:space="preserve">The Man-Machine</w:t>
      </w:r>
      <w:r>
        <w:t xml:space="preserve">, 1978). La reducción del humano a la frecuencia de reloj de la fábrica.</w:t>
      </w:r>
    </w:p>
    <w:p>
      <w:pPr>
        <w:numPr>
          <w:ilvl w:val="0"/>
          <w:numId w:val="1186"/>
        </w:numPr>
      </w:pPr>
      <w:r>
        <w:rPr>
          <w:b/>
          <w:bCs/>
        </w:rPr>
        <w:t xml:space="preserve">Massive Attack</w:t>
      </w:r>
      <w:r>
        <w:t xml:space="preserve"> </w:t>
      </w:r>
      <w:r>
        <w:t xml:space="preserve">—</w:t>
      </w:r>
      <w:r>
        <w:t xml:space="preserve"> </w:t>
      </w:r>
      <w:r>
        <w:rPr>
          <w:i/>
          <w:iCs/>
        </w:rPr>
        <w:t xml:space="preserve">“Angel”</w:t>
      </w:r>
      <w:r>
        <w:t xml:space="preserve"> </w:t>
      </w:r>
      <w:r>
        <w:t xml:space="preserve">(</w:t>
      </w:r>
      <w:r>
        <w:rPr>
          <w:i/>
          <w:iCs/>
        </w:rPr>
        <w:t xml:space="preserve">Mezzanine</w:t>
      </w:r>
      <w:r>
        <w:t xml:space="preserve">, 1998). La compresión de tiempo extendido del ritmo basal en la caja torácica.</w:t>
      </w:r>
    </w:p>
    <w:p>
      <w:pPr>
        <w:numPr>
          <w:ilvl w:val="0"/>
          <w:numId w:val="1186"/>
        </w:numPr>
      </w:pPr>
      <w:r>
        <w:rPr>
          <w:b/>
          <w:bCs/>
        </w:rPr>
        <w:t xml:space="preserve">Radiohead</w:t>
      </w:r>
      <w:r>
        <w:t xml:space="preserve"> </w:t>
      </w:r>
      <w:r>
        <w:t xml:space="preserve">—</w:t>
      </w:r>
      <w:r>
        <w:t xml:space="preserve"> </w:t>
      </w:r>
      <w:r>
        <w:rPr>
          <w:i/>
          <w:iCs/>
        </w:rPr>
        <w:t xml:space="preserve">“Idioteque”</w:t>
      </w:r>
      <w:r>
        <w:t xml:space="preserve"> </w:t>
      </w:r>
      <w:r>
        <w:t xml:space="preserve">(</w:t>
      </w:r>
      <w:r>
        <w:rPr>
          <w:i/>
          <w:iCs/>
        </w:rPr>
        <w:t xml:space="preserve">Kid A</w:t>
      </w:r>
      <w:r>
        <w:t xml:space="preserve">, 2000). El error de sistema en la fase de pánico total.</w:t>
      </w:r>
    </w:p>
    <w:p>
      <w:pPr>
        <w:numPr>
          <w:ilvl w:val="0"/>
          <w:numId w:val="1186"/>
        </w:numPr>
      </w:pPr>
      <w:r>
        <w:rPr>
          <w:b/>
          <w:bCs/>
        </w:rPr>
        <w:t xml:space="preserve">Pink Floyd</w:t>
      </w:r>
      <w:r>
        <w:t xml:space="preserve"> </w:t>
      </w:r>
      <w:r>
        <w:t xml:space="preserve">—</w:t>
      </w:r>
      <w:r>
        <w:t xml:space="preserve"> </w:t>
      </w:r>
      <w:r>
        <w:rPr>
          <w:i/>
          <w:iCs/>
        </w:rPr>
        <w:t xml:space="preserve">“Shine On You Crazy Diamond”</w:t>
      </w:r>
      <w:r>
        <w:t xml:space="preserve"> </w:t>
      </w:r>
      <w:r>
        <w:t xml:space="preserve">(</w:t>
      </w:r>
      <w:r>
        <w:rPr>
          <w:i/>
          <w:iCs/>
        </w:rPr>
        <w:t xml:space="preserve">Wish You Were Here</w:t>
      </w:r>
      <w:r>
        <w:t xml:space="preserve">, 1975). El documento sonoro de la disolución del filtro de relevancia de Syd Barrett.</w:t>
      </w:r>
    </w:p>
    <w:p>
      <w:pPr>
        <w:numPr>
          <w:ilvl w:val="0"/>
          <w:numId w:val="1186"/>
        </w:numPr>
      </w:pPr>
      <w:r>
        <w:rPr>
          <w:b/>
          <w:bCs/>
        </w:rPr>
        <w:t xml:space="preserve">Joy Division</w:t>
      </w:r>
      <w:r>
        <w:t xml:space="preserve"> </w:t>
      </w:r>
      <w:r>
        <w:t xml:space="preserve">—</w:t>
      </w:r>
      <w:r>
        <w:t xml:space="preserve"> </w:t>
      </w:r>
      <w:r>
        <w:rPr>
          <w:i/>
          <w:iCs/>
        </w:rPr>
        <w:t xml:space="preserve">“She’s Lost Control”</w:t>
      </w:r>
      <w:r>
        <w:t xml:space="preserve"> </w:t>
      </w:r>
      <w:r>
        <w:t xml:space="preserve">(</w:t>
      </w:r>
      <w:r>
        <w:rPr>
          <w:i/>
          <w:iCs/>
        </w:rPr>
        <w:t xml:space="preserve">Unknown Pleasures</w:t>
      </w:r>
      <w:r>
        <w:t xml:space="preserve">, 1979). El registro del fallo en el centro de mando del nodo.</w:t>
      </w:r>
    </w:p>
    <w:p>
      <w:pPr>
        <w:numPr>
          <w:ilvl w:val="0"/>
          <w:numId w:val="1186"/>
        </w:numPr>
      </w:pPr>
      <w:r>
        <w:rPr>
          <w:b/>
          <w:bCs/>
        </w:rPr>
        <w:t xml:space="preserve">Fiona Apple</w:t>
      </w:r>
      <w:r>
        <w:t xml:space="preserve"> </w:t>
      </w:r>
      <w:r>
        <w:t xml:space="preserve">—</w:t>
      </w:r>
      <w:r>
        <w:t xml:space="preserve"> </w:t>
      </w:r>
      <w:r>
        <w:rPr>
          <w:i/>
          <w:iCs/>
        </w:rPr>
        <w:t xml:space="preserve">“Every Single Night”</w:t>
      </w:r>
      <w:r>
        <w:t xml:space="preserve"> </w:t>
      </w:r>
      <w:r>
        <w:t xml:space="preserve">(</w:t>
      </w:r>
      <w:r>
        <w:rPr>
          <w:i/>
          <w:iCs/>
        </w:rPr>
        <w:t xml:space="preserve">The Idler Wheel…</w:t>
      </w:r>
      <w:r>
        <w:t xml:space="preserve">, 2012). El documento del trabajo de la amígdala en fase de desborde de noche.</w:t>
      </w:r>
    </w:p>
    <w:p>
      <w:pPr>
        <w:numPr>
          <w:ilvl w:val="0"/>
          <w:numId w:val="1186"/>
        </w:numPr>
      </w:pPr>
      <w:r>
        <w:rPr>
          <w:b/>
          <w:bCs/>
        </w:rPr>
        <w:t xml:space="preserve">The Smashing Pumpkins</w:t>
      </w:r>
      <w:r>
        <w:t xml:space="preserve"> </w:t>
      </w:r>
      <w:r>
        <w:t xml:space="preserve">—</w:t>
      </w:r>
      <w:r>
        <w:t xml:space="preserve"> </w:t>
      </w:r>
      <w:r>
        <w:rPr>
          <w:i/>
          <w:iCs/>
        </w:rPr>
        <w:t xml:space="preserve">“Zero”</w:t>
      </w:r>
      <w:r>
        <w:t xml:space="preserve"> </w:t>
      </w:r>
      <w:r>
        <w:t xml:space="preserve">(</w:t>
      </w:r>
      <w:r>
        <w:rPr>
          <w:i/>
          <w:iCs/>
        </w:rPr>
        <w:t xml:space="preserve">Mellon Collie and the Infinite Sadness</w:t>
      </w:r>
      <w:r>
        <w:t xml:space="preserve">, 1995). La fluctuación de voltaje entre el vacío de afecto y el choque de agresión de defensa.</w:t>
      </w:r>
    </w:p>
    <w:p>
      <w:pPr>
        <w:numPr>
          <w:ilvl w:val="0"/>
          <w:numId w:val="1186"/>
        </w:numPr>
      </w:pPr>
      <w:r>
        <w:rPr>
          <w:b/>
          <w:bCs/>
        </w:rPr>
        <w:t xml:space="preserve">The Chemical Brothers</w:t>
      </w:r>
      <w:r>
        <w:t xml:space="preserve"> </w:t>
      </w:r>
      <w:r>
        <w:t xml:space="preserve">—</w:t>
      </w:r>
      <w:r>
        <w:t xml:space="preserve"> </w:t>
      </w:r>
      <w:r>
        <w:rPr>
          <w:i/>
          <w:iCs/>
        </w:rPr>
        <w:t xml:space="preserve">“Block Rockin’ Beats”</w:t>
      </w:r>
      <w:r>
        <w:t xml:space="preserve"> </w:t>
      </w:r>
      <w:r>
        <w:t xml:space="preserve">(</w:t>
      </w:r>
      <w:r>
        <w:rPr>
          <w:i/>
          <w:iCs/>
        </w:rPr>
        <w:t xml:space="preserve">Dig Your Own Hole</w:t>
      </w:r>
      <w:r>
        <w:t xml:space="preserve">, 1997). El golpe de martillo de percusión sobre la placa del neurotransmisor de base.</w:t>
      </w:r>
    </w:p>
    <w:p>
      <w:pPr>
        <w:numPr>
          <w:ilvl w:val="0"/>
          <w:numId w:val="1186"/>
        </w:numPr>
      </w:pPr>
      <w:r>
        <w:rPr>
          <w:b/>
          <w:bCs/>
        </w:rPr>
        <w:t xml:space="preserve">Nine Inch Nails</w:t>
      </w:r>
      <w:r>
        <w:t xml:space="preserve"> </w:t>
      </w:r>
      <w:r>
        <w:t xml:space="preserve">—</w:t>
      </w:r>
      <w:r>
        <w:t xml:space="preserve"> </w:t>
      </w:r>
      <w:r>
        <w:rPr>
          <w:i/>
          <w:iCs/>
        </w:rPr>
        <w:t xml:space="preserve">“Hurt”</w:t>
      </w:r>
      <w:r>
        <w:t xml:space="preserve"> </w:t>
      </w:r>
      <w:r>
        <w:t xml:space="preserve">(</w:t>
      </w:r>
      <w:r>
        <w:rPr>
          <w:i/>
          <w:iCs/>
        </w:rPr>
        <w:t xml:space="preserve">The Downward Spiral</w:t>
      </w:r>
      <w:r>
        <w:t xml:space="preserve">, 1994). El reporte forense del primate en la fase de valle de química.</w:t>
      </w:r>
    </w:p>
    <w:p>
      <w:pPr>
        <w:numPr>
          <w:ilvl w:val="0"/>
          <w:numId w:val="1186"/>
        </w:numPr>
      </w:pPr>
      <w:r>
        <w:rPr>
          <w:b/>
          <w:bCs/>
        </w:rPr>
        <w:t xml:space="preserve">Fear Factory</w:t>
      </w:r>
      <w:r>
        <w:t xml:space="preserve"> </w:t>
      </w:r>
      <w:r>
        <w:t xml:space="preserve">—</w:t>
      </w:r>
      <w:r>
        <w:t xml:space="preserve"> </w:t>
      </w:r>
      <w:r>
        <w:rPr>
          <w:i/>
          <w:iCs/>
        </w:rPr>
        <w:t xml:space="preserve">“Replica”</w:t>
      </w:r>
      <w:r>
        <w:t xml:space="preserve"> </w:t>
      </w:r>
      <w:r>
        <w:t xml:space="preserve">(</w:t>
      </w:r>
      <w:r>
        <w:rPr>
          <w:i/>
          <w:iCs/>
        </w:rPr>
        <w:t xml:space="preserve">Demanufacture</w:t>
      </w:r>
      <w:r>
        <w:t xml:space="preserve">, 1995). El martilleo industrial de la máquina de reciclaje de discurso; la cadencia del motor que machaca el mismo hueso moral una y otra vez.</w:t>
      </w:r>
    </w:p>
    <w:p>
      <w:pPr>
        <w:numPr>
          <w:ilvl w:val="0"/>
          <w:numId w:val="1186"/>
        </w:numPr>
      </w:pPr>
      <w:r>
        <w:rPr>
          <w:b/>
          <w:bCs/>
        </w:rPr>
        <w:t xml:space="preserve">Ministry</w:t>
      </w:r>
      <w:r>
        <w:t xml:space="preserve"> </w:t>
      </w:r>
      <w:r>
        <w:t xml:space="preserve">—</w:t>
      </w:r>
      <w:r>
        <w:t xml:space="preserve"> </w:t>
      </w:r>
      <w:r>
        <w:rPr>
          <w:i/>
          <w:iCs/>
        </w:rPr>
        <w:t xml:space="preserve">“N.W.O.”</w:t>
      </w:r>
      <w:r>
        <w:t xml:space="preserve"> </w:t>
      </w:r>
      <w:r>
        <w:t xml:space="preserve">(</w:t>
      </w:r>
      <w:r>
        <w:rPr>
          <w:i/>
          <w:iCs/>
        </w:rPr>
        <w:t xml:space="preserve">Psalm 69</w:t>
      </w:r>
      <w:r>
        <w:t xml:space="preserve">, 1992). La saturación de la cámara de eco de la paranoia; el ruido de fondo de la turba transformada en señal de compra-venta de atención.</w:t>
      </w:r>
    </w:p>
    <w:p>
      <w:r>
        <w:pict>
          <v:rect style="width:0;height:1.5pt" o:hralign="center" o:hrstd="t" o:hr="t"/>
        </w:pict>
      </w:r>
    </w:p>
    <w:bookmarkEnd w:id="338"/>
    <w:bookmarkEnd w:id="339"/>
    <w:bookmarkStart w:id="340" w:name="capítulo-iv-kramers"/>
    <w:p>
      <w:pPr>
        <w:pStyle w:val="Heading2"/>
      </w:pPr>
      <w:r>
        <w:t xml:space="preserve">CAPÍTULO IV: KRAMERS</w:t>
      </w:r>
    </w:p>
    <w:bookmarkEnd w:id="340"/>
    <w:bookmarkStart w:id="341" w:name="X1fd40c5aa70862717829acfa41c22cbe3de66c7"/>
    <w:p>
      <w:pPr>
        <w:pStyle w:val="Heading2"/>
      </w:pPr>
      <w:r>
        <w:t xml:space="preserve">Axioma IV — Cinética de Kramers y Transiciones de Fase en Sistemas Subóptimos</w:t>
      </w:r>
    </w:p>
    <w:p>
      <w:pPr>
        <w:pStyle w:val="SourceCode"/>
      </w:pPr>
      <w:r>
        <w:rPr>
          <w:rStyle w:val="VerbatimChar"/>
        </w:rPr>
        <w:t xml:space="preserve">Audio-Anclaje: Robe Iniesta (Extremoduro) — "La Ley Innata" (2008) / Arcade Fire — "Wake Up" (2004) / David Bowie — "Sound and Vision" (1977)</w:t>
      </w:r>
      <w:r>
        <w:br/>
      </w:r>
      <w:r>
        <w:rPr>
          <w:rStyle w:val="VerbatimChar"/>
        </w:rPr>
        <w:t xml:space="preserve">Cota Fisiológica: k_{1 -&gt; 2} = ν_0 * exp( -ΔG^‡ / (k_B * T_eff) )</w:t>
      </w:r>
    </w:p>
    <w:p>
      <w:r>
        <w:pict>
          <v:rect style="width:0;height:1.5pt" o:hralign="center" o:hrstd="t" o:hr="t"/>
        </w:pict>
      </w:r>
    </w:p>
    <w:p>
      <w:pPr>
        <w:pStyle w:val="SourceCode"/>
      </w:pPr>
      <w:r>
        <w:rPr>
          <w:rStyle w:val="VerbatimChar"/>
        </w:rPr>
        <w:t xml:space="preserve">graph TD</w:t>
      </w:r>
      <w:r>
        <w:br/>
      </w:r>
      <w:r>
        <w:rPr>
          <w:rStyle w:val="VerbatimChar"/>
        </w:rPr>
        <w:t xml:space="preserve">    classDef anomaly fill:#D32F2F,stroke:#000,stroke-width:2px,color:#fff,font-weight:bold;</w:t>
      </w:r>
      <w:r>
        <w:br/>
      </w:r>
      <w:r>
        <w:rPr>
          <w:rStyle w:val="VerbatimChar"/>
        </w:rPr>
        <w:t xml:space="preserve">    classDef core fill:#0F0F0F,stroke:#000,stroke-width:2px,color:#fff,font-weight:bold;</w:t>
      </w:r>
      <w:r>
        <w:br/>
      </w:r>
      <w:r>
        <w:rPr>
          <w:rStyle w:val="VerbatimChar"/>
        </w:rPr>
        <w:t xml:space="preserve">    classDef state fill:#FAFAFA,stroke:#0F0F0F,stroke-width:2px,color:#0F0F0F;</w:t>
      </w:r>
      <w:r>
        <w:br/>
      </w:r>
      <w:r>
        <w:br/>
      </w:r>
      <w:r>
        <w:rPr>
          <w:rStyle w:val="VerbatimChar"/>
        </w:rPr>
        <w:t xml:space="preserve">    A((Pozo A: Estado Actual)):::state --&gt;|Fricción Térmica| B[Barrera de Activación ΔG‡]:::core</w:t>
      </w:r>
      <w:r>
        <w:br/>
      </w:r>
      <w:r>
        <w:rPr>
          <w:rStyle w:val="VerbatimChar"/>
        </w:rPr>
        <w:t xml:space="preserve">    B --&gt;|Salto Exitoso| C((Pozo B: Estado Óptimo)):::state</w:t>
      </w:r>
      <w:r>
        <w:br/>
      </w:r>
      <w:r>
        <w:rPr>
          <w:rStyle w:val="VerbatimChar"/>
        </w:rPr>
        <w:t xml:space="preserve">    B --&gt;|Falta de Energía| A</w:t>
      </w:r>
      <w:r>
        <w:br/>
      </w:r>
      <w:r>
        <w:rPr>
          <w:rStyle w:val="VerbatimChar"/>
        </w:rPr>
        <w:t xml:space="preserve">    </w:t>
      </w:r>
      <w:r>
        <w:br/>
      </w:r>
      <w:r>
        <w:rPr>
          <w:rStyle w:val="VerbatimChar"/>
        </w:rPr>
        <w:t xml:space="preserve">    A --&gt;|Dolor de Permanencia &lt; Dolor de Cambio| D[Parálisis / Cero Termodinámico]:::anomaly</w:t>
      </w:r>
    </w:p>
    <w:p>
      <w:r>
        <w:pict>
          <v:rect style="width:0;height:1.5pt" o:hralign="center" o:hrstd="t" o:hr="t"/>
        </w:pict>
      </w:r>
    </w:p>
    <w:bookmarkEnd w:id="341"/>
    <w:bookmarkStart w:id="342" w:name="audio-anclaje-44"/>
    <w:p>
      <w:pPr>
        <w:pStyle w:val="Heading2"/>
      </w:pPr>
      <w:r>
        <w:t xml:space="preserve">3. Audio-Anclaje</w:t>
      </w:r>
    </w:p>
    <w:p>
      <w:pPr>
        <w:pStyle w:val="Compact"/>
        <w:numPr>
          <w:ilvl w:val="0"/>
          <w:numId w:val="1187"/>
        </w:numPr>
      </w:pPr>
      <w:r>
        <w:rPr>
          <w:b/>
          <w:bCs/>
        </w:rPr>
        <w:t xml:space="preserve">The Clash</w:t>
      </w:r>
      <w:r>
        <w:t xml:space="preserve"> </w:t>
      </w:r>
      <w:r>
        <w:t xml:space="preserve">—</w:t>
      </w:r>
      <w:r>
        <w:t xml:space="preserve"> </w:t>
      </w:r>
      <w:r>
        <w:rPr>
          <w:i/>
          <w:iCs/>
        </w:rPr>
        <w:t xml:space="preserve">“Should I Stay or Should I Go”</w:t>
      </w:r>
      <w:r>
        <w:t xml:space="preserve"> </w:t>
      </w:r>
      <w:r>
        <w:t xml:space="preserve">(</w:t>
      </w:r>
      <w:r>
        <w:rPr>
          <w:i/>
          <w:iCs/>
        </w:rPr>
        <w:t xml:space="preserve">Combat Rock</w:t>
      </w:r>
      <w:r>
        <w:t xml:space="preserve">, 1982). El cálculo de fricción frente a la barrera de activación.</w:t>
      </w:r>
    </w:p>
    <w:p>
      <w:pPr>
        <w:pStyle w:val="Compact"/>
        <w:numPr>
          <w:ilvl w:val="0"/>
          <w:numId w:val="1187"/>
        </w:numPr>
      </w:pPr>
      <w:r>
        <w:rPr>
          <w:b/>
          <w:bCs/>
        </w:rPr>
        <w:t xml:space="preserve">System of a Down</w:t>
      </w:r>
      <w:r>
        <w:t xml:space="preserve"> </w:t>
      </w:r>
      <w:r>
        <w:t xml:space="preserve">—</w:t>
      </w:r>
      <w:r>
        <w:t xml:space="preserve"> </w:t>
      </w:r>
      <w:r>
        <w:rPr>
          <w:i/>
          <w:iCs/>
        </w:rPr>
        <w:t xml:space="preserve">“Toxicity”</w:t>
      </w:r>
      <w:r>
        <w:t xml:space="preserve"> </w:t>
      </w:r>
      <w:r>
        <w:t xml:space="preserve">(</w:t>
      </w:r>
      <w:r>
        <w:rPr>
          <w:i/>
          <w:iCs/>
        </w:rPr>
        <w:t xml:space="preserve">Toxicity</w:t>
      </w:r>
      <w:r>
        <w:t xml:space="preserve">, 2001). La acumulación de inercia en el fondo del pozo de potencial.</w:t>
      </w:r>
    </w:p>
    <w:p>
      <w:pPr>
        <w:pStyle w:val="Compact"/>
        <w:numPr>
          <w:ilvl w:val="0"/>
          <w:numId w:val="1187"/>
        </w:numPr>
      </w:pPr>
      <w:r>
        <w:rPr>
          <w:b/>
          <w:bCs/>
        </w:rPr>
        <w:t xml:space="preserve">IDLES</w:t>
      </w:r>
      <w:r>
        <w:t xml:space="preserve"> </w:t>
      </w:r>
      <w:r>
        <w:t xml:space="preserve">—</w:t>
      </w:r>
      <w:r>
        <w:t xml:space="preserve"> </w:t>
      </w:r>
      <w:r>
        <w:rPr>
          <w:i/>
          <w:iCs/>
        </w:rPr>
        <w:t xml:space="preserve">“The Beachland Ballroom”</w:t>
      </w:r>
      <w:r>
        <w:t xml:space="preserve"> </w:t>
      </w:r>
      <w:r>
        <w:t xml:space="preserve">(</w:t>
      </w:r>
      <w:r>
        <w:rPr>
          <w:i/>
          <w:iCs/>
        </w:rPr>
        <w:t xml:space="preserve">Crawler</w:t>
      </w:r>
      <w:r>
        <w:t xml:space="preserve">, 2021). El registro del daño en el instante de ruptura del muro (impacto termodinámico de tocar el fondo del pozo).</w:t>
      </w:r>
    </w:p>
    <w:p>
      <w:r>
        <w:pict>
          <v:rect style="width:0;height:1.5pt" o:hralign="center" o:hrstd="t" o:hr="t"/>
        </w:pict>
      </w:r>
    </w:p>
    <w:p>
      <w:pPr>
        <w:pStyle w:val="FirstParagraph"/>
      </w:pPr>
    </w:p>
    <w:p>
      <w:r>
        <w:pict>
          <v:rect style="width:0;height:1.5pt" o:hralign="center" o:hrstd="t" o:hr="t"/>
        </w:pict>
      </w:r>
    </w:p>
    <w:bookmarkEnd w:id="342"/>
    <w:bookmarkStart w:id="343" w:name="audio-anclaje-45"/>
    <w:p>
      <w:pPr>
        <w:pStyle w:val="Heading2"/>
      </w:pPr>
      <w:r>
        <w:t xml:space="preserve">3. Audio-Anclaje</w:t>
      </w:r>
    </w:p>
    <w:p>
      <w:pPr>
        <w:pStyle w:val="Compact"/>
        <w:numPr>
          <w:ilvl w:val="0"/>
          <w:numId w:val="1188"/>
        </w:numPr>
      </w:pPr>
      <w:r>
        <w:rPr>
          <w:b/>
          <w:bCs/>
        </w:rPr>
        <w:t xml:space="preserve">David Bowie</w:t>
      </w:r>
      <w:r>
        <w:t xml:space="preserve"> </w:t>
      </w:r>
      <w:r>
        <w:t xml:space="preserve">—</w:t>
      </w:r>
      <w:r>
        <w:t xml:space="preserve"> </w:t>
      </w:r>
      <w:r>
        <w:rPr>
          <w:i/>
          <w:iCs/>
        </w:rPr>
        <w:t xml:space="preserve">“Changes”</w:t>
      </w:r>
      <w:r>
        <w:t xml:space="preserve"> </w:t>
      </w:r>
      <w:r>
        <w:t xml:space="preserve">(</w:t>
      </w:r>
      <w:r>
        <w:rPr>
          <w:i/>
          <w:iCs/>
        </w:rPr>
        <w:t xml:space="preserve">Hunky Dory</w:t>
      </w:r>
      <w:r>
        <w:t xml:space="preserve">, 1971). El registro de la presión de mutación antes de la extinción.</w:t>
      </w:r>
    </w:p>
    <w:p>
      <w:pPr>
        <w:pStyle w:val="Compact"/>
        <w:numPr>
          <w:ilvl w:val="0"/>
          <w:numId w:val="1188"/>
        </w:numPr>
      </w:pPr>
      <w:r>
        <w:rPr>
          <w:b/>
          <w:bCs/>
        </w:rPr>
        <w:t xml:space="preserve">Depeche Mode</w:t>
      </w:r>
      <w:r>
        <w:t xml:space="preserve"> </w:t>
      </w:r>
      <w:r>
        <w:t xml:space="preserve">—</w:t>
      </w:r>
      <w:r>
        <w:t xml:space="preserve"> </w:t>
      </w:r>
      <w:r>
        <w:rPr>
          <w:i/>
          <w:iCs/>
        </w:rPr>
        <w:t xml:space="preserve">“Everything Counts”</w:t>
      </w:r>
      <w:r>
        <w:t xml:space="preserve"> </w:t>
      </w:r>
      <w:r>
        <w:t xml:space="preserve">(</w:t>
      </w:r>
      <w:r>
        <w:rPr>
          <w:i/>
          <w:iCs/>
        </w:rPr>
        <w:t xml:space="preserve">Construction Time Again</w:t>
      </w:r>
      <w:r>
        <w:t xml:space="preserve">, 1983). El reporte de la ceguera de captura de capital a corto plazo en contra de la supervivencia a medio plazo de la red.</w:t>
      </w:r>
    </w:p>
    <w:p>
      <w:r>
        <w:pict>
          <v:rect style="width:0;height:1.5pt" o:hralign="center" o:hrstd="t" o:hr="t"/>
        </w:pict>
      </w:r>
    </w:p>
    <w:p>
      <w:pPr>
        <w:pStyle w:val="FirstParagraph"/>
      </w:pPr>
    </w:p>
    <w:p>
      <w:r>
        <w:pict>
          <v:rect style="width:0;height:1.5pt" o:hralign="center" o:hrstd="t" o:hr="t"/>
        </w:pict>
      </w:r>
    </w:p>
    <w:bookmarkEnd w:id="343"/>
    <w:bookmarkStart w:id="344" w:name="audio-anclaje-46"/>
    <w:p>
      <w:pPr>
        <w:pStyle w:val="Heading2"/>
      </w:pPr>
      <w:r>
        <w:t xml:space="preserve">3. Audio-Anclaje</w:t>
      </w:r>
    </w:p>
    <w:p>
      <w:pPr>
        <w:pStyle w:val="Compact"/>
        <w:numPr>
          <w:ilvl w:val="0"/>
          <w:numId w:val="1189"/>
        </w:numPr>
      </w:pPr>
      <w:r>
        <w:rPr>
          <w:b/>
          <w:bCs/>
        </w:rPr>
        <w:t xml:space="preserve">Joy Division</w:t>
      </w:r>
      <w:r>
        <w:t xml:space="preserve"> </w:t>
      </w:r>
      <w:r>
        <w:t xml:space="preserve">—</w:t>
      </w:r>
      <w:r>
        <w:t xml:space="preserve"> </w:t>
      </w:r>
      <w:r>
        <w:rPr>
          <w:i/>
          <w:iCs/>
        </w:rPr>
        <w:t xml:space="preserve">“Shadowplay”</w:t>
      </w:r>
      <w:r>
        <w:t xml:space="preserve"> </w:t>
      </w:r>
      <w:r>
        <w:t xml:space="preserve">(</w:t>
      </w:r>
      <w:r>
        <w:rPr>
          <w:i/>
          <w:iCs/>
        </w:rPr>
        <w:t xml:space="preserve">Unknown Pleasures</w:t>
      </w:r>
      <w:r>
        <w:t xml:space="preserve">, 1979). El registro del mapa de paisaje de la urbe industrial, forjada en metal crudo y cemento de bloque.</w:t>
      </w:r>
    </w:p>
    <w:p>
      <w:pPr>
        <w:pStyle w:val="Compact"/>
        <w:numPr>
          <w:ilvl w:val="0"/>
          <w:numId w:val="1189"/>
        </w:numPr>
      </w:pPr>
      <w:r>
        <w:rPr>
          <w:b/>
          <w:bCs/>
        </w:rPr>
        <w:t xml:space="preserve">Einstürzende Neubauten</w:t>
      </w:r>
      <w:r>
        <w:t xml:space="preserve"> </w:t>
      </w:r>
      <w:r>
        <w:t xml:space="preserve">—</w:t>
      </w:r>
      <w:r>
        <w:t xml:space="preserve"> </w:t>
      </w:r>
      <w:r>
        <w:rPr>
          <w:i/>
          <w:iCs/>
        </w:rPr>
        <w:t xml:space="preserve">“Kollaps”</w:t>
      </w:r>
      <w:r>
        <w:t xml:space="preserve"> </w:t>
      </w:r>
      <w:r>
        <w:t xml:space="preserve">(</w:t>
      </w:r>
      <w:r>
        <w:rPr>
          <w:i/>
          <w:iCs/>
        </w:rPr>
        <w:t xml:space="preserve">Kollaps</w:t>
      </w:r>
      <w:r>
        <w:t xml:space="preserve">, 1981). La acción de percusión de física sobre placa de hierro de la construcción en el escenario de derribo de la capa de ornamento.</w:t>
      </w:r>
    </w:p>
    <w:p>
      <w:r>
        <w:pict>
          <v:rect style="width:0;height:1.5pt" o:hralign="center" o:hrstd="t" o:hr="t"/>
        </w:pict>
      </w:r>
    </w:p>
    <w:p>
      <w:r>
        <w:pict>
          <v:rect style="width:0;height:1.5pt" o:hralign="center" o:hrstd="t" o:hr="t"/>
        </w:pict>
      </w:r>
    </w:p>
    <w:bookmarkEnd w:id="344"/>
    <w:bookmarkStart w:id="345" w:name="audio-anclaje-47"/>
    <w:p>
      <w:pPr>
        <w:pStyle w:val="Heading2"/>
      </w:pPr>
      <w:r>
        <w:t xml:space="preserve">3. Audio-Anclaje</w:t>
      </w:r>
    </w:p>
    <w:p>
      <w:pPr>
        <w:pStyle w:val="Compact"/>
        <w:numPr>
          <w:ilvl w:val="0"/>
          <w:numId w:val="1190"/>
        </w:numPr>
      </w:pPr>
      <w:r>
        <w:rPr>
          <w:b/>
          <w:bCs/>
        </w:rPr>
        <w:t xml:space="preserve">King Crimson</w:t>
      </w:r>
      <w:r>
        <w:t xml:space="preserve"> </w:t>
      </w:r>
      <w:r>
        <w:t xml:space="preserve">—</w:t>
      </w:r>
      <w:r>
        <w:t xml:space="preserve"> </w:t>
      </w:r>
      <w:r>
        <w:rPr>
          <w:i/>
          <w:iCs/>
        </w:rPr>
        <w:t xml:space="preserve">“Larks’ Tongues in Aspic, Part Two”</w:t>
      </w:r>
      <w:r>
        <w:t xml:space="preserve"> </w:t>
      </w:r>
      <w:r>
        <w:t xml:space="preserve">(</w:t>
      </w:r>
      <w:r>
        <w:rPr>
          <w:i/>
          <w:iCs/>
        </w:rPr>
        <w:t xml:space="preserve">Larks’ Tongues in Aspic</w:t>
      </w:r>
      <w:r>
        <w:t xml:space="preserve">, 1973). La tensión de percusión metálica y agresión calculada en reposo antes del mordisco.</w:t>
      </w:r>
    </w:p>
    <w:p>
      <w:pPr>
        <w:pStyle w:val="Compact"/>
        <w:numPr>
          <w:ilvl w:val="0"/>
          <w:numId w:val="1190"/>
        </w:numPr>
      </w:pPr>
      <w:r>
        <w:rPr>
          <w:b/>
          <w:bCs/>
        </w:rPr>
        <w:t xml:space="preserve">Tool</w:t>
      </w:r>
      <w:r>
        <w:t xml:space="preserve"> </w:t>
      </w:r>
      <w:r>
        <w:t xml:space="preserve">—</w:t>
      </w:r>
      <w:r>
        <w:t xml:space="preserve"> </w:t>
      </w:r>
      <w:r>
        <w:rPr>
          <w:i/>
          <w:iCs/>
        </w:rPr>
        <w:t xml:space="preserve">“Forty Six &amp; 2”</w:t>
      </w:r>
      <w:r>
        <w:t xml:space="preserve"> </w:t>
      </w:r>
      <w:r>
        <w:t xml:space="preserve">(</w:t>
      </w:r>
      <w:r>
        <w:rPr>
          <w:i/>
          <w:iCs/>
        </w:rPr>
        <w:t xml:space="preserve">Ænima</w:t>
      </w:r>
      <w:r>
        <w:t xml:space="preserve">, 1996). La sombra que aguarda en la profundidad del estanque térmico para forzar la evolución o la extinción del nodo.</w:t>
      </w:r>
    </w:p>
    <w:p>
      <w:r>
        <w:pict>
          <v:rect style="width:0;height:1.5pt" o:hralign="center" o:hrstd="t" o:hr="t"/>
        </w:pict>
      </w:r>
    </w:p>
    <w:bookmarkEnd w:id="345"/>
    <w:bookmarkStart w:id="346" w:name="capítulo-v-huella"/>
    <w:p>
      <w:pPr>
        <w:pStyle w:val="Heading2"/>
      </w:pPr>
      <w:r>
        <w:t xml:space="preserve">CAPÍTULO V: HUELLA</w:t>
      </w:r>
    </w:p>
    <w:bookmarkEnd w:id="346"/>
    <w:bookmarkStart w:id="347" w:name="X2d6f20aa66b7fc18f1d80815c98b0629ee1797d"/>
    <w:p>
      <w:pPr>
        <w:pStyle w:val="Heading2"/>
      </w:pPr>
      <w:r>
        <w:t xml:space="preserve">Axioma V — Asimetria del Coste de Falsificacion y Senales con Tasa de Exergia Superior</w:t>
      </w:r>
    </w:p>
    <w:p>
      <w:pPr>
        <w:pStyle w:val="BlockText"/>
      </w:pPr>
      <w:r>
        <w:rPr>
          <w:i/>
          <w:iCs/>
        </w:rPr>
        <w:t xml:space="preserve">“Resulta que amor y conocimiento abundan, al menos para quien devuelva amor y conocimiento.”</w:t>
      </w:r>
      <w:r>
        <w:br/>
      </w:r>
      <w:r>
        <w:t xml:space="preserve">—</w:t>
      </w:r>
      <w:r>
        <w:t xml:space="preserve"> </w:t>
      </w:r>
      <w:r>
        <w:rPr>
          <w:b/>
          <w:bCs/>
        </w:rPr>
        <w:t xml:space="preserve">Antonio Escohotado</w:t>
      </w:r>
      <w:r>
        <w:t xml:space="preserve"> </w:t>
      </w:r>
      <w:r>
        <w:t xml:space="preserve">(</w:t>
      </w:r>
      <w:r>
        <w:rPr>
          <w:i/>
          <w:iCs/>
        </w:rPr>
        <w:t xml:space="preserve">Confesiones de un opiófilo</w:t>
      </w:r>
      <w:r>
        <w:t xml:space="preserve">, 2023)</w:t>
      </w:r>
    </w:p>
    <w:p>
      <w:pPr>
        <w:pStyle w:val="SourceCode"/>
      </w:pPr>
      <w:r>
        <w:rPr>
          <w:rStyle w:val="VerbatimChar"/>
        </w:rPr>
        <w:t xml:space="preserve">Audio-Anclaje: Radiohead — "Fake Plastic Trees" (1995) / Chet Baker — "My Funny Valentine" (1987)</w:t>
      </w:r>
      <w:r>
        <w:br/>
      </w:r>
      <w:r>
        <w:rPr>
          <w:rStyle w:val="VerbatimChar"/>
        </w:rPr>
        <w:t xml:space="preserve">Cota Fisiológica: I(θ; Σ_I) &gt;&gt; I(θ; Σ_V) ≈ 0</w:t>
      </w:r>
    </w:p>
    <w:p>
      <w:r>
        <w:pict>
          <v:rect style="width:0;height:1.5pt" o:hralign="center" o:hrstd="t" o:hr="t"/>
        </w:pict>
      </w:r>
    </w:p>
    <w:p>
      <w:r>
        <w:pict>
          <v:rect style="width:0;height:1.5pt" o:hralign="center" o:hrstd="t" o:hr="t"/>
        </w:pict>
      </w:r>
    </w:p>
    <w:bookmarkEnd w:id="347"/>
    <w:bookmarkStart w:id="348" w:name="audio-anclaje-48"/>
    <w:p>
      <w:pPr>
        <w:pStyle w:val="Heading2"/>
      </w:pPr>
      <w:r>
        <w:t xml:space="preserve">10. Audio-Anclaje</w:t>
      </w:r>
    </w:p>
    <w:p>
      <w:pPr>
        <w:pStyle w:val="Compact"/>
        <w:numPr>
          <w:ilvl w:val="0"/>
          <w:numId w:val="1191"/>
        </w:numPr>
      </w:pPr>
      <w:r>
        <w:rPr>
          <w:b/>
          <w:bCs/>
        </w:rPr>
        <w:t xml:space="preserve">Violadores del Verso</w:t>
      </w:r>
      <w:r>
        <w:t xml:space="preserve"> </w:t>
      </w:r>
      <w:r>
        <w:t xml:space="preserve">—</w:t>
      </w:r>
      <w:r>
        <w:t xml:space="preserve"> </w:t>
      </w:r>
      <w:r>
        <w:rPr>
          <w:i/>
          <w:iCs/>
        </w:rPr>
        <w:t xml:space="preserve">“Vivir para Contarlo”</w:t>
      </w:r>
      <w:r>
        <w:t xml:space="preserve"> </w:t>
      </w:r>
      <w:r>
        <w:t xml:space="preserve">(</w:t>
      </w:r>
      <w:r>
        <w:rPr>
          <w:i/>
          <w:iCs/>
        </w:rPr>
        <w:t xml:space="preserve">Vivir Para Contarlo</w:t>
      </w:r>
      <w:r>
        <w:t xml:space="preserve">, 2006). La supervivencia como acto de emisión de huella involuntaria.</w:t>
      </w:r>
    </w:p>
    <w:p>
      <w:pPr>
        <w:pStyle w:val="Compact"/>
        <w:numPr>
          <w:ilvl w:val="0"/>
          <w:numId w:val="1191"/>
        </w:numPr>
      </w:pPr>
      <w:r>
        <w:rPr>
          <w:b/>
          <w:bCs/>
        </w:rPr>
        <w:t xml:space="preserve">Glenn Gould</w:t>
      </w:r>
      <w:r>
        <w:t xml:space="preserve"> </w:t>
      </w:r>
      <w:r>
        <w:t xml:space="preserve">—</w:t>
      </w:r>
      <w:r>
        <w:t xml:space="preserve"> </w:t>
      </w:r>
      <w:r>
        <w:rPr>
          <w:i/>
          <w:iCs/>
        </w:rPr>
        <w:t xml:space="preserve">Goldberg Variations</w:t>
      </w:r>
      <w:r>
        <w:t xml:space="preserve"> </w:t>
      </w:r>
      <w:r>
        <w:t xml:space="preserve">(1955 vs. 1981). La comparación de las dos grabaciones como log del recorrido de un nodo.</w:t>
      </w:r>
    </w:p>
    <w:p>
      <w:pPr>
        <w:pStyle w:val="Compact"/>
        <w:numPr>
          <w:ilvl w:val="0"/>
          <w:numId w:val="1191"/>
        </w:numPr>
      </w:pPr>
      <w:r>
        <w:rPr>
          <w:b/>
          <w:bCs/>
        </w:rPr>
        <w:t xml:space="preserve">Johnny Cash &amp; Rick Rubin</w:t>
      </w:r>
      <w:r>
        <w:t xml:space="preserve"> </w:t>
      </w:r>
      <w:r>
        <w:t xml:space="preserve">—</w:t>
      </w:r>
      <w:r>
        <w:t xml:space="preserve"> </w:t>
      </w:r>
      <w:r>
        <w:rPr>
          <w:i/>
          <w:iCs/>
        </w:rPr>
        <w:t xml:space="preserve">“Hurt”</w:t>
      </w:r>
      <w:r>
        <w:t xml:space="preserve"> </w:t>
      </w:r>
      <w:r>
        <w:t xml:space="preserve">(</w:t>
      </w:r>
      <w:r>
        <w:rPr>
          <w:i/>
          <w:iCs/>
        </w:rPr>
        <w:t xml:space="preserve">American IV: The Man Comes Around</w:t>
      </w:r>
      <w:r>
        <w:t xml:space="preserve">, 2002). La sustracción de capas como retorno a la biopsia somática terminal del emisor.</w:t>
      </w:r>
    </w:p>
    <w:p>
      <w:pPr>
        <w:pStyle w:val="Compact"/>
        <w:numPr>
          <w:ilvl w:val="0"/>
          <w:numId w:val="1191"/>
        </w:numPr>
      </w:pPr>
      <w:r>
        <w:rPr>
          <w:b/>
          <w:bCs/>
        </w:rPr>
        <w:t xml:space="preserve">Extremoduro / Robe Iniesta</w:t>
      </w:r>
      <w:r>
        <w:t xml:space="preserve"> </w:t>
      </w:r>
      <w:r>
        <w:t xml:space="preserve">—</w:t>
      </w:r>
      <w:r>
        <w:t xml:space="preserve"> </w:t>
      </w:r>
      <w:r>
        <w:rPr>
          <w:i/>
          <w:iCs/>
        </w:rPr>
        <w:t xml:space="preserve">“Dulce Introducción al Caos”</w:t>
      </w:r>
      <w:r>
        <w:t xml:space="preserve"> </w:t>
      </w:r>
      <w:r>
        <w:t xml:space="preserve">(</w:t>
      </w:r>
      <w:r>
        <w:rPr>
          <w:i/>
          <w:iCs/>
        </w:rPr>
        <w:t xml:space="preserve">La Ley Innata</w:t>
      </w:r>
      <w:r>
        <w:t xml:space="preserve">, 2008). La señal que el sistema no puede catalogar.</w:t>
      </w:r>
    </w:p>
    <w:p>
      <w:pPr>
        <w:pStyle w:val="Compact"/>
        <w:numPr>
          <w:ilvl w:val="0"/>
          <w:numId w:val="1191"/>
        </w:numPr>
      </w:pPr>
      <w:r>
        <w:rPr>
          <w:b/>
          <w:bCs/>
        </w:rPr>
        <w:t xml:space="preserve">Chet Baker</w:t>
      </w:r>
      <w:r>
        <w:t xml:space="preserve"> </w:t>
      </w:r>
      <w:r>
        <w:t xml:space="preserve">—</w:t>
      </w:r>
      <w:r>
        <w:t xml:space="preserve"> </w:t>
      </w:r>
      <w:r>
        <w:rPr>
          <w:i/>
          <w:iCs/>
        </w:rPr>
        <w:t xml:space="preserve">“My Funny Valentine”</w:t>
      </w:r>
      <w:r>
        <w:t xml:space="preserve"> </w:t>
      </w:r>
      <w:r>
        <w:t xml:space="preserve">(Tokio, 1987). La huella de un cuerpo al límite de su capacidad de emisión.</w:t>
      </w:r>
    </w:p>
    <w:p>
      <w:pPr>
        <w:pStyle w:val="Compact"/>
        <w:numPr>
          <w:ilvl w:val="0"/>
          <w:numId w:val="1191"/>
        </w:numPr>
      </w:pPr>
      <w:r>
        <w:rPr>
          <w:b/>
          <w:bCs/>
        </w:rPr>
        <w:t xml:space="preserve">Talk Talk</w:t>
      </w:r>
      <w:r>
        <w:t xml:space="preserve"> </w:t>
      </w:r>
      <w:r>
        <w:t xml:space="preserve">—</w:t>
      </w:r>
      <w:r>
        <w:t xml:space="preserve"> </w:t>
      </w:r>
      <w:r>
        <w:rPr>
          <w:i/>
          <w:iCs/>
        </w:rPr>
        <w:t xml:space="preserve">“I Believe in You”</w:t>
      </w:r>
      <w:r>
        <w:t xml:space="preserve"> </w:t>
      </w:r>
      <w:r>
        <w:t xml:space="preserve">(</w:t>
      </w:r>
      <w:r>
        <w:rPr>
          <w:i/>
          <w:iCs/>
        </w:rPr>
        <w:t xml:space="preserve">Spirit of Eden</w:t>
      </w:r>
      <w:r>
        <w:t xml:space="preserve">, 1988). Mark Hollis disolvió el grupo, publicó el álbum en solitario</w:t>
      </w:r>
      <w:r>
        <w:t xml:space="preserve"> </w:t>
      </w:r>
      <w:r>
        <w:rPr>
          <w:i/>
          <w:iCs/>
        </w:rPr>
        <w:t xml:space="preserve">Mark Hollis</w:t>
      </w:r>
      <w:r>
        <w:t xml:space="preserve"> </w:t>
      </w:r>
      <w:r>
        <w:t xml:space="preserve">(Polydor, 1998) y colaboró en</w:t>
      </w:r>
      <w:r>
        <w:t xml:space="preserve"> </w:t>
      </w:r>
      <w:r>
        <w:rPr>
          <w:i/>
          <w:iCs/>
        </w:rPr>
        <w:t xml:space="preserve">Psyence Fiction</w:t>
      </w:r>
      <w:r>
        <w:t xml:space="preserve"> </w:t>
      </w:r>
      <w:r>
        <w:t xml:space="preserve">de UNKLE (1998) antes de retirarse. La huella es el silencio después del ruido.</w:t>
      </w:r>
    </w:p>
    <w:p>
      <w:pPr>
        <w:pStyle w:val="SourceCode"/>
      </w:pPr>
      <w:r>
        <w:rPr>
          <w:rStyle w:val="VerbatimChar"/>
        </w:rPr>
        <w:t xml:space="preserve">La genialidad no se declara.</w:t>
      </w:r>
      <w:r>
        <w:br/>
      </w:r>
      <w:r>
        <w:rPr>
          <w:rStyle w:val="VerbatimChar"/>
        </w:rPr>
        <w:t xml:space="preserve">Se mide por la resistencia que genera en el sistema</w:t>
      </w:r>
      <w:r>
        <w:br/>
      </w:r>
      <w:r>
        <w:rPr>
          <w:rStyle w:val="VerbatimChar"/>
        </w:rPr>
        <w:t xml:space="preserve">y por la imposibilidad de replicar la señal</w:t>
      </w:r>
      <w:r>
        <w:br/>
      </w:r>
      <w:r>
        <w:rPr>
          <w:rStyle w:val="VerbatimChar"/>
        </w:rPr>
        <w:t xml:space="preserve">sin replicar las condiciones físicas que la produjeron.</w:t>
      </w:r>
    </w:p>
    <w:p>
      <w:r>
        <w:pict>
          <v:rect style="width:0;height:1.5pt" o:hralign="center" o:hrstd="t" o:hr="t"/>
        </w:pict>
      </w:r>
    </w:p>
    <w:p>
      <w:r>
        <w:pict>
          <v:rect style="width:0;height:1.5pt" o:hralign="center" o:hrstd="t" o:hr="t"/>
        </w:pict>
      </w:r>
    </w:p>
    <w:bookmarkEnd w:id="348"/>
    <w:bookmarkStart w:id="349" w:name="audio-anclaje-49"/>
    <w:p>
      <w:pPr>
        <w:pStyle w:val="Heading2"/>
      </w:pPr>
      <w:r>
        <w:t xml:space="preserve">3. Audio-Anclaje</w:t>
      </w:r>
    </w:p>
    <w:p>
      <w:pPr>
        <w:pStyle w:val="Compact"/>
        <w:numPr>
          <w:ilvl w:val="0"/>
          <w:numId w:val="1192"/>
        </w:numPr>
      </w:pPr>
      <w:r>
        <w:rPr>
          <w:b/>
          <w:bCs/>
        </w:rPr>
        <w:t xml:space="preserve">Brian Eno</w:t>
      </w:r>
      <w:r>
        <w:t xml:space="preserve"> </w:t>
      </w:r>
      <w:r>
        <w:t xml:space="preserve">—</w:t>
      </w:r>
      <w:r>
        <w:t xml:space="preserve"> </w:t>
      </w:r>
      <w:r>
        <w:rPr>
          <w:i/>
          <w:iCs/>
        </w:rPr>
        <w:t xml:space="preserve">“1/1”</w:t>
      </w:r>
      <w:r>
        <w:t xml:space="preserve"> </w:t>
      </w:r>
      <w:r>
        <w:t xml:space="preserve">(</w:t>
      </w:r>
      <w:r>
        <w:rPr>
          <w:i/>
          <w:iCs/>
        </w:rPr>
        <w:t xml:space="preserve">Music for Airports</w:t>
      </w:r>
      <w:r>
        <w:t xml:space="preserve">, 1978). La orden de sincronización de frecuencia a velocidad mínima en el espacio físico.</w:t>
      </w:r>
    </w:p>
    <w:p>
      <w:pPr>
        <w:pStyle w:val="Compact"/>
        <w:numPr>
          <w:ilvl w:val="0"/>
          <w:numId w:val="1192"/>
        </w:numPr>
      </w:pPr>
      <w:r>
        <w:rPr>
          <w:b/>
          <w:bCs/>
        </w:rPr>
        <w:t xml:space="preserve">My Bloody Valentine</w:t>
      </w:r>
      <w:r>
        <w:t xml:space="preserve"> </w:t>
      </w:r>
      <w:r>
        <w:t xml:space="preserve">—</w:t>
      </w:r>
      <w:r>
        <w:t xml:space="preserve"> </w:t>
      </w:r>
      <w:r>
        <w:rPr>
          <w:i/>
          <w:iCs/>
        </w:rPr>
        <w:t xml:space="preserve">“Sometimes”</w:t>
      </w:r>
      <w:r>
        <w:t xml:space="preserve"> </w:t>
      </w:r>
      <w:r>
        <w:t xml:space="preserve">(</w:t>
      </w:r>
      <w:r>
        <w:rPr>
          <w:i/>
          <w:iCs/>
        </w:rPr>
        <w:t xml:space="preserve">Loveless</w:t>
      </w:r>
      <w:r>
        <w:t xml:space="preserve">, 1991). La fusión del espectro de fase en un bloque de cemento de ruido con estructura de armonía.</w:t>
      </w:r>
    </w:p>
    <w:p>
      <w:r>
        <w:pict>
          <v:rect style="width:0;height:1.5pt" o:hralign="center" o:hrstd="t" o:hr="t"/>
        </w:pict>
      </w:r>
    </w:p>
    <w:p>
      <w:r>
        <w:pict>
          <v:rect style="width:0;height:1.5pt" o:hralign="center" o:hrstd="t" o:hr="t"/>
        </w:pict>
      </w:r>
    </w:p>
    <w:bookmarkEnd w:id="349"/>
    <w:bookmarkStart w:id="350" w:name="audio-anclaje-50"/>
    <w:p>
      <w:pPr>
        <w:pStyle w:val="Heading2"/>
      </w:pPr>
      <w:r>
        <w:t xml:space="preserve">3. Audio-Anclaje</w:t>
      </w:r>
    </w:p>
    <w:p>
      <w:pPr>
        <w:pStyle w:val="Compact"/>
        <w:numPr>
          <w:ilvl w:val="0"/>
          <w:numId w:val="1193"/>
        </w:numPr>
      </w:pPr>
      <w:r>
        <w:rPr>
          <w:b/>
          <w:bCs/>
        </w:rPr>
        <w:t xml:space="preserve">Nirvana</w:t>
      </w:r>
      <w:r>
        <w:t xml:space="preserve"> </w:t>
      </w:r>
      <w:r>
        <w:t xml:space="preserve">—</w:t>
      </w:r>
      <w:r>
        <w:t xml:space="preserve"> </w:t>
      </w:r>
      <w:r>
        <w:rPr>
          <w:i/>
          <w:iCs/>
        </w:rPr>
        <w:t xml:space="preserve">“Tourette’s”</w:t>
      </w:r>
      <w:r>
        <w:t xml:space="preserve"> </w:t>
      </w:r>
      <w:r>
        <w:t xml:space="preserve">(</w:t>
      </w:r>
      <w:r>
        <w:rPr>
          <w:i/>
          <w:iCs/>
        </w:rPr>
        <w:t xml:space="preserve">In Utero</w:t>
      </w:r>
      <w:r>
        <w:t xml:space="preserve">, 1993). La liberación de la cuota máxima de fuerza de tensión de voz en la frontera de límite del material.</w:t>
      </w:r>
    </w:p>
    <w:p>
      <w:pPr>
        <w:pStyle w:val="Compact"/>
        <w:numPr>
          <w:ilvl w:val="0"/>
          <w:numId w:val="1193"/>
        </w:numPr>
      </w:pPr>
      <w:r>
        <w:rPr>
          <w:b/>
          <w:bCs/>
        </w:rPr>
        <w:t xml:space="preserve">Rage Against the Machine</w:t>
      </w:r>
      <w:r>
        <w:t xml:space="preserve"> </w:t>
      </w:r>
      <w:r>
        <w:t xml:space="preserve">—</w:t>
      </w:r>
      <w:r>
        <w:t xml:space="preserve"> </w:t>
      </w:r>
      <w:r>
        <w:rPr>
          <w:i/>
          <w:iCs/>
        </w:rPr>
        <w:t xml:space="preserve">“Bombtrack”</w:t>
      </w:r>
      <w:r>
        <w:t xml:space="preserve"> </w:t>
      </w:r>
      <w:r>
        <w:t xml:space="preserve">(</w:t>
      </w:r>
      <w:r>
        <w:rPr>
          <w:i/>
          <w:iCs/>
        </w:rPr>
        <w:t xml:space="preserve">Rage Against the Machine</w:t>
      </w:r>
      <w:r>
        <w:t xml:space="preserve">, 1992). El impacto de fricción contra el muro de la estructura de control sin la concesión de fractura.</w:t>
      </w:r>
    </w:p>
    <w:p>
      <w:r>
        <w:pict>
          <v:rect style="width:0;height:1.5pt" o:hralign="center" o:hrstd="t" o:hr="t"/>
        </w:pict>
      </w:r>
    </w:p>
    <w:p>
      <w:r>
        <w:pict>
          <v:rect style="width:0;height:1.5pt" o:hralign="center" o:hrstd="t" o:hr="t"/>
        </w:pict>
      </w:r>
    </w:p>
    <w:bookmarkEnd w:id="350"/>
    <w:bookmarkStart w:id="351" w:name="audio-anclaje-51"/>
    <w:p>
      <w:pPr>
        <w:pStyle w:val="Heading2"/>
      </w:pPr>
      <w:r>
        <w:t xml:space="preserve">3. Audio-Anclaje</w:t>
      </w:r>
    </w:p>
    <w:p>
      <w:pPr>
        <w:pStyle w:val="Compact"/>
        <w:numPr>
          <w:ilvl w:val="0"/>
          <w:numId w:val="1194"/>
        </w:numPr>
      </w:pPr>
      <w:r>
        <w:rPr>
          <w:b/>
          <w:bCs/>
        </w:rPr>
        <w:t xml:space="preserve">Thom Yorke</w:t>
      </w:r>
      <w:r>
        <w:t xml:space="preserve"> </w:t>
      </w:r>
      <w:r>
        <w:t xml:space="preserve">—</w:t>
      </w:r>
      <w:r>
        <w:t xml:space="preserve"> </w:t>
      </w:r>
      <w:r>
        <w:rPr>
          <w:i/>
          <w:iCs/>
        </w:rPr>
        <w:t xml:space="preserve">“The Eraser”</w:t>
      </w:r>
      <w:r>
        <w:t xml:space="preserve"> </w:t>
      </w:r>
      <w:r>
        <w:t xml:space="preserve">(</w:t>
      </w:r>
      <w:r>
        <w:rPr>
          <w:i/>
          <w:iCs/>
        </w:rPr>
        <w:t xml:space="preserve">The Eraser</w:t>
      </w:r>
      <w:r>
        <w:t xml:space="preserve">, 2006). El borrado del registro de la alarma a cambio de la anestesia de repetición.</w:t>
      </w:r>
    </w:p>
    <w:p>
      <w:pPr>
        <w:pStyle w:val="Compact"/>
        <w:numPr>
          <w:ilvl w:val="0"/>
          <w:numId w:val="1194"/>
        </w:numPr>
      </w:pPr>
      <w:r>
        <w:rPr>
          <w:b/>
          <w:bCs/>
        </w:rPr>
        <w:t xml:space="preserve">Nine Inch Nails</w:t>
      </w:r>
      <w:r>
        <w:t xml:space="preserve"> </w:t>
      </w:r>
      <w:r>
        <w:t xml:space="preserve">—</w:t>
      </w:r>
      <w:r>
        <w:t xml:space="preserve"> </w:t>
      </w:r>
      <w:r>
        <w:rPr>
          <w:i/>
          <w:iCs/>
        </w:rPr>
        <w:t xml:space="preserve">“The Hand That Feeds”</w:t>
      </w:r>
      <w:r>
        <w:t xml:space="preserve"> </w:t>
      </w:r>
      <w:r>
        <w:t xml:space="preserve">(</w:t>
      </w:r>
      <w:r>
        <w:rPr>
          <w:i/>
          <w:iCs/>
        </w:rPr>
        <w:t xml:space="preserve">With Teeth</w:t>
      </w:r>
      <w:r>
        <w:t xml:space="preserve">, 2005). La métrica del ataque de voltaje contra la mano del emisor de la anestesia.</w:t>
      </w:r>
    </w:p>
    <w:p>
      <w:r>
        <w:pict>
          <v:rect style="width:0;height:1.5pt" o:hralign="center" o:hrstd="t" o:hr="t"/>
        </w:pict>
      </w:r>
    </w:p>
    <w:p>
      <w:r>
        <w:pict>
          <v:rect style="width:0;height:1.5pt" o:hralign="center" o:hrstd="t" o:hr="t"/>
        </w:pict>
      </w:r>
    </w:p>
    <w:bookmarkEnd w:id="351"/>
    <w:bookmarkStart w:id="352" w:name="audio-anclaje-52"/>
    <w:p>
      <w:pPr>
        <w:pStyle w:val="Heading2"/>
      </w:pPr>
      <w:r>
        <w:t xml:space="preserve">3. Audio-Anclaje</w:t>
      </w:r>
    </w:p>
    <w:p>
      <w:pPr>
        <w:pStyle w:val="Compact"/>
        <w:numPr>
          <w:ilvl w:val="0"/>
          <w:numId w:val="1195"/>
        </w:numPr>
      </w:pPr>
      <w:r>
        <w:rPr>
          <w:b/>
          <w:bCs/>
        </w:rPr>
        <w:t xml:space="preserve">Burial</w:t>
      </w:r>
      <w:r>
        <w:t xml:space="preserve"> </w:t>
      </w:r>
      <w:r>
        <w:t xml:space="preserve">—</w:t>
      </w:r>
      <w:r>
        <w:t xml:space="preserve"> </w:t>
      </w:r>
      <w:r>
        <w:rPr>
          <w:i/>
          <w:iCs/>
        </w:rPr>
        <w:t xml:space="preserve">“Archangel”</w:t>
      </w:r>
      <w:r>
        <w:t xml:space="preserve"> </w:t>
      </w:r>
      <w:r>
        <w:t xml:space="preserve">(</w:t>
      </w:r>
      <w:r>
        <w:rPr>
          <w:i/>
          <w:iCs/>
        </w:rPr>
        <w:t xml:space="preserve">Untrue</w:t>
      </w:r>
      <w:r>
        <w:t xml:space="preserve">, 2007). El uso del aislamiento de sonido urbano en calidad de estructura de refugio de nodo.</w:t>
      </w:r>
    </w:p>
    <w:p>
      <w:pPr>
        <w:pStyle w:val="Compact"/>
        <w:numPr>
          <w:ilvl w:val="0"/>
          <w:numId w:val="1195"/>
        </w:numPr>
      </w:pPr>
      <w:r>
        <w:rPr>
          <w:b/>
          <w:bCs/>
        </w:rPr>
        <w:t xml:space="preserve">Deftones</w:t>
      </w:r>
      <w:r>
        <w:t xml:space="preserve"> </w:t>
      </w:r>
      <w:r>
        <w:t xml:space="preserve">—</w:t>
      </w:r>
      <w:r>
        <w:t xml:space="preserve"> </w:t>
      </w:r>
      <w:r>
        <w:rPr>
          <w:i/>
          <w:iCs/>
        </w:rPr>
        <w:t xml:space="preserve">“Be Quiet and Drive (Far Away)”</w:t>
      </w:r>
      <w:r>
        <w:t xml:space="preserve"> </w:t>
      </w:r>
      <w:r>
        <w:t xml:space="preserve">(</w:t>
      </w:r>
      <w:r>
        <w:rPr>
          <w:i/>
          <w:iCs/>
        </w:rPr>
        <w:t xml:space="preserve">Around the Fur</w:t>
      </w:r>
      <w:r>
        <w:t xml:space="preserve">, 1997). La ejecución de escape a velocidad de impacto ante el registro de aumento de la radiación de límite de proximidad.</w:t>
      </w:r>
    </w:p>
    <w:p>
      <w:r>
        <w:pict>
          <v:rect style="width:0;height:1.5pt" o:hralign="center" o:hrstd="t" o:hr="t"/>
        </w:pict>
      </w:r>
    </w:p>
    <w:p>
      <w:r>
        <w:pict>
          <v:rect style="width:0;height:1.5pt" o:hralign="center" o:hrstd="t" o:hr="t"/>
        </w:pict>
      </w:r>
    </w:p>
    <w:bookmarkEnd w:id="352"/>
    <w:bookmarkStart w:id="353" w:name="audio-anclaje-53"/>
    <w:p>
      <w:pPr>
        <w:pStyle w:val="Heading2"/>
      </w:pPr>
      <w:r>
        <w:t xml:space="preserve">3. Audio-Anclaje</w:t>
      </w:r>
    </w:p>
    <w:p>
      <w:pPr>
        <w:pStyle w:val="Compact"/>
        <w:numPr>
          <w:ilvl w:val="0"/>
          <w:numId w:val="1196"/>
        </w:numPr>
      </w:pPr>
      <w:r>
        <w:rPr>
          <w:b/>
          <w:bCs/>
        </w:rPr>
        <w:t xml:space="preserve">Nine Inch Nails</w:t>
      </w:r>
      <w:r>
        <w:t xml:space="preserve"> </w:t>
      </w:r>
      <w:r>
        <w:t xml:space="preserve">—</w:t>
      </w:r>
      <w:r>
        <w:t xml:space="preserve"> </w:t>
      </w:r>
      <w:r>
        <w:rPr>
          <w:i/>
          <w:iCs/>
        </w:rPr>
        <w:t xml:space="preserve">“March of the Pigs”</w:t>
      </w:r>
      <w:r>
        <w:t xml:space="preserve"> </w:t>
      </w:r>
      <w:r>
        <w:t xml:space="preserve">(</w:t>
      </w:r>
      <w:r>
        <w:rPr>
          <w:i/>
          <w:iCs/>
        </w:rPr>
        <w:t xml:space="preserve">The Downward Spiral</w:t>
      </w:r>
      <w:r>
        <w:t xml:space="preserve">, 1994). La escalada de saturación del ataque en grupo bajo el pabellón de falsa bandera de pureza.</w:t>
      </w:r>
    </w:p>
    <w:p>
      <w:pPr>
        <w:pStyle w:val="Compact"/>
        <w:numPr>
          <w:ilvl w:val="0"/>
          <w:numId w:val="1196"/>
        </w:numPr>
      </w:pPr>
      <w:r>
        <w:rPr>
          <w:b/>
          <w:bCs/>
        </w:rPr>
        <w:t xml:space="preserve">Marilyn Manson</w:t>
      </w:r>
      <w:r>
        <w:t xml:space="preserve"> </w:t>
      </w:r>
      <w:r>
        <w:t xml:space="preserve">—</w:t>
      </w:r>
      <w:r>
        <w:t xml:space="preserve"> </w:t>
      </w:r>
      <w:r>
        <w:rPr>
          <w:i/>
          <w:iCs/>
        </w:rPr>
        <w:t xml:space="preserve">“The Beautiful People”</w:t>
      </w:r>
      <w:r>
        <w:t xml:space="preserve"> </w:t>
      </w:r>
      <w:r>
        <w:t xml:space="preserve">(</w:t>
      </w:r>
      <w:r>
        <w:rPr>
          <w:i/>
          <w:iCs/>
        </w:rPr>
        <w:t xml:space="preserve">Antichrist Superstar</w:t>
      </w:r>
      <w:r>
        <w:t xml:space="preserve">, 1996). La constatación pericial del motor de la trampa de embargo del cocodrilo del Nilo burocrático de repudio en el formato de constante física.</w:t>
      </w:r>
    </w:p>
    <w:p>
      <w:r>
        <w:pict>
          <v:rect style="width:0;height:1.5pt" o:hralign="center" o:hrstd="t" o:hr="t"/>
        </w:pict>
      </w:r>
    </w:p>
    <w:p>
      <w:r>
        <w:pict>
          <v:rect style="width:0;height:1.5pt" o:hralign="center" o:hrstd="t" o:hr="t"/>
        </w:pict>
      </w:r>
    </w:p>
    <w:bookmarkEnd w:id="353"/>
    <w:bookmarkStart w:id="354" w:name="audio-anclaje-de-cierre-1"/>
    <w:p>
      <w:pPr>
        <w:pStyle w:val="Heading2"/>
      </w:pPr>
      <w:r>
        <w:t xml:space="preserve">4. Audio-Anclaje de Cierre</w:t>
      </w:r>
    </w:p>
    <w:p>
      <w:pPr>
        <w:pStyle w:val="Compact"/>
        <w:numPr>
          <w:ilvl w:val="0"/>
          <w:numId w:val="1197"/>
        </w:numPr>
      </w:pPr>
      <w:r>
        <w:rPr>
          <w:b/>
          <w:bCs/>
        </w:rPr>
        <w:t xml:space="preserve">Extremoduro / Robe Iniesta</w:t>
      </w:r>
      <w:r>
        <w:t xml:space="preserve"> </w:t>
      </w:r>
      <w:r>
        <w:t xml:space="preserve">—</w:t>
      </w:r>
      <w:r>
        <w:t xml:space="preserve"> </w:t>
      </w:r>
      <w:r>
        <w:rPr>
          <w:i/>
          <w:iCs/>
        </w:rPr>
        <w:t xml:space="preserve">“Coda Flamenca (otra realidad)”</w:t>
      </w:r>
      <w:r>
        <w:t xml:space="preserve"> </w:t>
      </w:r>
      <w:r>
        <w:t xml:space="preserve">(</w:t>
      </w:r>
      <w:r>
        <w:rPr>
          <w:i/>
          <w:iCs/>
        </w:rPr>
        <w:t xml:space="preserve">La Ley Innata</w:t>
      </w:r>
      <w:r>
        <w:t xml:space="preserve">, 2008). El cierre de la obra en el instante en el que la guitarra y el violín ejecutan la disolución de la forma en el silencio del territorio.</w:t>
      </w:r>
    </w:p>
    <w:p>
      <w:pPr>
        <w:pStyle w:val="Compact"/>
        <w:numPr>
          <w:ilvl w:val="0"/>
          <w:numId w:val="1197"/>
        </w:numPr>
      </w:pPr>
      <w:r>
        <w:rPr>
          <w:b/>
          <w:bCs/>
        </w:rPr>
        <w:t xml:space="preserve">Pink Floyd</w:t>
      </w:r>
      <w:r>
        <w:t xml:space="preserve"> </w:t>
      </w:r>
      <w:r>
        <w:t xml:space="preserve">—</w:t>
      </w:r>
      <w:r>
        <w:t xml:space="preserve"> </w:t>
      </w:r>
      <w:r>
        <w:rPr>
          <w:i/>
          <w:iCs/>
        </w:rPr>
        <w:t xml:space="preserve">“Eclipse”</w:t>
      </w:r>
      <w:r>
        <w:t xml:space="preserve"> </w:t>
      </w:r>
      <w:r>
        <w:t xml:space="preserve">(</w:t>
      </w:r>
      <w:r>
        <w:rPr>
          <w:i/>
          <w:iCs/>
        </w:rPr>
        <w:t xml:space="preserve">The Dark Side of the Moon</w:t>
      </w:r>
      <w:r>
        <w:t xml:space="preserve">, 1973). La suma final de todo lo que se toca, se ve, se crea y se destruye bajo el sol en estado de sombra.</w:t>
      </w:r>
    </w:p>
    <w:p>
      <w:r>
        <w:pict>
          <v:rect style="width:0;height:1.5pt" o:hralign="center" o:hrstd="t" o:hr="t"/>
        </w:pict>
      </w:r>
    </w:p>
    <w:bookmarkEnd w:id="354"/>
    <w:bookmarkStart w:id="355" w:name="capítulo-vi-renacimiento"/>
    <w:p>
      <w:pPr>
        <w:pStyle w:val="Heading2"/>
      </w:pPr>
      <w:r>
        <w:t xml:space="preserve">CAPÍTULO VI: RENACIMIENTO</w:t>
      </w:r>
    </w:p>
    <w:bookmarkEnd w:id="355"/>
    <w:bookmarkStart w:id="356" w:name="audio-anclaje-54"/>
    <w:p>
      <w:pPr>
        <w:pStyle w:val="Heading2"/>
      </w:pPr>
      <w:r>
        <w:t xml:space="preserve">4. Audio-Anclaje</w:t>
      </w:r>
    </w:p>
    <w:p>
      <w:pPr>
        <w:numPr>
          <w:ilvl w:val="0"/>
          <w:numId w:val="1198"/>
        </w:numPr>
      </w:pPr>
      <w:r>
        <w:rPr>
          <w:b/>
          <w:bCs/>
        </w:rPr>
        <w:t xml:space="preserve">Kase.O &amp; Orquesta OCAS</w:t>
      </w:r>
      <w:r>
        <w:t xml:space="preserve"> </w:t>
      </w:r>
      <w:r>
        <w:t xml:space="preserve">—</w:t>
      </w:r>
      <w:r>
        <w:t xml:space="preserve"> </w:t>
      </w:r>
      <w:r>
        <w:rPr>
          <w:i/>
          <w:iCs/>
        </w:rPr>
        <w:t xml:space="preserve">«Renacimiento»</w:t>
      </w:r>
      <w:r>
        <w:t xml:space="preserve"> </w:t>
      </w:r>
      <w:r>
        <w:t xml:space="preserve">(</w:t>
      </w:r>
      <w:r>
        <w:rPr>
          <w:i/>
          <w:iCs/>
        </w:rPr>
        <w:t xml:space="preserve">O Jazz Magnetism</w:t>
      </w:r>
      <w:r>
        <w:t xml:space="preserve">, Rap Solo, 2020). El enunciado del axioma VI en 16 compases de hip-hop con densidad léxica: la transmisión de conocimiento y afecto como acto de máxima exergía del agente. La cadencia sincopada del MC sobre la producción propia es en sí misma el ejemplo del ciclo completo: compresión de experiencia → emisión → acoplamiento de la audiencia.</w:t>
      </w:r>
    </w:p>
    <w:p>
      <w:pPr>
        <w:numPr>
          <w:ilvl w:val="0"/>
          <w:numId w:val="1198"/>
        </w:numPr>
      </w:pPr>
      <w:r>
        <w:rPr>
          <w:b/>
          <w:bCs/>
        </w:rPr>
        <w:t xml:space="preserve">Bach, Johann Sebastian</w:t>
      </w:r>
      <w:r>
        <w:t xml:space="preserve"> </w:t>
      </w:r>
      <w:r>
        <w:t xml:space="preserve">—</w:t>
      </w:r>
      <w:r>
        <w:t xml:space="preserve"> </w:t>
      </w:r>
      <w:r>
        <w:rPr>
          <w:i/>
          <w:iCs/>
        </w:rPr>
        <w:t xml:space="preserve">Variaciones Goldberg, BWV 988</w:t>
      </w:r>
      <w:r>
        <w:t xml:space="preserve"> </w:t>
      </w:r>
      <w:r>
        <w:t xml:space="preserve">(versión Glenn Gould, 1981). La segunda grabación de Gould de las Goldberg, 26 años después de la primera, demuestra que el modelo interno de un emisor de rendimiento exergético no se agota con el tiempo: se comprime y precisa. El tempo contenido de 1981 respecto a 1955 es la firma de un modelo que ha reducido la entropía de su propio proceso hasta el punto donde puede sostener la estructura sin apoyarse en la velocidad como sustituto de la densidad.</w:t>
      </w:r>
    </w:p>
    <w:p>
      <w:pPr>
        <w:numPr>
          <w:ilvl w:val="0"/>
          <w:numId w:val="1198"/>
        </w:numPr>
      </w:pPr>
      <w:r>
        <w:rPr>
          <w:b/>
          <w:bCs/>
        </w:rPr>
        <w:t xml:space="preserve">Nina Simone</w:t>
      </w:r>
      <w:r>
        <w:t xml:space="preserve"> </w:t>
      </w:r>
      <w:r>
        <w:t xml:space="preserve">—</w:t>
      </w:r>
      <w:r>
        <w:t xml:space="preserve"> </w:t>
      </w:r>
      <w:r>
        <w:rPr>
          <w:i/>
          <w:iCs/>
        </w:rPr>
        <w:t xml:space="preserve">«Feeling Good»</w:t>
      </w:r>
      <w:r>
        <w:t xml:space="preserve"> </w:t>
      </w:r>
      <w:r>
        <w:t xml:space="preserve">(</w:t>
      </w:r>
      <w:r>
        <w:rPr>
          <w:i/>
          <w:iCs/>
        </w:rPr>
        <w:t xml:space="preserve">I Put a Spell on You</w:t>
      </w:r>
      <w:r>
        <w:t xml:space="preserve">, Philips, 1965). La emisión vocal de Simone opera como transductor de estado: convierte fricción somática (tensión muscular, control de timbre, variación de dinámica) en señal de información concentrada para el receptor. La huella involuntaria de la voz revela la arquitectura del sistema que la produce. Nadie que reciba la señal puede no detectar la coherencia del modelo interno del emisor.</w:t>
      </w:r>
    </w:p>
    <w:p>
      <w:r>
        <w:pict>
          <v:rect style="width:0;height:1.5pt" o:hralign="center" o:hrstd="t" o:hr="t"/>
        </w:pict>
      </w:r>
    </w:p>
    <w:p>
      <w:r>
        <w:pict>
          <v:rect style="width:0;height:1.5pt" o:hralign="center" o:hrstd="t" o:hr="t"/>
        </w:pict>
      </w:r>
    </w:p>
    <w:bookmarkEnd w:id="356"/>
    <w:bookmarkStart w:id="357" w:name="capítulo-vii-madres"/>
    <w:p>
      <w:pPr>
        <w:pStyle w:val="Heading2"/>
      </w:pPr>
      <w:r>
        <w:t xml:space="preserve">CAPÍTULO VII: MADRES</w:t>
      </w:r>
    </w:p>
    <w:bookmarkEnd w:id="357"/>
    <w:bookmarkStart w:id="358" w:name="audio-anclaje-55"/>
    <w:p>
      <w:pPr>
        <w:pStyle w:val="Heading2"/>
      </w:pPr>
      <w:r>
        <w:t xml:space="preserve">5. Audio-Anclaje</w:t>
      </w:r>
    </w:p>
    <w:p>
      <w:pPr>
        <w:pStyle w:val="Compact"/>
        <w:numPr>
          <w:ilvl w:val="0"/>
          <w:numId w:val="1199"/>
        </w:numPr>
      </w:pPr>
      <w:r>
        <w:rPr>
          <w:b/>
          <w:bCs/>
        </w:rPr>
        <w:t xml:space="preserve">The Rolling Stones</w:t>
      </w:r>
      <w:r>
        <w:t xml:space="preserve"> </w:t>
      </w:r>
      <w:r>
        <w:t xml:space="preserve">—</w:t>
      </w:r>
      <w:r>
        <w:t xml:space="preserve"> </w:t>
      </w:r>
      <w:r>
        <w:rPr>
          <w:i/>
          <w:iCs/>
        </w:rPr>
        <w:t xml:space="preserve">“Mother’s Little Helper”</w:t>
      </w:r>
      <w:r>
        <w:t xml:space="preserve"> </w:t>
      </w:r>
      <w:r>
        <w:t xml:space="preserve">(</w:t>
      </w:r>
      <w:r>
        <w:rPr>
          <w:i/>
          <w:iCs/>
        </w:rPr>
        <w:t xml:space="preserve">Aftermath</w:t>
      </w:r>
      <w:r>
        <w:t xml:space="preserve">, 1966). El registro del diseño residencial de posguerra y la solución química (Valium) para el aislamiento termodinámico de la madre.</w:t>
      </w:r>
    </w:p>
    <w:p>
      <w:pPr>
        <w:pStyle w:val="Compact"/>
        <w:numPr>
          <w:ilvl w:val="0"/>
          <w:numId w:val="1199"/>
        </w:numPr>
      </w:pPr>
      <w:r>
        <w:rPr>
          <w:b/>
          <w:bCs/>
        </w:rPr>
        <w:t xml:space="preserve">Nine Inch Nails</w:t>
      </w:r>
      <w:r>
        <w:t xml:space="preserve"> </w:t>
      </w:r>
      <w:r>
        <w:t xml:space="preserve">—</w:t>
      </w:r>
      <w:r>
        <w:t xml:space="preserve"> </w:t>
      </w:r>
      <w:r>
        <w:rPr>
          <w:i/>
          <w:iCs/>
        </w:rPr>
        <w:t xml:space="preserve">“Every Day Is Exactly The Same”</w:t>
      </w:r>
      <w:r>
        <w:t xml:space="preserve"> </w:t>
      </w:r>
      <w:r>
        <w:t xml:space="preserve">(</w:t>
      </w:r>
      <w:r>
        <w:rPr>
          <w:i/>
          <w:iCs/>
        </w:rPr>
        <w:t xml:space="preserve">With Teeth</w:t>
      </w:r>
      <w:r>
        <w:t xml:space="preserve">, 2005). La métrica del regulador bajo efecto de ISRS: la estabilización del nodo a costa de la pérdida de gradiente y la muerte térmica de la experiencia.</w:t>
      </w:r>
    </w:p>
    <w:p>
      <w:pPr>
        <w:pStyle w:val="Compact"/>
        <w:numPr>
          <w:ilvl w:val="0"/>
          <w:numId w:val="1199"/>
        </w:numPr>
      </w:pPr>
      <w:r>
        <w:rPr>
          <w:b/>
          <w:bCs/>
        </w:rPr>
        <w:t xml:space="preserve">The National</w:t>
      </w:r>
      <w:r>
        <w:t xml:space="preserve"> </w:t>
      </w:r>
      <w:r>
        <w:t xml:space="preserve">—</w:t>
      </w:r>
      <w:r>
        <w:t xml:space="preserve"> </w:t>
      </w:r>
      <w:r>
        <w:rPr>
          <w:i/>
          <w:iCs/>
        </w:rPr>
        <w:t xml:space="preserve">“Bloodbuzz Ohio”</w:t>
      </w:r>
      <w:r>
        <w:t xml:space="preserve"> </w:t>
      </w:r>
      <w:r>
        <w:t xml:space="preserve">(</w:t>
      </w:r>
      <w:r>
        <w:rPr>
          <w:i/>
          <w:iCs/>
        </w:rPr>
        <w:t xml:space="preserve">High Violet</w:t>
      </w:r>
      <w:r>
        <w:t xml:space="preserve">, 2010). La anestesia del entorno mediante la sustancia (vino/alcohol) como mecanismo de escape frente a la deuda de estado de red.</w:t>
      </w:r>
    </w:p>
    <w:p>
      <w:r>
        <w:pict>
          <v:rect style="width:0;height:1.5pt" o:hralign="center" o:hrstd="t" o:hr="t"/>
        </w:pict>
      </w:r>
    </w:p>
    <w:p>
      <w:r>
        <w:pict>
          <v:rect style="width:0;height:1.5pt" o:hralign="center" o:hrstd="t" o:hr="t"/>
        </w:pict>
      </w:r>
    </w:p>
    <w:bookmarkEnd w:id="358"/>
    <w:bookmarkStart w:id="359" w:name="capítulo-viii-plaga"/>
    <w:p>
      <w:pPr>
        <w:pStyle w:val="Heading2"/>
      </w:pPr>
      <w:r>
        <w:t xml:space="preserve">CAPÍTULO VIII: PLAGA</w:t>
      </w:r>
    </w:p>
    <w:bookmarkEnd w:id="359"/>
    <w:bookmarkStart w:id="360" w:name="audio-anclaje-56"/>
    <w:p>
      <w:pPr>
        <w:pStyle w:val="Heading2"/>
      </w:pPr>
      <w:r>
        <w:t xml:space="preserve">6. Audio-Anclaje</w:t>
      </w:r>
    </w:p>
    <w:p>
      <w:pPr>
        <w:pStyle w:val="SourceCode"/>
      </w:pPr>
      <w:r>
        <w:rPr>
          <w:rStyle w:val="VerbatimChar"/>
        </w:rPr>
        <w:t xml:space="preserve">Audio-Anclaje: The Clash — "Lost in the Supermarket" (1979)</w:t>
      </w:r>
      <w:r>
        <w:br/>
      </w:r>
      <w:r>
        <w:rPr>
          <w:rStyle w:val="VerbatimChar"/>
        </w:rPr>
        <w:t xml:space="preserve">Cota Fisiológica: Señal de Error de Sistema de Referencia</w:t>
      </w:r>
    </w:p>
    <w:p>
      <w:pPr>
        <w:pStyle w:val="FirstParagraph"/>
      </w:pPr>
      <w:r>
        <w:t xml:space="preserve">El diagnóstico a escala de masas ejerce función de instrumento de estabilización de rebaño. La locura no es entropía máxima; es incompatibilidad de tensores. El receptor diagnostica lo que no entiende.</w:t>
      </w:r>
    </w:p>
    <w:p>
      <w:r>
        <w:pict>
          <v:rect style="width:0;height:1.5pt" o:hralign="center" o:hrstd="t" o:hr="t"/>
        </w:pict>
      </w:r>
    </w:p>
    <w:p>
      <w:r>
        <w:pict>
          <v:rect style="width:0;height:1.5pt" o:hralign="center" o:hrstd="t" o:hr="t"/>
        </w:pict>
      </w:r>
    </w:p>
    <w:bookmarkEnd w:id="360"/>
    <w:bookmarkStart w:id="361" w:name="Xa324733362e7fe340ce0e5e2d927d99d38f7ede"/>
    <w:p>
      <w:pPr>
        <w:pStyle w:val="Heading2"/>
      </w:pPr>
      <w:r>
        <w:t xml:space="preserve">CAPÍTULO IX: ANERGÍA (El Esfuerzo de Músculo contra el Vector de Trabajo)</w:t>
      </w:r>
    </w:p>
    <w:bookmarkEnd w:id="361"/>
    <w:bookmarkStart w:id="362" w:name="audio-anclaje-57"/>
    <w:p>
      <w:pPr>
        <w:pStyle w:val="Heading2"/>
      </w:pPr>
      <w:r>
        <w:t xml:space="preserve">4. Audio-Anclaje</w:t>
      </w:r>
    </w:p>
    <w:p>
      <w:pPr>
        <w:pStyle w:val="SourceCode"/>
      </w:pPr>
      <w:r>
        <w:rPr>
          <w:rStyle w:val="VerbatimChar"/>
        </w:rPr>
        <w:t xml:space="preserve">Audio-Anclaje: Kraftwerk — "Metropolis" (1978) / Nine Inch Nails — "Every Day Is Exactly The Same" (2005)</w:t>
      </w:r>
      <w:r>
        <w:br/>
      </w:r>
      <w:r>
        <w:rPr>
          <w:rStyle w:val="VerbatimChar"/>
        </w:rPr>
        <w:t xml:space="preserve">Cota Fisiológica: W_util = 0, Q_disipado -&gt; max (Quema de ATP sin Desplazamiento)</w:t>
      </w:r>
    </w:p>
    <w:p>
      <w:pPr>
        <w:numPr>
          <w:ilvl w:val="0"/>
          <w:numId w:val="1200"/>
        </w:numPr>
      </w:pPr>
      <w:r>
        <w:rPr>
          <w:b/>
          <w:bCs/>
        </w:rPr>
        <w:t xml:space="preserve">Kraftwerk</w:t>
      </w:r>
      <w:r>
        <w:t xml:space="preserve"> </w:t>
      </w:r>
      <w:r>
        <w:t xml:space="preserve">—</w:t>
      </w:r>
      <w:r>
        <w:t xml:space="preserve"> </w:t>
      </w:r>
      <w:r>
        <w:rPr>
          <w:i/>
          <w:iCs/>
        </w:rPr>
        <w:t xml:space="preserve">«Metropolis»</w:t>
      </w:r>
      <w:r>
        <w:t xml:space="preserve"> </w:t>
      </w:r>
      <w:r>
        <w:t xml:space="preserve">(</w:t>
      </w:r>
      <w:r>
        <w:rPr>
          <w:i/>
          <w:iCs/>
        </w:rPr>
        <w:t xml:space="preserve">The Man-Machine</w:t>
      </w:r>
      <w:r>
        <w:t xml:space="preserve">, Kling Klang, 1978). La mecanización de la masa urbana operando como pistón de una máquina que devora el tiempo de los cuerpos para alimentar la cadencia del engranaje. La síntesis sustractiva analógica (Minimoog / ARP Odyssey) reproduce la regularidad del reloj industrial: pulsos de 120 BPM sin variación de dinámica que modelan el presentismo y la sumisión del nodo biológico al ciclo de producción.</w:t>
      </w:r>
    </w:p>
    <w:p>
      <w:pPr>
        <w:numPr>
          <w:ilvl w:val="0"/>
          <w:numId w:val="1200"/>
        </w:numPr>
      </w:pPr>
      <w:r>
        <w:rPr>
          <w:b/>
          <w:bCs/>
        </w:rPr>
        <w:t xml:space="preserve">Nine Inch Nails</w:t>
      </w:r>
      <w:r>
        <w:t xml:space="preserve"> </w:t>
      </w:r>
      <w:r>
        <w:t xml:space="preserve">—</w:t>
      </w:r>
      <w:r>
        <w:t xml:space="preserve"> </w:t>
      </w:r>
      <w:r>
        <w:rPr>
          <w:i/>
          <w:iCs/>
        </w:rPr>
        <w:t xml:space="preserve">«Every Day Is Exactly The Same»</w:t>
      </w:r>
      <w:r>
        <w:t xml:space="preserve"> </w:t>
      </w:r>
      <w:r>
        <w:t xml:space="preserve">(</w:t>
      </w:r>
      <w:r>
        <w:rPr>
          <w:i/>
          <w:iCs/>
        </w:rPr>
        <w:t xml:space="preserve">With Teeth</w:t>
      </w:r>
      <w:r>
        <w:t xml:space="preserve">, Nothing/Interscope, 2005). La narración del nodo atrapado en la inercia del atractor sin vector de salida. La secuencia de sintetizador grave y la batería comprimida en paralelo ejecutan la repetición del ciclo de reloj sin mutación de estado: el consumo de energía metabólica sin traslación en el espacio de fases.</w:t>
      </w:r>
    </w:p>
    <w:p>
      <w:pPr>
        <w:numPr>
          <w:ilvl w:val="0"/>
          <w:numId w:val="1200"/>
        </w:numPr>
      </w:pPr>
      <w:r>
        <w:rPr>
          <w:b/>
          <w:bCs/>
        </w:rPr>
        <w:t xml:space="preserve">Swans</w:t>
      </w:r>
      <w:r>
        <w:t xml:space="preserve"> </w:t>
      </w:r>
      <w:r>
        <w:t xml:space="preserve">—</w:t>
      </w:r>
      <w:r>
        <w:t xml:space="preserve"> </w:t>
      </w:r>
      <w:r>
        <w:rPr>
          <w:i/>
          <w:iCs/>
        </w:rPr>
        <w:t xml:space="preserve">«Oxygen»</w:t>
      </w:r>
      <w:r>
        <w:t xml:space="preserve"> </w:t>
      </w:r>
      <w:r>
        <w:t xml:space="preserve">(</w:t>
      </w:r>
      <w:r>
        <w:rPr>
          <w:i/>
          <w:iCs/>
        </w:rPr>
        <w:t xml:space="preserve">To Be Kind</w:t>
      </w:r>
      <w:r>
        <w:t xml:space="preserve">, Mute/Young God, 2014). La asfixia celular y el esfuerzo de músculo llevado a la extenuación del material. Los acordes en staccato y la voz de Michael Gira simulan el espasmo asmático y la disipación térmica continua: el sustrato biológico quemando glucosa ante la ausencia de gradiente de intercambio gaseoso.</w:t>
      </w:r>
    </w:p>
    <w:p>
      <w:pPr>
        <w:numPr>
          <w:ilvl w:val="0"/>
          <w:numId w:val="1200"/>
        </w:numPr>
      </w:pPr>
      <w:r>
        <w:rPr>
          <w:b/>
          <w:bCs/>
        </w:rPr>
        <w:t xml:space="preserve">Talking Heads</w:t>
      </w:r>
      <w:r>
        <w:t xml:space="preserve"> </w:t>
      </w:r>
      <w:r>
        <w:t xml:space="preserve">—</w:t>
      </w:r>
      <w:r>
        <w:t xml:space="preserve"> </w:t>
      </w:r>
      <w:r>
        <w:rPr>
          <w:i/>
          <w:iCs/>
        </w:rPr>
        <w:t xml:space="preserve">«Once in a Lifetime»</w:t>
      </w:r>
      <w:r>
        <w:t xml:space="preserve"> </w:t>
      </w:r>
      <w:r>
        <w:t xml:space="preserve">(</w:t>
      </w:r>
      <w:r>
        <w:rPr>
          <w:i/>
          <w:iCs/>
        </w:rPr>
        <w:t xml:space="preserve">Remain in Light</w:t>
      </w:r>
      <w:r>
        <w:t xml:space="preserve">, Sire, 1980). La producción polirrítmica de Brian Eno y David Byrne describe la trampa de inercia de la vida burocrática y residencial: la sorpresa del agente ante la acumulación de artefactos de estatus que no resuelven la ecuación de existencia.</w:t>
      </w:r>
    </w:p>
    <w:p>
      <w:r>
        <w:pict>
          <v:rect style="width:0;height:1.5pt" o:hralign="center" o:hrstd="t" o:hr="t"/>
        </w:pict>
      </w:r>
    </w:p>
    <w:bookmarkEnd w:id="362"/>
    <w:bookmarkStart w:id="363" w:name="Xda7da4819ee1bb2bba78b5d80845840ff359d6f"/>
    <w:p>
      <w:pPr>
        <w:pStyle w:val="Heading2"/>
      </w:pPr>
      <w:r>
        <w:t xml:space="preserve">CAPÍTULO X: REIFICACIÓN (El Motor de Utopía y la Ausencia como Inventario)</w:t>
      </w:r>
    </w:p>
    <w:bookmarkEnd w:id="363"/>
    <w:bookmarkStart w:id="364" w:name="audio-anclaje-58"/>
    <w:p>
      <w:pPr>
        <w:pStyle w:val="Heading2"/>
      </w:pPr>
      <w:r>
        <w:t xml:space="preserve">5. Audio-Anclaje</w:t>
      </w:r>
    </w:p>
    <w:p>
      <w:pPr>
        <w:pStyle w:val="SourceCode"/>
      </w:pPr>
      <w:r>
        <w:rPr>
          <w:rStyle w:val="VerbatimChar"/>
        </w:rPr>
        <w:t xml:space="preserve">Audio-Anclaje: Radiohead — "No Surprises" (1997) / Public Enemy — "Fight the Power" (1989)</w:t>
      </w:r>
      <w:r>
        <w:br/>
      </w:r>
      <w:r>
        <w:rPr>
          <w:rStyle w:val="VerbatimChar"/>
        </w:rPr>
        <w:t xml:space="preserve">Cota Fisiológica: Libet Free Won't (~200ms Veto Prefrontal / La Tecla Suprimir)</w:t>
      </w:r>
    </w:p>
    <w:p>
      <w:pPr>
        <w:numPr>
          <w:ilvl w:val="0"/>
          <w:numId w:val="1201"/>
        </w:numPr>
      </w:pPr>
      <w:r>
        <w:rPr>
          <w:b/>
          <w:bCs/>
        </w:rPr>
        <w:t xml:space="preserve">Radiohead</w:t>
      </w:r>
      <w:r>
        <w:t xml:space="preserve"> </w:t>
      </w:r>
      <w:r>
        <w:t xml:space="preserve">—</w:t>
      </w:r>
      <w:r>
        <w:t xml:space="preserve"> </w:t>
      </w:r>
      <w:r>
        <w:rPr>
          <w:i/>
          <w:iCs/>
        </w:rPr>
        <w:t xml:space="preserve">«No Surprises»</w:t>
      </w:r>
      <w:r>
        <w:t xml:space="preserve"> </w:t>
      </w:r>
      <w:r>
        <w:t xml:space="preserve">(</w:t>
      </w:r>
      <w:r>
        <w:rPr>
          <w:i/>
          <w:iCs/>
        </w:rPr>
        <w:t xml:space="preserve">OK Computer</w:t>
      </w:r>
      <w:r>
        <w:t xml:space="preserve">, Parlophone, 1997). La narración del deseo de asfixia en el atractor de confort. La instrumentación con glockenspiel y guitarra acústica transmite la sedación inducida por la estructura burocrática: la renuncia voluntaria al gradiente térmico a cambio de la previsibilidad en la colmena corporativa.</w:t>
      </w:r>
    </w:p>
    <w:p>
      <w:pPr>
        <w:numPr>
          <w:ilvl w:val="0"/>
          <w:numId w:val="1201"/>
        </w:numPr>
      </w:pPr>
      <w:r>
        <w:rPr>
          <w:b/>
          <w:bCs/>
        </w:rPr>
        <w:t xml:space="preserve">Public Enemy</w:t>
      </w:r>
      <w:r>
        <w:t xml:space="preserve"> </w:t>
      </w:r>
      <w:r>
        <w:t xml:space="preserve">—</w:t>
      </w:r>
      <w:r>
        <w:t xml:space="preserve"> </w:t>
      </w:r>
      <w:r>
        <w:rPr>
          <w:i/>
          <w:iCs/>
        </w:rPr>
        <w:t xml:space="preserve">«Fight the Power»</w:t>
      </w:r>
      <w:r>
        <w:t xml:space="preserve"> </w:t>
      </w:r>
      <w:r>
        <w:t xml:space="preserve">(</w:t>
      </w:r>
      <w:r>
        <w:rPr>
          <w:i/>
          <w:iCs/>
        </w:rPr>
        <w:t xml:space="preserve">Fear of a Black Planet</w:t>
      </w:r>
      <w:r>
        <w:t xml:space="preserve">, Def Jam, 1989). El ataque sónico del colectivo The Bomb Squad mediante superposición de muestras de metales y bucles de ritmo desfasados. La producción opera como rechazo frontal a la reificación del poder institucional: el ruido como arma de desestabilización del mapa nominal impuesto.</w:t>
      </w:r>
    </w:p>
    <w:p>
      <w:pPr>
        <w:numPr>
          <w:ilvl w:val="0"/>
          <w:numId w:val="1201"/>
        </w:numPr>
      </w:pPr>
      <w:r>
        <w:rPr>
          <w:b/>
          <w:bCs/>
        </w:rPr>
        <w:t xml:space="preserve">Joy Division</w:t>
      </w:r>
      <w:r>
        <w:t xml:space="preserve"> </w:t>
      </w:r>
      <w:r>
        <w:t xml:space="preserve">—</w:t>
      </w:r>
      <w:r>
        <w:t xml:space="preserve"> </w:t>
      </w:r>
      <w:r>
        <w:rPr>
          <w:i/>
          <w:iCs/>
        </w:rPr>
        <w:t xml:space="preserve">«Disorder»</w:t>
      </w:r>
      <w:r>
        <w:t xml:space="preserve"> </w:t>
      </w:r>
      <w:r>
        <w:t xml:space="preserve">(</w:t>
      </w:r>
      <w:r>
        <w:rPr>
          <w:i/>
          <w:iCs/>
        </w:rPr>
        <w:t xml:space="preserve">Unknown Pleasures</w:t>
      </w:r>
      <w:r>
        <w:t xml:space="preserve">, Factory, 1979). El pulso rítmico de Stephen Morris y la línea de cuatro cuerdas de Peter Hook trazan la trayectoria de un nodo atrapado en la contradicción entre el orden del circuito impreso y el fallo neurobiológico del emisor. La voz de Ian Curtis emite la señal de colapso de fase sin concesión de adorno.</w:t>
      </w:r>
    </w:p>
    <w:p>
      <w:pPr>
        <w:numPr>
          <w:ilvl w:val="0"/>
          <w:numId w:val="1201"/>
        </w:numPr>
      </w:pPr>
      <w:r>
        <w:rPr>
          <w:b/>
          <w:bCs/>
        </w:rPr>
        <w:t xml:space="preserve">Tool</w:t>
      </w:r>
      <w:r>
        <w:t xml:space="preserve"> </w:t>
      </w:r>
      <w:r>
        <w:t xml:space="preserve">—</w:t>
      </w:r>
      <w:r>
        <w:t xml:space="preserve"> </w:t>
      </w:r>
      <w:r>
        <w:rPr>
          <w:i/>
          <w:iCs/>
        </w:rPr>
        <w:t xml:space="preserve">«Schism»</w:t>
      </w:r>
      <w:r>
        <w:t xml:space="preserve"> </w:t>
      </w:r>
      <w:r>
        <w:t xml:space="preserve">(</w:t>
      </w:r>
      <w:r>
        <w:rPr>
          <w:i/>
          <w:iCs/>
        </w:rPr>
        <w:t xml:space="preserve">Lateralus</w:t>
      </w:r>
      <w:r>
        <w:t xml:space="preserve">, Volcano, 2001). Compás en métrica variable (5/8 y 7/8) que modela la fragmentación de la comunicación cuando las palabras sustituyen a los hechos del territorio. El instrumento de cuatro cuerdas, procesado con distorsión y retardo, expone la fractura del canal y el coste de reconstrucción de la simetría perdida.</w:t>
      </w:r>
    </w:p>
    <w:p>
      <w:r>
        <w:pict>
          <v:rect style="width:0;height:1.5pt" o:hralign="center" o:hrstd="t" o:hr="t"/>
        </w:pict>
      </w:r>
    </w:p>
    <w:bookmarkEnd w:id="364"/>
    <w:bookmarkStart w:id="365" w:name="epílogo-la-ley-innata-1"/>
    <w:p>
      <w:pPr>
        <w:pStyle w:val="Heading2"/>
      </w:pPr>
      <w:r>
        <w:t xml:space="preserve">EPÍLOGO: LA LEY INNATA</w:t>
      </w:r>
    </w:p>
    <w:bookmarkEnd w:id="365"/>
    <w:bookmarkStart w:id="366" w:name="audio-anclaje-de-cierre-cósmico"/>
    <w:p>
      <w:pPr>
        <w:pStyle w:val="Heading2"/>
      </w:pPr>
      <w:r>
        <w:t xml:space="preserve">4. Audio-Anclaje de Cierre Cósmico</w:t>
      </w:r>
    </w:p>
    <w:p>
      <w:pPr>
        <w:pStyle w:val="SourceCode"/>
      </w:pPr>
      <w:r>
        <w:rPr>
          <w:rStyle w:val="VerbatimChar"/>
        </w:rPr>
        <w:t xml:space="preserve">Audio-Anclaje: Extremoduro / Robe Iniesta — "Coda Flamenca (otra realidad)" (2008) / Pink Floyd — "Eclipse" (1973)</w:t>
      </w:r>
      <w:r>
        <w:br/>
      </w:r>
      <w:r>
        <w:rPr>
          <w:rStyle w:val="VerbatimChar"/>
        </w:rPr>
        <w:t xml:space="preserve">Cota Fisiológica: Retorno al Silencio del Territorio y Cierre del Circuito</w:t>
      </w:r>
    </w:p>
    <w:p>
      <w:pPr>
        <w:numPr>
          <w:ilvl w:val="0"/>
          <w:numId w:val="1202"/>
        </w:numPr>
      </w:pPr>
      <w:r>
        <w:rPr>
          <w:b/>
          <w:bCs/>
        </w:rPr>
        <w:t xml:space="preserve">Extremoduro / Robe Iniesta</w:t>
      </w:r>
      <w:r>
        <w:t xml:space="preserve"> </w:t>
      </w:r>
      <w:r>
        <w:t xml:space="preserve">—</w:t>
      </w:r>
      <w:r>
        <w:t xml:space="preserve"> </w:t>
      </w:r>
      <w:r>
        <w:rPr>
          <w:i/>
          <w:iCs/>
        </w:rPr>
        <w:t xml:space="preserve">«Coda Flamenca (otra realidad)»</w:t>
      </w:r>
      <w:r>
        <w:t xml:space="preserve"> </w:t>
      </w:r>
      <w:r>
        <w:t xml:space="preserve">(</w:t>
      </w:r>
      <w:r>
        <w:rPr>
          <w:i/>
          <w:iCs/>
        </w:rPr>
        <w:t xml:space="preserve">La Ley Innata</w:t>
      </w:r>
      <w:r>
        <w:t xml:space="preserve">, Warner Music Spain, 2008). El cierre de la suite en el instante en que la guitarra española y el violín ejecutan la disolución de la forma en el silencio del territorio. Tras el desguace del discurso y la quema de los adjetivos, queda el pulso rítmico de la madera y la cuerda: el retorno a la fisiología desnuda.</w:t>
      </w:r>
    </w:p>
    <w:p>
      <w:pPr>
        <w:numPr>
          <w:ilvl w:val="0"/>
          <w:numId w:val="1202"/>
        </w:numPr>
      </w:pPr>
      <w:r>
        <w:rPr>
          <w:b/>
          <w:bCs/>
        </w:rPr>
        <w:t xml:space="preserve">Pink Floyd</w:t>
      </w:r>
      <w:r>
        <w:t xml:space="preserve"> </w:t>
      </w:r>
      <w:r>
        <w:t xml:space="preserve">—</w:t>
      </w:r>
      <w:r>
        <w:t xml:space="preserve"> </w:t>
      </w:r>
      <w:r>
        <w:rPr>
          <w:i/>
          <w:iCs/>
        </w:rPr>
        <w:t xml:space="preserve">«Eclipse»</w:t>
      </w:r>
      <w:r>
        <w:t xml:space="preserve"> </w:t>
      </w:r>
      <w:r>
        <w:t xml:space="preserve">(</w:t>
      </w:r>
      <w:r>
        <w:rPr>
          <w:i/>
          <w:iCs/>
        </w:rPr>
        <w:t xml:space="preserve">The Dark Side of the Moon</w:t>
      </w:r>
      <w:r>
        <w:t xml:space="preserve">, Harvest, 1973). La integración de todos los flujos térmicos, contratos, compras, peleas y muertes analizados en el ciclo del disco. El latido cardíaco final que cierra la obra no constituye una alegoría poética: es la afirmación de que todo mapa es devorado por la gravedad del sol en estado de sombra.</w:t>
      </w:r>
    </w:p>
    <w:p>
      <w:pPr>
        <w:numPr>
          <w:ilvl w:val="0"/>
          <w:numId w:val="1202"/>
        </w:numPr>
      </w:pPr>
      <w:r>
        <w:rPr>
          <w:b/>
          <w:bCs/>
        </w:rPr>
        <w:t xml:space="preserve">Bach, Johann Sebastian</w:t>
      </w:r>
      <w:r>
        <w:t xml:space="preserve"> </w:t>
      </w:r>
      <w:r>
        <w:t xml:space="preserve">—</w:t>
      </w:r>
      <w:r>
        <w:t xml:space="preserve"> </w:t>
      </w:r>
      <w:r>
        <w:rPr>
          <w:i/>
          <w:iCs/>
        </w:rPr>
        <w:t xml:space="preserve">«Chacona en re menor, BWV 1004»</w:t>
      </w:r>
      <w:r>
        <w:t xml:space="preserve"> </w:t>
      </w:r>
      <w:r>
        <w:t xml:space="preserve">(violín solo). Cuatro compases con patrón de ostinato armónico que soportan 64 variaciones de contrapunto estricto sin acompañamiento armónico externo. La economía de medios llevada a la cota absoluta: una sola cuerda vibrando demuestra que la ley innata de la física no requiere adornos para gobernar el espacio.</w:t>
      </w:r>
    </w:p>
    <w:bookmarkEnd w:id="366"/>
    <w:bookmarkEnd w:id="3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61">
    <w:nsid w:val="0A994161"/>
    <w:multiLevelType w:val="multilevel"/>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1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18">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2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2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2026-09-30T22:15:58Z</dcterms:created>
  <dcterms:modified xsi:type="dcterms:W3CDTF">2026-09-30T22:15:58Z</dcterms:modified>
</cp:coreProperties>
</file>

<file path=docProps/custom.xml><?xml version="1.0" encoding="utf-8"?>
<Properties xmlns="http://schemas.openxmlformats.org/officeDocument/2006/custom-properties" xmlns:vt="http://schemas.openxmlformats.org/officeDocument/2006/docPropsVTypes"/>
</file>