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5A290" w14:textId="77777777" w:rsidR="006D76D5" w:rsidRDefault="00BB7DD5">
      <w:r>
        <w:t>Lab 3</w:t>
      </w:r>
    </w:p>
    <w:p w14:paraId="5FBA5C6B" w14:textId="77777777" w:rsidR="00BB7DD5" w:rsidRDefault="00BB7DD5"/>
    <w:p w14:paraId="0B785ED3" w14:textId="77777777" w:rsidR="00BB7DD5" w:rsidRDefault="00BB7DD5">
      <w:r>
        <w:t>Part 1</w:t>
      </w:r>
    </w:p>
    <w:p w14:paraId="23DA71FC" w14:textId="77777777" w:rsidR="00BB7DD5" w:rsidRDefault="00BB7DD5"/>
    <w:p w14:paraId="0E53A645" w14:textId="77777777" w:rsidR="00893057" w:rsidRDefault="00893057"/>
    <w:p w14:paraId="3A1E50C0" w14:textId="77777777" w:rsidR="00893057" w:rsidRDefault="00893057"/>
    <w:p w14:paraId="380CAB9E" w14:textId="77777777" w:rsidR="00BB7DD5" w:rsidRDefault="00893057">
      <w:r>
        <w:rPr>
          <w:noProof/>
        </w:rPr>
        <w:drawing>
          <wp:inline distT="0" distB="0" distL="0" distR="0" wp14:anchorId="04E894D6" wp14:editId="69A29A60">
            <wp:extent cx="5486400" cy="3373854"/>
            <wp:effectExtent l="0" t="0" r="25400" b="298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BB7DD5">
        <w:rPr>
          <w:noProof/>
        </w:rPr>
        <w:drawing>
          <wp:anchor distT="0" distB="0" distL="114300" distR="114300" simplePos="0" relativeHeight="251658240" behindDoc="0" locked="0" layoutInCell="1" allowOverlap="1" wp14:anchorId="1E093D67" wp14:editId="63855ACD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488305" cy="3031490"/>
            <wp:effectExtent l="0" t="0" r="23495" b="1651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0AC61" w14:textId="77777777" w:rsidR="00BB7DD5" w:rsidRDefault="00BB7DD5"/>
    <w:p w14:paraId="5581F93A" w14:textId="77777777" w:rsidR="00BB7DD5" w:rsidRDefault="00BB7DD5">
      <w:r>
        <w:br w:type="page"/>
      </w:r>
    </w:p>
    <w:p w14:paraId="764306CD" w14:textId="77777777" w:rsidR="00BB7DD5" w:rsidRDefault="00893057" w:rsidP="00BB7DD5">
      <w:r>
        <w:lastRenderedPageBreak/>
        <w:t>Part 2</w:t>
      </w:r>
    </w:p>
    <w:p w14:paraId="0468D36C" w14:textId="77777777" w:rsidR="00893057" w:rsidRDefault="00893057" w:rsidP="00BB7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93057" w14:paraId="7CA77707" w14:textId="77777777" w:rsidTr="00893057">
        <w:tc>
          <w:tcPr>
            <w:tcW w:w="1265" w:type="dxa"/>
          </w:tcPr>
          <w:p w14:paraId="44838DE8" w14:textId="77777777" w:rsidR="00893057" w:rsidRPr="00893057" w:rsidRDefault="00893057" w:rsidP="00BB7DD5">
            <w:r>
              <w:t>V</w:t>
            </w:r>
            <w:r>
              <w:rPr>
                <w:vertAlign w:val="subscript"/>
              </w:rPr>
              <w:t>S</w:t>
            </w:r>
          </w:p>
        </w:tc>
        <w:tc>
          <w:tcPr>
            <w:tcW w:w="1265" w:type="dxa"/>
          </w:tcPr>
          <w:p w14:paraId="05E7D58D" w14:textId="77777777" w:rsidR="00893057" w:rsidRPr="00893057" w:rsidRDefault="00893057" w:rsidP="00BB7DD5">
            <w:r>
              <w:t>V</w:t>
            </w:r>
            <w:r>
              <w:rPr>
                <w:vertAlign w:val="subscript"/>
              </w:rPr>
              <w:t>G</w:t>
            </w:r>
          </w:p>
        </w:tc>
        <w:tc>
          <w:tcPr>
            <w:tcW w:w="1265" w:type="dxa"/>
          </w:tcPr>
          <w:p w14:paraId="29F834A7" w14:textId="77777777" w:rsidR="00893057" w:rsidRPr="00893057" w:rsidRDefault="00893057" w:rsidP="00BB7DD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</w:t>
            </w:r>
          </w:p>
        </w:tc>
        <w:tc>
          <w:tcPr>
            <w:tcW w:w="1265" w:type="dxa"/>
          </w:tcPr>
          <w:p w14:paraId="3208A783" w14:textId="77777777" w:rsidR="00893057" w:rsidRPr="00893057" w:rsidRDefault="00893057" w:rsidP="00BB7DD5">
            <w:r>
              <w:t>V</w:t>
            </w:r>
            <w:r>
              <w:rPr>
                <w:vertAlign w:val="subscript"/>
              </w:rPr>
              <w:t>GS</w:t>
            </w:r>
          </w:p>
        </w:tc>
        <w:tc>
          <w:tcPr>
            <w:tcW w:w="1265" w:type="dxa"/>
          </w:tcPr>
          <w:p w14:paraId="110F12F3" w14:textId="77777777" w:rsidR="00893057" w:rsidRPr="00893057" w:rsidRDefault="00893057" w:rsidP="00BB7DD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DS</w:t>
            </w:r>
          </w:p>
        </w:tc>
        <w:tc>
          <w:tcPr>
            <w:tcW w:w="1265" w:type="dxa"/>
          </w:tcPr>
          <w:p w14:paraId="0A56BD43" w14:textId="77777777" w:rsidR="00893057" w:rsidRPr="00893057" w:rsidRDefault="00893057" w:rsidP="00BB7DD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DG</w:t>
            </w:r>
          </w:p>
        </w:tc>
        <w:tc>
          <w:tcPr>
            <w:tcW w:w="1266" w:type="dxa"/>
          </w:tcPr>
          <w:p w14:paraId="3CA763AB" w14:textId="77777777" w:rsidR="00893057" w:rsidRPr="00893057" w:rsidRDefault="00893057" w:rsidP="00BB7DD5">
            <w:r>
              <w:t>I</w:t>
            </w:r>
            <w:r>
              <w:rPr>
                <w:vertAlign w:val="subscript"/>
              </w:rPr>
              <w:t>D</w:t>
            </w:r>
          </w:p>
        </w:tc>
      </w:tr>
      <w:tr w:rsidR="00893057" w14:paraId="5AA7D4EA" w14:textId="77777777" w:rsidTr="00893057">
        <w:tc>
          <w:tcPr>
            <w:tcW w:w="1265" w:type="dxa"/>
          </w:tcPr>
          <w:p w14:paraId="3F8E3490" w14:textId="77777777" w:rsidR="00893057" w:rsidRDefault="00893057" w:rsidP="00BB7DD5">
            <w:r>
              <w:t>3.97V</w:t>
            </w:r>
          </w:p>
        </w:tc>
        <w:tc>
          <w:tcPr>
            <w:tcW w:w="1265" w:type="dxa"/>
          </w:tcPr>
          <w:p w14:paraId="4D835D3E" w14:textId="77777777" w:rsidR="00893057" w:rsidRDefault="00893057" w:rsidP="00BB7DD5">
            <w:r>
              <w:t>6.39V</w:t>
            </w:r>
          </w:p>
        </w:tc>
        <w:tc>
          <w:tcPr>
            <w:tcW w:w="1265" w:type="dxa"/>
          </w:tcPr>
          <w:p w14:paraId="439CE0B3" w14:textId="77777777" w:rsidR="00893057" w:rsidRDefault="00893057" w:rsidP="00BB7DD5">
            <w:r>
              <w:t>12.07V</w:t>
            </w:r>
          </w:p>
        </w:tc>
        <w:tc>
          <w:tcPr>
            <w:tcW w:w="1265" w:type="dxa"/>
          </w:tcPr>
          <w:p w14:paraId="7465104F" w14:textId="77777777" w:rsidR="00893057" w:rsidRDefault="00893057" w:rsidP="00BB7DD5">
            <w:r>
              <w:t>2.44V</w:t>
            </w:r>
          </w:p>
        </w:tc>
        <w:tc>
          <w:tcPr>
            <w:tcW w:w="1265" w:type="dxa"/>
          </w:tcPr>
          <w:p w14:paraId="642FAC5F" w14:textId="77777777" w:rsidR="00893057" w:rsidRDefault="00893057" w:rsidP="00BB7DD5">
            <w:r>
              <w:t>8.10V</w:t>
            </w:r>
          </w:p>
        </w:tc>
        <w:tc>
          <w:tcPr>
            <w:tcW w:w="1265" w:type="dxa"/>
          </w:tcPr>
          <w:p w14:paraId="13F49427" w14:textId="77777777" w:rsidR="00893057" w:rsidRDefault="00893057" w:rsidP="00BB7DD5">
            <w:r>
              <w:t>4.50V</w:t>
            </w:r>
          </w:p>
        </w:tc>
        <w:tc>
          <w:tcPr>
            <w:tcW w:w="1266" w:type="dxa"/>
          </w:tcPr>
          <w:p w14:paraId="28E45544" w14:textId="77777777" w:rsidR="00893057" w:rsidRDefault="00893057" w:rsidP="00BB7DD5">
            <w:r>
              <w:t>4.01mA</w:t>
            </w:r>
          </w:p>
        </w:tc>
      </w:tr>
    </w:tbl>
    <w:p w14:paraId="739FEC39" w14:textId="77777777" w:rsidR="00893057" w:rsidRDefault="00893057" w:rsidP="00BB7DD5"/>
    <w:p w14:paraId="59363107" w14:textId="77777777" w:rsidR="00290AC9" w:rsidRDefault="00290AC9" w:rsidP="00BB7DD5">
      <w:r>
        <w:t>Part 3</w:t>
      </w:r>
    </w:p>
    <w:p w14:paraId="0F03D028" w14:textId="77777777" w:rsidR="00290AC9" w:rsidRDefault="00290AC9" w:rsidP="00BB7DD5"/>
    <w:p w14:paraId="2055569D" w14:textId="27D31DED" w:rsidR="00290AC9" w:rsidRPr="00047D6A" w:rsidRDefault="00290AC9" w:rsidP="00BB7DD5">
      <w:r>
        <w:t xml:space="preserve">The theoretical values calculated for the resistances of the voltage divider for the gate were </w:t>
      </w:r>
      <w:r w:rsidR="008F4EB7">
        <w:t xml:space="preserve">incredibly close. In fact, considering the </w:t>
      </w:r>
      <w:r w:rsidR="00047D6A">
        <w:t xml:space="preserve">error of the resistors, the </w:t>
      </w:r>
      <w:r>
        <w:t>experimental value fell well in the error margin</w:t>
      </w:r>
      <w:r w:rsidR="00047D6A">
        <w:t xml:space="preserve"> of the</w:t>
      </w:r>
      <w:r>
        <w:t xml:space="preserve"> theoretical value.</w:t>
      </w:r>
      <w:r w:rsidR="00047D6A">
        <w:t xml:space="preserve"> The value of the resistors are</w:t>
      </w:r>
      <w:r w:rsidR="0096776E">
        <w:t xml:space="preserve">: </w:t>
      </w:r>
      <w:r w:rsidR="00047D6A">
        <w:t xml:space="preserve"> R</w:t>
      </w:r>
      <w:r w:rsidR="00047D6A">
        <w:rPr>
          <w:vertAlign w:val="subscript"/>
        </w:rPr>
        <w:t>1</w:t>
      </w:r>
      <w:r w:rsidR="00047D6A">
        <w:t xml:space="preserve"> = .48MΩ, R</w:t>
      </w:r>
      <w:r w:rsidR="00047D6A">
        <w:rPr>
          <w:vertAlign w:val="subscript"/>
        </w:rPr>
        <w:t>2</w:t>
      </w:r>
      <w:r w:rsidR="00047D6A">
        <w:t xml:space="preserve"> </w:t>
      </w:r>
      <w:r w:rsidR="0096776E">
        <w:t>= .32MΩ.</w:t>
      </w:r>
      <w:bookmarkStart w:id="0" w:name="_GoBack"/>
      <w:bookmarkEnd w:id="0"/>
    </w:p>
    <w:sectPr w:rsidR="00290AC9" w:rsidRPr="00047D6A" w:rsidSect="0097250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36663" w14:textId="77777777" w:rsidR="00047D6A" w:rsidRDefault="00047D6A" w:rsidP="00BB7DD5">
      <w:r>
        <w:separator/>
      </w:r>
    </w:p>
  </w:endnote>
  <w:endnote w:type="continuationSeparator" w:id="0">
    <w:p w14:paraId="1EFA7DE4" w14:textId="77777777" w:rsidR="00047D6A" w:rsidRDefault="00047D6A" w:rsidP="00BB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96821" w14:textId="77777777" w:rsidR="00047D6A" w:rsidRDefault="00047D6A" w:rsidP="00BB7DD5">
      <w:r>
        <w:separator/>
      </w:r>
    </w:p>
  </w:footnote>
  <w:footnote w:type="continuationSeparator" w:id="0">
    <w:p w14:paraId="4523F76C" w14:textId="77777777" w:rsidR="00047D6A" w:rsidRDefault="00047D6A" w:rsidP="00BB7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74E19" w14:textId="77777777" w:rsidR="00047D6A" w:rsidRDefault="00047D6A" w:rsidP="00BB7DD5">
    <w:pPr>
      <w:pStyle w:val="Header"/>
      <w:jc w:val="right"/>
    </w:pPr>
    <w:r>
      <w:tab/>
    </w:r>
    <w:r>
      <w:tab/>
      <w:t>Dan Waldman; Borja Rojo</w:t>
    </w:r>
  </w:p>
  <w:p w14:paraId="713BFAFB" w14:textId="77777777" w:rsidR="00047D6A" w:rsidRDefault="00047D6A" w:rsidP="00BB7DD5">
    <w:pPr>
      <w:pStyle w:val="Header"/>
      <w:jc w:val="right"/>
    </w:pPr>
    <w:r>
      <w:t>ECE 221</w:t>
    </w:r>
  </w:p>
  <w:p w14:paraId="25187096" w14:textId="77777777" w:rsidR="00047D6A" w:rsidRDefault="00047D6A" w:rsidP="00BB7DD5">
    <w:pPr>
      <w:pStyle w:val="Header"/>
      <w:jc w:val="right"/>
    </w:pPr>
    <w:r>
      <w:t>Lab 3</w:t>
    </w:r>
  </w:p>
  <w:p w14:paraId="35A3F8A5" w14:textId="77777777" w:rsidR="00047D6A" w:rsidRDefault="00047D6A" w:rsidP="00BB7DD5">
    <w:pPr>
      <w:pStyle w:val="Header"/>
      <w:jc w:val="right"/>
    </w:pPr>
    <w:r>
      <w:t>Hsiang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D5"/>
    <w:rsid w:val="00047D6A"/>
    <w:rsid w:val="00290AC9"/>
    <w:rsid w:val="006D76D5"/>
    <w:rsid w:val="00893057"/>
    <w:rsid w:val="008F4EB7"/>
    <w:rsid w:val="0096776E"/>
    <w:rsid w:val="00972508"/>
    <w:rsid w:val="00B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433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D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DD5"/>
  </w:style>
  <w:style w:type="paragraph" w:styleId="Footer">
    <w:name w:val="footer"/>
    <w:basedOn w:val="Normal"/>
    <w:link w:val="FooterChar"/>
    <w:uiPriority w:val="99"/>
    <w:unhideWhenUsed/>
    <w:rsid w:val="00BB7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DD5"/>
  </w:style>
  <w:style w:type="paragraph" w:styleId="BalloonText">
    <w:name w:val="Balloon Text"/>
    <w:basedOn w:val="Normal"/>
    <w:link w:val="BalloonTextChar"/>
    <w:uiPriority w:val="99"/>
    <w:semiHidden/>
    <w:unhideWhenUsed/>
    <w:rsid w:val="00BB7D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D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9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D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DD5"/>
  </w:style>
  <w:style w:type="paragraph" w:styleId="Footer">
    <w:name w:val="footer"/>
    <w:basedOn w:val="Normal"/>
    <w:link w:val="FooterChar"/>
    <w:uiPriority w:val="99"/>
    <w:unhideWhenUsed/>
    <w:rsid w:val="00BB7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DD5"/>
  </w:style>
  <w:style w:type="paragraph" w:styleId="BalloonText">
    <w:name w:val="Balloon Text"/>
    <w:basedOn w:val="Normal"/>
    <w:link w:val="BalloonTextChar"/>
    <w:uiPriority w:val="99"/>
    <w:semiHidden/>
    <w:unhideWhenUsed/>
    <w:rsid w:val="00BB7D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D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9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orjarojo:Documents:university_of_rochester:junior:firstsemester:ece221:labs:lab3:lab3_data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orjarojo:Documents:university_of_rochester:junior:firstsemester:ece221:labs:lab3:lab3_data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 vs VGS for all VDS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Sheet1!$H$2:$H$5</c:f>
              <c:numCache>
                <c:formatCode>General</c:formatCode>
                <c:ptCount val="4"/>
                <c:pt idx="0">
                  <c:v>1.027</c:v>
                </c:pt>
                <c:pt idx="1">
                  <c:v>0.211</c:v>
                </c:pt>
                <c:pt idx="2">
                  <c:v>0.004</c:v>
                </c:pt>
                <c:pt idx="3">
                  <c:v>0.001</c:v>
                </c:pt>
              </c:numCache>
            </c:numRef>
          </c:yVal>
          <c:smooth val="0"/>
        </c:ser>
        <c:ser>
          <c:idx val="1"/>
          <c:order val="1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Sheet1!$I$2:$I$5</c:f>
              <c:numCache>
                <c:formatCode>General</c:formatCode>
                <c:ptCount val="4"/>
                <c:pt idx="0">
                  <c:v>0.971</c:v>
                </c:pt>
                <c:pt idx="1">
                  <c:v>0.199</c:v>
                </c:pt>
                <c:pt idx="2">
                  <c:v>0.003</c:v>
                </c:pt>
                <c:pt idx="3">
                  <c:v>0.001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Sheet1!$J$2:$J$5</c:f>
              <c:numCache>
                <c:formatCode>General</c:formatCode>
                <c:ptCount val="4"/>
                <c:pt idx="0">
                  <c:v>0.941</c:v>
                </c:pt>
                <c:pt idx="1">
                  <c:v>0.192</c:v>
                </c:pt>
                <c:pt idx="2">
                  <c:v>0.003</c:v>
                </c:pt>
                <c:pt idx="3">
                  <c:v>0.0</c:v>
                </c:pt>
              </c:numCache>
            </c:numRef>
          </c:yVal>
          <c:smooth val="0"/>
        </c:ser>
        <c:ser>
          <c:idx val="3"/>
          <c:order val="3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Sheet1!$K$2:$K$5</c:f>
              <c:numCache>
                <c:formatCode>General</c:formatCode>
                <c:ptCount val="4"/>
                <c:pt idx="0">
                  <c:v>0.905</c:v>
                </c:pt>
                <c:pt idx="1">
                  <c:v>0.185</c:v>
                </c:pt>
                <c:pt idx="2">
                  <c:v>0.003</c:v>
                </c:pt>
                <c:pt idx="3">
                  <c:v>0.0</c:v>
                </c:pt>
              </c:numCache>
            </c:numRef>
          </c:yVal>
          <c:smooth val="0"/>
        </c:ser>
        <c:ser>
          <c:idx val="4"/>
          <c:order val="4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Sheet1!$L$2:$L$5</c:f>
              <c:numCache>
                <c:formatCode>General</c:formatCode>
                <c:ptCount val="4"/>
                <c:pt idx="0">
                  <c:v>0.863</c:v>
                </c:pt>
                <c:pt idx="1">
                  <c:v>0.177</c:v>
                </c:pt>
                <c:pt idx="2">
                  <c:v>0.003</c:v>
                </c:pt>
                <c:pt idx="3">
                  <c:v>0.0</c:v>
                </c:pt>
              </c:numCache>
            </c:numRef>
          </c:yVal>
          <c:smooth val="0"/>
        </c:ser>
        <c:ser>
          <c:idx val="5"/>
          <c:order val="5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Sheet1!$M$2:$M$5</c:f>
              <c:numCache>
                <c:formatCode>General</c:formatCode>
                <c:ptCount val="4"/>
                <c:pt idx="0">
                  <c:v>0.838</c:v>
                </c:pt>
                <c:pt idx="1">
                  <c:v>0.174</c:v>
                </c:pt>
                <c:pt idx="2">
                  <c:v>0.002</c:v>
                </c:pt>
                <c:pt idx="3">
                  <c:v>0.0</c:v>
                </c:pt>
              </c:numCache>
            </c:numRef>
          </c:yVal>
          <c:smooth val="0"/>
        </c:ser>
        <c:ser>
          <c:idx val="6"/>
          <c:order val="6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Sheet1!$N$2:$N$5</c:f>
              <c:numCache>
                <c:formatCode>General</c:formatCode>
                <c:ptCount val="4"/>
                <c:pt idx="0">
                  <c:v>0.816</c:v>
                </c:pt>
                <c:pt idx="1">
                  <c:v>0.17</c:v>
                </c:pt>
                <c:pt idx="2">
                  <c:v>0.002</c:v>
                </c:pt>
                <c:pt idx="3">
                  <c:v>0.0</c:v>
                </c:pt>
              </c:numCache>
            </c:numRef>
          </c:yVal>
          <c:smooth val="0"/>
        </c:ser>
        <c:ser>
          <c:idx val="7"/>
          <c:order val="7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Sheet1!$O$2:$O$5</c:f>
              <c:numCache>
                <c:formatCode>General</c:formatCode>
                <c:ptCount val="4"/>
                <c:pt idx="0">
                  <c:v>0.811</c:v>
                </c:pt>
                <c:pt idx="1">
                  <c:v>0.169</c:v>
                </c:pt>
                <c:pt idx="2">
                  <c:v>0.002</c:v>
                </c:pt>
                <c:pt idx="3">
                  <c:v>0.0</c:v>
                </c:pt>
              </c:numCache>
            </c:numRef>
          </c:yVal>
          <c:smooth val="0"/>
        </c:ser>
        <c:ser>
          <c:idx val="8"/>
          <c:order val="8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Sheet1!$P$2:$P$5</c:f>
              <c:numCache>
                <c:formatCode>General</c:formatCode>
                <c:ptCount val="4"/>
                <c:pt idx="0">
                  <c:v>0.803</c:v>
                </c:pt>
                <c:pt idx="1">
                  <c:v>0.168</c:v>
                </c:pt>
                <c:pt idx="2">
                  <c:v>0.002</c:v>
                </c:pt>
                <c:pt idx="3">
                  <c:v>0.0</c:v>
                </c:pt>
              </c:numCache>
            </c:numRef>
          </c:yVal>
          <c:smooth val="0"/>
        </c:ser>
        <c:ser>
          <c:idx val="9"/>
          <c:order val="9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Sheet1!$Q$2:$Q$5</c:f>
              <c:numCache>
                <c:formatCode>General</c:formatCode>
                <c:ptCount val="4"/>
                <c:pt idx="0">
                  <c:v>0.793</c:v>
                </c:pt>
                <c:pt idx="1">
                  <c:v>0.167</c:v>
                </c:pt>
                <c:pt idx="2">
                  <c:v>0.002</c:v>
                </c:pt>
                <c:pt idx="3">
                  <c:v>0.0</c:v>
                </c:pt>
              </c:numCache>
            </c:numRef>
          </c:yVal>
          <c:smooth val="0"/>
        </c:ser>
        <c:ser>
          <c:idx val="10"/>
          <c:order val="10"/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2.25</c:v>
                </c:pt>
                <c:pt idx="1">
                  <c:v>2.0</c:v>
                </c:pt>
                <c:pt idx="2">
                  <c:v>1.75</c:v>
                </c:pt>
                <c:pt idx="3">
                  <c:v>1.5</c:v>
                </c:pt>
              </c:numCache>
            </c:numRef>
          </c:xVal>
          <c:yVal>
            <c:numRef>
              <c:f>Sheet1!$R$2:$R$5</c:f>
              <c:numCache>
                <c:formatCode>General</c:formatCode>
                <c:ptCount val="4"/>
                <c:pt idx="0">
                  <c:v>0.775</c:v>
                </c:pt>
                <c:pt idx="1">
                  <c:v>0.164</c:v>
                </c:pt>
                <c:pt idx="2">
                  <c:v>0.002</c:v>
                </c:pt>
                <c:pt idx="3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270808"/>
        <c:axId val="2077276264"/>
      </c:scatterChart>
      <c:valAx>
        <c:axId val="2077270808"/>
        <c:scaling>
          <c:orientation val="minMax"/>
          <c:min val="1.4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Gate-Source Voltage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7276264"/>
        <c:crosses val="autoZero"/>
        <c:crossBetween val="midCat"/>
      </c:valAx>
      <c:valAx>
        <c:axId val="2077276264"/>
        <c:scaling>
          <c:orientation val="minMax"/>
          <c:min val="0.0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Current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7270808"/>
        <c:crosses val="autoZero"/>
        <c:crossBetween val="midCat"/>
      </c:valAx>
    </c:plotArea>
    <c:plotVisOnly val="1"/>
    <c:dispBlanksAs val="gap"/>
    <c:showDLblsOverMax val="0"/>
  </c:chart>
  <c:spPr>
    <a:ln w="12700">
      <a:solidFill>
        <a:schemeClr val="accent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en-US" baseline="0"/>
              <a:t> vs VDS for all VGS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10.0</c:v>
                </c:pt>
                <c:pt idx="1">
                  <c:v>8.0</c:v>
                </c:pt>
                <c:pt idx="2">
                  <c:v>6.0</c:v>
                </c:pt>
                <c:pt idx="3">
                  <c:v>4.0</c:v>
                </c:pt>
                <c:pt idx="4">
                  <c:v>2.0</c:v>
                </c:pt>
                <c:pt idx="5">
                  <c:v>1.0</c:v>
                </c:pt>
                <c:pt idx="6">
                  <c:v>0.5</c:v>
                </c:pt>
                <c:pt idx="7">
                  <c:v>0.4</c:v>
                </c:pt>
                <c:pt idx="8">
                  <c:v>0.3</c:v>
                </c:pt>
                <c:pt idx="9">
                  <c:v>0.2</c:v>
                </c:pt>
                <c:pt idx="10">
                  <c:v>0.1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1.027</c:v>
                </c:pt>
                <c:pt idx="1">
                  <c:v>0.971</c:v>
                </c:pt>
                <c:pt idx="2">
                  <c:v>0.941</c:v>
                </c:pt>
                <c:pt idx="3">
                  <c:v>0.905</c:v>
                </c:pt>
                <c:pt idx="4">
                  <c:v>0.863</c:v>
                </c:pt>
                <c:pt idx="5">
                  <c:v>0.838</c:v>
                </c:pt>
                <c:pt idx="6">
                  <c:v>0.816</c:v>
                </c:pt>
                <c:pt idx="7">
                  <c:v>0.811</c:v>
                </c:pt>
                <c:pt idx="8">
                  <c:v>0.803</c:v>
                </c:pt>
                <c:pt idx="9">
                  <c:v>0.793</c:v>
                </c:pt>
                <c:pt idx="10">
                  <c:v>0.775</c:v>
                </c:pt>
              </c:numCache>
            </c:numRef>
          </c:yVal>
          <c:smooth val="0"/>
        </c:ser>
        <c:ser>
          <c:idx val="1"/>
          <c:order val="1"/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10.0</c:v>
                </c:pt>
                <c:pt idx="1">
                  <c:v>8.0</c:v>
                </c:pt>
                <c:pt idx="2">
                  <c:v>6.0</c:v>
                </c:pt>
                <c:pt idx="3">
                  <c:v>4.0</c:v>
                </c:pt>
                <c:pt idx="4">
                  <c:v>2.0</c:v>
                </c:pt>
                <c:pt idx="5">
                  <c:v>1.0</c:v>
                </c:pt>
                <c:pt idx="6">
                  <c:v>0.5</c:v>
                </c:pt>
                <c:pt idx="7">
                  <c:v>0.4</c:v>
                </c:pt>
                <c:pt idx="8">
                  <c:v>0.3</c:v>
                </c:pt>
                <c:pt idx="9">
                  <c:v>0.2</c:v>
                </c:pt>
                <c:pt idx="10">
                  <c:v>0.1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0.211</c:v>
                </c:pt>
                <c:pt idx="1">
                  <c:v>0.199</c:v>
                </c:pt>
                <c:pt idx="2">
                  <c:v>0.192</c:v>
                </c:pt>
                <c:pt idx="3">
                  <c:v>0.185</c:v>
                </c:pt>
                <c:pt idx="4">
                  <c:v>0.177</c:v>
                </c:pt>
                <c:pt idx="5">
                  <c:v>0.174</c:v>
                </c:pt>
                <c:pt idx="6">
                  <c:v>0.17</c:v>
                </c:pt>
                <c:pt idx="7">
                  <c:v>0.169</c:v>
                </c:pt>
                <c:pt idx="8">
                  <c:v>0.168</c:v>
                </c:pt>
                <c:pt idx="9">
                  <c:v>0.167</c:v>
                </c:pt>
                <c:pt idx="10">
                  <c:v>0.164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10.0</c:v>
                </c:pt>
                <c:pt idx="1">
                  <c:v>8.0</c:v>
                </c:pt>
                <c:pt idx="2">
                  <c:v>6.0</c:v>
                </c:pt>
                <c:pt idx="3">
                  <c:v>4.0</c:v>
                </c:pt>
                <c:pt idx="4">
                  <c:v>2.0</c:v>
                </c:pt>
                <c:pt idx="5">
                  <c:v>1.0</c:v>
                </c:pt>
                <c:pt idx="6">
                  <c:v>0.5</c:v>
                </c:pt>
                <c:pt idx="7">
                  <c:v>0.4</c:v>
                </c:pt>
                <c:pt idx="8">
                  <c:v>0.3</c:v>
                </c:pt>
                <c:pt idx="9">
                  <c:v>0.2</c:v>
                </c:pt>
                <c:pt idx="10">
                  <c:v>0.1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0.004</c:v>
                </c:pt>
                <c:pt idx="1">
                  <c:v>0.003</c:v>
                </c:pt>
                <c:pt idx="2">
                  <c:v>0.003</c:v>
                </c:pt>
                <c:pt idx="3">
                  <c:v>0.003</c:v>
                </c:pt>
                <c:pt idx="4">
                  <c:v>0.003</c:v>
                </c:pt>
                <c:pt idx="5">
                  <c:v>0.002</c:v>
                </c:pt>
                <c:pt idx="6">
                  <c:v>0.002</c:v>
                </c:pt>
                <c:pt idx="7">
                  <c:v>0.002</c:v>
                </c:pt>
                <c:pt idx="8">
                  <c:v>0.002</c:v>
                </c:pt>
                <c:pt idx="9">
                  <c:v>0.002</c:v>
                </c:pt>
                <c:pt idx="10">
                  <c:v>0.002</c:v>
                </c:pt>
              </c:numCache>
            </c:numRef>
          </c:yVal>
          <c:smooth val="0"/>
        </c:ser>
        <c:ser>
          <c:idx val="3"/>
          <c:order val="3"/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10.0</c:v>
                </c:pt>
                <c:pt idx="1">
                  <c:v>8.0</c:v>
                </c:pt>
                <c:pt idx="2">
                  <c:v>6.0</c:v>
                </c:pt>
                <c:pt idx="3">
                  <c:v>4.0</c:v>
                </c:pt>
                <c:pt idx="4">
                  <c:v>2.0</c:v>
                </c:pt>
                <c:pt idx="5">
                  <c:v>1.0</c:v>
                </c:pt>
                <c:pt idx="6">
                  <c:v>0.5</c:v>
                </c:pt>
                <c:pt idx="7">
                  <c:v>0.4</c:v>
                </c:pt>
                <c:pt idx="8">
                  <c:v>0.3</c:v>
                </c:pt>
                <c:pt idx="9">
                  <c:v>0.2</c:v>
                </c:pt>
                <c:pt idx="10">
                  <c:v>0.1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0.001</c:v>
                </c:pt>
                <c:pt idx="1">
                  <c:v>0.001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624712"/>
        <c:axId val="2072631784"/>
      </c:scatterChart>
      <c:valAx>
        <c:axId val="2072624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Drain-Source</a:t>
                </a:r>
                <a:r>
                  <a:rPr lang="en-US" baseline="0"/>
                  <a:t> Voltage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2631784"/>
        <c:crosses val="autoZero"/>
        <c:crossBetween val="midCat"/>
      </c:valAx>
      <c:valAx>
        <c:axId val="2072631784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Current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2624712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4</cp:revision>
  <dcterms:created xsi:type="dcterms:W3CDTF">2015-10-26T18:13:00Z</dcterms:created>
  <dcterms:modified xsi:type="dcterms:W3CDTF">2015-10-26T19:58:00Z</dcterms:modified>
</cp:coreProperties>
</file>