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35"/>
        <w:tblGridChange w:id="0">
          <w:tblGrid>
            <w:gridCol w:w="4365"/>
            <w:gridCol w:w="46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8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before="0" w:line="240" w:lineRule="auto"/>
              <w:jc w:val="left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0"/>
              </w:rPr>
              <w:t xml:space="preserve">LA SOSTENIBILIDAD DE LOS PRODUCTOS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UD 3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left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Duración: </w:t>
            </w:r>
            <w:r w:rsidDel="00000000" w:rsidR="00000000" w:rsidRPr="00000000">
              <w:rPr>
                <w:i w:val="1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Estudio de casos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La Realidad del Reciclaje en España: un sistema en debate</w:t>
      </w:r>
    </w:p>
    <w:p w:rsidR="00000000" w:rsidDel="00000000" w:rsidP="00000000" w:rsidRDefault="00000000" w:rsidRPr="00000000" w14:paraId="00000009">
      <w:pPr>
        <w:spacing w:after="160" w:before="0" w:line="259" w:lineRule="auto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Soluciones</w:t>
      </w:r>
    </w:p>
    <w:p w:rsidR="00000000" w:rsidDel="00000000" w:rsidP="00000000" w:rsidRDefault="00000000" w:rsidRPr="00000000" w14:paraId="0000000A">
      <w:pPr>
        <w:spacing w:after="160" w:before="0" w:line="259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1. Con los datos que proporciona el texto, completa la siguiente tabla comparativa: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6"/>
        <w:gridCol w:w="1636"/>
        <w:gridCol w:w="1810"/>
        <w:gridCol w:w="2362"/>
        <w:tblGridChange w:id="0">
          <w:tblGrid>
            <w:gridCol w:w="2686"/>
            <w:gridCol w:w="1636"/>
            <w:gridCol w:w="1810"/>
            <w:gridCol w:w="236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before="0" w:line="259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Indicador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160" w:before="0" w:line="259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Ecoembes (2023)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160" w:before="0" w:line="259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Greenpeace (2022)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160" w:before="0" w:line="259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Discrepancia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before="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Reciclaje total (%)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before="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84,4 %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before="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37,3 %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before="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-47,1 puntos porcentuales.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before="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Recogida selectiva (%)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before="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61,9 %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before="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39,6 %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before="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-22,3 puntos porcentuales.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60" w:before="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Envases plásticos reciclados (%)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before="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89,2 %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before="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34,8 %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before="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-54,4 puntos porcentuales.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before="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Envases metálicos reciclados (%)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before="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85,8 %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before="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46,6 %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before="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-39,2 puntos porcentuales.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before="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Papel y cartón reciclado (%)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before="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78,8 %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before="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37,7 %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before="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-41,1 puntos porcentuales.</w:t>
            </w:r>
          </w:p>
        </w:tc>
      </w:tr>
    </w:tbl>
    <w:p w:rsidR="00000000" w:rsidDel="00000000" w:rsidP="00000000" w:rsidRDefault="00000000" w:rsidRPr="00000000" w14:paraId="00000023">
      <w:pPr>
        <w:spacing w:after="160" w:before="0"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0" w:line="259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2. Actividad de Reflexión</w:t>
      </w:r>
    </w:p>
    <w:p w:rsidR="00000000" w:rsidDel="00000000" w:rsidP="00000000" w:rsidRDefault="00000000" w:rsidRPr="00000000" w14:paraId="00000025">
      <w:pPr>
        <w:spacing w:after="160" w:before="0"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Tema: </w:t>
      </w:r>
      <w:r w:rsidDel="00000000" w:rsidR="00000000" w:rsidRPr="00000000">
        <w:rPr>
          <w:i w:val="1"/>
          <w:sz w:val="22"/>
          <w:szCs w:val="22"/>
          <w:rtl w:val="0"/>
        </w:rPr>
        <w:t xml:space="preserve">La percepción del reciclaje: ¿Una realidad mejorada o un sistema insuficiente?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0"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Soluciones esperadas: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160" w:before="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Reconocer que la transparencia en los datos es clave para fomentar la participación ciudadana.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160" w:before="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Propuestas como auditorías independientes, comunicación clara de las cifras y mayor responsabilidad de las empresas en la gestión de residuos.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160" w:before="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Refuerzo de campañas educativas para mostrar el impacto real del reciclaje y la importancia de la colaboración.</w:t>
      </w:r>
    </w:p>
    <w:p w:rsidR="00000000" w:rsidDel="00000000" w:rsidP="00000000" w:rsidRDefault="00000000" w:rsidRPr="00000000" w14:paraId="0000002A">
      <w:pPr>
        <w:spacing w:after="160" w:before="0"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before="0"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before="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2. El diseño de productos y su sostenibilidad</w:t>
      </w:r>
    </w:p>
    <w:p w:rsidR="00000000" w:rsidDel="00000000" w:rsidP="00000000" w:rsidRDefault="00000000" w:rsidRPr="00000000" w14:paraId="0000002D">
      <w:pPr>
        <w:spacing w:after="160" w:before="0" w:line="259" w:lineRule="auto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Soluciones</w:t>
      </w:r>
    </w:p>
    <w:p w:rsidR="00000000" w:rsidDel="00000000" w:rsidP="00000000" w:rsidRDefault="00000000" w:rsidRPr="00000000" w14:paraId="0000002E">
      <w:pPr>
        <w:spacing w:after="160" w:before="0" w:line="259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1. Completa la siguiente tabla a partir de los datos del texto:</w:t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3"/>
        <w:gridCol w:w="2123"/>
        <w:gridCol w:w="2124"/>
        <w:gridCol w:w="2124"/>
        <w:tblGridChange w:id="0">
          <w:tblGrid>
            <w:gridCol w:w="2123"/>
            <w:gridCol w:w="2123"/>
            <w:gridCol w:w="2124"/>
            <w:gridCol w:w="212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160" w:before="0" w:line="259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Producto/empresa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160" w:before="0" w:line="259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Sector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160" w:before="0" w:line="259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Modelo de diseño sostenible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160" w:before="0" w:line="259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Medidas de sostenibilidad adoptadas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Allbirds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Calzado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Innovador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before="0"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Uso de materiales naturales y renovables como lana merina, cuero de uva, fibras de eucalipto y caña de azúcar. Compensación de emisiones para lograr neutralidad climática.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Yuccs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Calzado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Innovador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before="0"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Uso de materiales naturales y renovables como lana merina, cuero de uva, fibras de eucalipto y caña de azúcar. Apuesta por una fabricación artesana y proveedores locales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Nike en Nike Air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Calzado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Incremental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before="0"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Incorpora hasta un 50 % de materiales reciclados en algunos modelos, además de reemplazar el hexafluoruro de azufre por nitrógeno como gas de relleno, este último con menor efecto invernadero que el anterior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Loop by TerraCycle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Envases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Innovador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before="0"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Apuesta por la reutilización, en lugar del reciclaje. Dispone de un sistema de envases reutilizables para eliminar residuos y crea un sistema circular ya que los clientes pueden devolver los envases para ser higienizados y rellenados.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Coca-Cola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Envases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Incremental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before="0"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 aumentado el uso de plástico reciclado (rPET) en sus botellas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Patagonia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Moda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Innovador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before="0"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 materiales reciclados y orgánicos en su producción, ha reducido el uso de productos químicos dañinos y fomenta la reparación y la compra de ropa de segunda mano a través de su programa 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Worn Wear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H&amp;M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Moda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before="0" w:line="25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Incremental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before="0"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Emplea poliéster reciclado y algodón orgánico con su programa Conscious</w:t>
            </w:r>
          </w:p>
        </w:tc>
      </w:tr>
    </w:tbl>
    <w:p w:rsidR="00000000" w:rsidDel="00000000" w:rsidP="00000000" w:rsidRDefault="00000000" w:rsidRPr="00000000" w14:paraId="0000004F">
      <w:pPr>
        <w:spacing w:after="160" w:before="0"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before="0"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</w:t>
      </w:r>
      <w:r w:rsidDel="00000000" w:rsidR="00000000" w:rsidRPr="00000000">
        <w:rPr>
          <w:b w:val="1"/>
          <w:sz w:val="22"/>
          <w:szCs w:val="22"/>
          <w:rtl w:val="0"/>
        </w:rPr>
        <w:t xml:space="preserve">. ¿Qué diferencia hay entre un modelo innovador y un modelo incremental en términos de sostenibilidad?</w:t>
      </w:r>
      <w:r w:rsidDel="00000000" w:rsidR="00000000" w:rsidRPr="00000000">
        <w:rPr>
          <w:sz w:val="22"/>
          <w:szCs w:val="22"/>
          <w:rtl w:val="0"/>
        </w:rPr>
        <w:t xml:space="preserve"> El modelo innovador implica un rediseño completo y un enfoque radical que prioriza la sostenibilidad en todos los aspectos del producto, mientras que el modelo incremental introduce mejoras graduales y específicas sin alterar de manera significativa el diseño o el sistema subyacente.</w:t>
      </w:r>
    </w:p>
    <w:p w:rsidR="00000000" w:rsidDel="00000000" w:rsidP="00000000" w:rsidRDefault="00000000" w:rsidRPr="00000000" w14:paraId="00000051">
      <w:pPr>
        <w:spacing w:after="160" w:before="0"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</w:t>
      </w:r>
      <w:r w:rsidDel="00000000" w:rsidR="00000000" w:rsidRPr="00000000">
        <w:rPr>
          <w:b w:val="1"/>
          <w:sz w:val="22"/>
          <w:szCs w:val="22"/>
          <w:rtl w:val="0"/>
        </w:rPr>
        <w:t xml:space="preserve">. Según el caso práctico, ¿qué enfoque tiene mayor impacto positivo en el medio ambiente? Justifica tu respuesta</w:t>
      </w:r>
      <w:r w:rsidDel="00000000" w:rsidR="00000000" w:rsidRPr="00000000">
        <w:rPr>
          <w:sz w:val="22"/>
          <w:szCs w:val="22"/>
          <w:rtl w:val="0"/>
        </w:rPr>
        <w:t xml:space="preserve">. El modelo innovador tiene mayor impacto porque replantea el diseño y fomenta ciclos de vida sostenibles. Ejemplos como los de Allbirds y Patagonia ofrecen un enfoque más transformador que el de Nike o Coca-Cola, que siguen dependiendo de prácticas tradicionales.</w:t>
      </w:r>
    </w:p>
    <w:p w:rsidR="00000000" w:rsidDel="00000000" w:rsidP="00000000" w:rsidRDefault="00000000" w:rsidRPr="00000000" w14:paraId="00000052">
      <w:pPr>
        <w:spacing w:after="160" w:before="0"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</w:t>
      </w:r>
      <w:r w:rsidDel="00000000" w:rsidR="00000000" w:rsidRPr="00000000">
        <w:rPr>
          <w:b w:val="1"/>
          <w:sz w:val="22"/>
          <w:szCs w:val="22"/>
          <w:rtl w:val="0"/>
        </w:rPr>
        <w:t xml:space="preserve">. Identifica al menos un beneficio y una limitación de los modelos incrementales, basándote en los ejemplos dados.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160" w:before="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Beneficio: Los modelos incrementales son más rápidos de implementar y requieren menos inversión inicial. Por ejemplo, el uso de plásticos reciclados por Coca-Cola es un avance positivo.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160" w:before="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Limitación: No abordan completamente los problemas estructurales, como el modelo de negocio de "fast fashion" en H&amp;M, que sigue siendo insostenible a largo plazo.</w:t>
      </w:r>
    </w:p>
    <w:p w:rsidR="00000000" w:rsidDel="00000000" w:rsidP="00000000" w:rsidRDefault="00000000" w:rsidRPr="00000000" w14:paraId="00000055">
      <w:pPr>
        <w:spacing w:after="160" w:before="0"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3. Los colchones y la economía circular</w:t>
      </w:r>
    </w:p>
    <w:p w:rsidR="00000000" w:rsidDel="00000000" w:rsidP="00000000" w:rsidRDefault="00000000" w:rsidRPr="00000000" w14:paraId="00000057">
      <w:pPr>
        <w:spacing w:after="160" w:before="0" w:line="259" w:lineRule="auto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Soluciones</w:t>
      </w:r>
    </w:p>
    <w:p w:rsidR="00000000" w:rsidDel="00000000" w:rsidP="00000000" w:rsidRDefault="00000000" w:rsidRPr="00000000" w14:paraId="00000058">
      <w:pPr>
        <w:spacing w:after="160" w:before="0" w:line="259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1. ¿Cuál es el principal problema ambiental relacionado con los colchones en la Comunitat Valenciana?</w:t>
      </w:r>
    </w:p>
    <w:p w:rsidR="00000000" w:rsidDel="00000000" w:rsidP="00000000" w:rsidRDefault="00000000" w:rsidRPr="00000000" w14:paraId="00000059">
      <w:pPr>
        <w:spacing w:after="160" w:before="0"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principal problema ambiental es el gran volumen y alta densidad de los colchones desechados, que ocupan un espacio significativo en los vertederos. Esto reduce el aprovechamiento de los vertederos y genera un impacto ambiental negativo al dificultar la gestión eficiente de los residuos.</w:t>
      </w:r>
    </w:p>
    <w:p w:rsidR="00000000" w:rsidDel="00000000" w:rsidP="00000000" w:rsidRDefault="00000000" w:rsidRPr="00000000" w14:paraId="0000005A">
      <w:pPr>
        <w:spacing w:after="160" w:before="0" w:line="259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2. ¿Qué objetivos establece la Ley 5/2022 respecto al reciclaje de colchones?</w:t>
      </w:r>
    </w:p>
    <w:p w:rsidR="00000000" w:rsidDel="00000000" w:rsidP="00000000" w:rsidRDefault="00000000" w:rsidRPr="00000000" w14:paraId="0000005B">
      <w:pPr>
        <w:spacing w:after="160" w:before="0"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Ley 5/2022 fija los siguientes objetivos: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160" w:before="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Para 2024, reducir en un 75% las unidades de colchones que terminan en vertederos respecto a las cifras de 2021.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160" w:before="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Para 2025, alcanzar una reducción del 90% en el mismo indicador.</w:t>
        <w:br w:type="textWrapping"/>
        <w:t xml:space="preserve">Esto busca fomentar el reciclaje y la valorización material en línea con los principios de la economía circular.</w:t>
      </w:r>
    </w:p>
    <w:p w:rsidR="00000000" w:rsidDel="00000000" w:rsidP="00000000" w:rsidRDefault="00000000" w:rsidRPr="00000000" w14:paraId="0000005E">
      <w:pPr>
        <w:spacing w:after="160" w:before="0" w:line="259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3. ¿Qué innovaciones aporta la tecnología desarrollada por Ecoaqua Colchones?</w:t>
      </w:r>
    </w:p>
    <w:p w:rsidR="00000000" w:rsidDel="00000000" w:rsidP="00000000" w:rsidRDefault="00000000" w:rsidRPr="00000000" w14:paraId="0000005F">
      <w:pPr>
        <w:spacing w:after="160" w:before="0"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tecnología de Ecoaqua Colchones utiliza agua a ultra-presión para separar los materiales de los colchones sin triturarlos. Sus principales innovaciones son: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160" w:before="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Recuperación de todos los componentes de los colchones (muelles, espumas, látex, etc.).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160" w:before="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Ausencia de emisiones contaminantes o residuos en polvo durante el proceso.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160" w:before="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Reutilización del 95% del agua empleada, reduciendo el consumo global.</w:t>
      </w:r>
    </w:p>
    <w:p w:rsidR="00000000" w:rsidDel="00000000" w:rsidP="00000000" w:rsidRDefault="00000000" w:rsidRPr="00000000" w14:paraId="00000063">
      <w:pPr>
        <w:spacing w:after="160" w:before="0" w:line="259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4. ¿Cómo contribuye esta tecnología al modelo de economía circular?</w:t>
      </w:r>
    </w:p>
    <w:p w:rsidR="00000000" w:rsidDel="00000000" w:rsidP="00000000" w:rsidRDefault="00000000" w:rsidRPr="00000000" w14:paraId="00000064">
      <w:pPr>
        <w:spacing w:after="160" w:before="0"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tecnología de Ecoaqua Colchones permite dar una segunda vida a los materiales recuperados, maximizando su reutilización. Esto evita que estos recursos terminen en vertederos y reduce la extracción de nuevos materiales. Además, el proceso eficiente y sostenible refuerza la transición hacia una economía circular basada en la recuperación y valorización de residuos.</w:t>
      </w:r>
    </w:p>
    <w:p w:rsidR="00000000" w:rsidDel="00000000" w:rsidP="00000000" w:rsidRDefault="00000000" w:rsidRPr="00000000" w14:paraId="00000065">
      <w:pPr>
        <w:spacing w:after="160" w:before="0" w:line="259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5. ¿Qué desafíos podrían surgir para cumplir con los objetivos de la Ley 5/2022?</w:t>
      </w:r>
    </w:p>
    <w:p w:rsidR="00000000" w:rsidDel="00000000" w:rsidP="00000000" w:rsidRDefault="00000000" w:rsidRPr="00000000" w14:paraId="00000066">
      <w:pPr>
        <w:spacing w:after="160" w:before="0"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Algunos desafíos podrían ser: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160" w:before="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Escalar la tecnología de Ecoaqua Colchones a un mayor número de plantas o regiones.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160" w:before="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Garantizar la financiación necesaria para implementar estas soluciones a gran escala.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160" w:before="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Sensibilizar a la ciudadanía y fomentar su colaboración en el reciclaje de colchones.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160" w:before="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Asegurar que todas las empresas y entidades implicadas colaboren eficazmente en la gestión de estos residuos.</w:t>
      </w:r>
    </w:p>
    <w:p w:rsidR="00000000" w:rsidDel="00000000" w:rsidP="00000000" w:rsidRDefault="00000000" w:rsidRPr="00000000" w14:paraId="0000006B">
      <w:pPr>
        <w:spacing w:after="160" w:before="0"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before="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4. ALCUVA y la Economía Circular en la producción de vino</w:t>
      </w:r>
    </w:p>
    <w:p w:rsidR="00000000" w:rsidDel="00000000" w:rsidP="00000000" w:rsidRDefault="00000000" w:rsidRPr="00000000" w14:paraId="0000006D">
      <w:pPr>
        <w:spacing w:after="160" w:before="0" w:line="259" w:lineRule="auto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Soluciones</w:t>
      </w:r>
    </w:p>
    <w:p w:rsidR="00000000" w:rsidDel="00000000" w:rsidP="00000000" w:rsidRDefault="00000000" w:rsidRPr="00000000" w14:paraId="0000006E">
      <w:pPr>
        <w:spacing w:after="160" w:before="0" w:line="259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1. Según el planteamiento de economía circular que se desarrolló en el libro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Cradle to cradle</w:t>
      </w:r>
      <w:r w:rsidDel="00000000" w:rsidR="00000000" w:rsidRPr="00000000">
        <w:rPr>
          <w:b w:val="1"/>
          <w:sz w:val="22"/>
          <w:szCs w:val="22"/>
          <w:rtl w:val="0"/>
        </w:rPr>
        <w:t xml:space="preserve"> de William McDonough y Michael Braungart ¿A qué diagrama circular pertenecería este proceso? ¿Cuál sería el proceso circular que se seguiría y que subproductos se obtendrían?</w:t>
      </w:r>
    </w:p>
    <w:p w:rsidR="00000000" w:rsidDel="00000000" w:rsidP="00000000" w:rsidRDefault="00000000" w:rsidRPr="00000000" w14:paraId="0000006F">
      <w:pPr>
        <w:spacing w:after="160" w:before="0"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Pertenece al denominado metabolismo biológico. El proceso sería: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262626"/>
          <w:sz w:val="22"/>
          <w:szCs w:val="22"/>
          <w:rtl w:val="0"/>
        </w:rPr>
        <w:t xml:space="preserve">Recolección del raspón de uva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262626"/>
          <w:sz w:val="22"/>
          <w:szCs w:val="22"/>
          <w:rtl w:val="0"/>
        </w:rPr>
        <w:t xml:space="preserve">Producción de bioetanol a partir de la fermentación de los azúcares extraídos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262626"/>
          <w:sz w:val="22"/>
          <w:szCs w:val="22"/>
          <w:rtl w:val="0"/>
        </w:rPr>
        <w:t xml:space="preserve">Extracción de nutrientes para la fabricación de piensos para rumiantes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262626"/>
          <w:sz w:val="22"/>
          <w:szCs w:val="22"/>
          <w:rtl w:val="0"/>
        </w:rPr>
        <w:t xml:space="preserve">Compostaje de los residuos producidos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before="0"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before="0" w:line="259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2. ¿Qué beneficios ambientales y económicos genera la transformación de este subproducto?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160" w:before="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Beneficios ambientales: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160" w:before="0" w:line="259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Reducción de residuos orgánicos mediante su valorización.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spacing w:after="160" w:before="0" w:line="259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Disminución de emisiones de gases de efecto invernadero al sustituir combustibles fósiles con bioetanol.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spacing w:after="160" w:before="0" w:line="259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Mejora en la sostenibilidad del sector vinícola al integrar prácticas de economía circular.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160" w:before="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Beneficios económicos: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160" w:before="0" w:line="259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Generación de ingresos adicionales para los viticultores mediante la venta de subproductos como el raspón de uva.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160" w:before="0" w:line="259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Desarrollo de una industria de producción de bioetanol y de piensos para rumiantes, aumentando la actividad económica de la región y generando empleo local.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160" w:before="0" w:line="259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Reducción de costos asociados a la gestión de residuos (compostaje tradicional).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160" w:before="0" w:line="259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Mayor competitividad en el sector agroindustrial debido a la innovación tecnológica.</w:t>
      </w:r>
    </w:p>
    <w:p w:rsidR="00000000" w:rsidDel="00000000" w:rsidP="00000000" w:rsidRDefault="00000000" w:rsidRPr="00000000" w14:paraId="0000007F">
      <w:pPr>
        <w:spacing w:after="160" w:before="0" w:line="259" w:lineRule="auto"/>
        <w:ind w:left="36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3. Relaciona el proyecto ALCUVA con al menos tres ODS. Justifica la respuesta.</w:t>
      </w:r>
    </w:p>
    <w:p w:rsidR="00000000" w:rsidDel="00000000" w:rsidP="00000000" w:rsidRDefault="00000000" w:rsidRPr="00000000" w14:paraId="00000080">
      <w:pPr>
        <w:spacing w:after="160" w:before="0" w:line="259" w:lineRule="auto"/>
        <w:ind w:left="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Algunos ODS con los que se relaciona este proyecto, son: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160" w:before="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ODS 12 (Producción y consumo responsables): Al revalorizar el raspón de uva y reducir el desperdicio en la producción vinícola, se promueve una gestión más eficiente de los recursos.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160" w:before="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ODS 7 (Energía asequible y no contaminante): El bioetanol obtenido sustituye combustibles fósiles, fomentando el uso de energías limpias y renovables.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160" w:before="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ODS 13 (Acción por el clima): La reducción de emisiones y el fomento de la economía circular ayudan a mitigar los efectos del cambio climático.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160" w:before="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ODS 9 (Industria, innovación e infraestructura): El desarrollo de un sistema digitalizado y conectado para la recolección del raspón de uva constituye una innovación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440.0000000000002" w:top="1440.0000000000002" w:left="1417.3228346456694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Style w:val="Subtitle"/>
      <w:jc w:val="center"/>
      <w:rPr/>
    </w:pPr>
    <w:bookmarkStart w:colFirst="0" w:colLast="0" w:name="_i0zrlntpo62v" w:id="3"/>
    <w:bookmarkEnd w:id="3"/>
    <w:r w:rsidDel="00000000" w:rsidR="00000000" w:rsidRPr="00000000">
      <w:rPr>
        <w:i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Style w:val="Subtitle"/>
      <w:jc w:val="center"/>
      <w:rPr>
        <w:sz w:val="20"/>
        <w:szCs w:val="20"/>
      </w:rPr>
    </w:pPr>
    <w:bookmarkStart w:colFirst="0" w:colLast="0" w:name="_u6x0sd23o42v" w:id="4"/>
    <w:bookmarkEnd w:id="4"/>
    <w:r w:rsidDel="00000000" w:rsidR="00000000" w:rsidRPr="00000000">
      <w:rPr>
        <w:i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Style w:val="Subtitle"/>
      <w:rPr>
        <w:sz w:val="20"/>
        <w:szCs w:val="20"/>
      </w:rPr>
    </w:pPr>
    <w:bookmarkStart w:colFirst="0" w:colLast="0" w:name="_m7l9za5ciau3" w:id="0"/>
    <w:bookmarkEnd w:id="0"/>
    <w:r w:rsidDel="00000000" w:rsidR="00000000" w:rsidRPr="00000000">
      <w:rPr>
        <w:rtl w:val="0"/>
      </w:rPr>
    </w:r>
  </w:p>
  <w:tbl>
    <w:tblPr>
      <w:tblStyle w:val="Table4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100"/>
      <w:gridCol w:w="3900"/>
      <w:tblGridChange w:id="0">
        <w:tblGrid>
          <w:gridCol w:w="5100"/>
          <w:gridCol w:w="3900"/>
        </w:tblGrid>
      </w:tblGridChange>
    </w:tblGrid>
    <w:tr>
      <w:trPr>
        <w:cantSplit w:val="0"/>
        <w:trHeight w:val="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87">
          <w:pPr>
            <w:pStyle w:val="Subtitle"/>
            <w:widowControl w:val="0"/>
            <w:rPr>
              <w:sz w:val="20"/>
              <w:szCs w:val="20"/>
            </w:rPr>
          </w:pPr>
          <w:bookmarkStart w:colFirst="0" w:colLast="0" w:name="_maqo65fc26tl" w:id="1"/>
          <w:bookmarkEnd w:id="1"/>
          <w:r w:rsidDel="00000000" w:rsidR="00000000" w:rsidRPr="00000000">
            <w:rPr>
              <w:sz w:val="20"/>
              <w:szCs w:val="20"/>
              <w:rtl w:val="0"/>
            </w:rPr>
            <w:t xml:space="preserve">Sostenibilidad aplicada al sistema productivo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88">
          <w:pPr>
            <w:pStyle w:val="Subtitle"/>
            <w:widowControl w:val="0"/>
            <w:jc w:val="right"/>
            <w:rPr>
              <w:sz w:val="20"/>
              <w:szCs w:val="20"/>
            </w:rPr>
          </w:pPr>
          <w:bookmarkStart w:colFirst="0" w:colLast="0" w:name="_maqo65fc26tl" w:id="1"/>
          <w:bookmarkEnd w:id="1"/>
          <w:r w:rsidDel="00000000" w:rsidR="00000000" w:rsidRPr="00000000">
            <w:rPr>
              <w:sz w:val="20"/>
              <w:szCs w:val="20"/>
              <w:rtl w:val="0"/>
            </w:rPr>
            <w:t xml:space="preserve">Actividad 1</w:t>
          </w:r>
        </w:p>
      </w:tc>
    </w:tr>
  </w:tbl>
  <w:p w:rsidR="00000000" w:rsidDel="00000000" w:rsidP="00000000" w:rsidRDefault="00000000" w:rsidRPr="00000000" w14:paraId="00000089">
    <w:pPr>
      <w:pStyle w:val="Subtitle"/>
      <w:rPr>
        <w:sz w:val="20"/>
        <w:szCs w:val="20"/>
      </w:rPr>
    </w:pPr>
    <w:bookmarkStart w:colFirst="0" w:colLast="0" w:name="_f3diz8y63s91" w:id="2"/>
    <w:bookmarkEnd w:id="2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2082732" cy="576000"/>
          <wp:effectExtent b="0" l="0" r="0" t="0"/>
          <wp:wrapNone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2732" cy="576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3807150</wp:posOffset>
          </wp:positionH>
          <wp:positionV relativeFrom="paragraph">
            <wp:posOffset>-133349</wp:posOffset>
          </wp:positionV>
          <wp:extent cx="1924050" cy="590550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-16894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924050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u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00" w:lineRule="auto"/>
    </w:pPr>
    <w:rPr>
      <w:b w:val="1"/>
      <w:color w:val="008aa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color w:val="008a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color w:val="2112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240" w:line="360" w:lineRule="auto"/>
      <w:jc w:val="center"/>
    </w:pPr>
    <w:rPr>
      <w:b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i w:val="1"/>
      <w:color w:val="99999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