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35"/>
        <w:tblGridChange w:id="0">
          <w:tblGrid>
            <w:gridCol w:w="4365"/>
            <w:gridCol w:w="4635"/>
          </w:tblGrid>
        </w:tblGridChange>
      </w:tblGrid>
      <w:tr>
        <w:trPr>
          <w:cantSplit w:val="0"/>
          <w:trHeight w:val="440" w:hRule="atLeast"/>
          <w:tblHeader w:val="0"/>
        </w:trPr>
        <w:tc>
          <w:tcPr>
            <w:gridSpan w:val="2"/>
            <w:tcBorders>
              <w:top w:color="000000" w:space="0" w:sz="18" w:val="single"/>
              <w:left w:color="000000" w:space="0" w:sz="18" w:val="single"/>
              <w:bottom w:color="000000" w:space="0" w:sz="18" w:val="single"/>
              <w:right w:color="000000" w:space="0" w:sz="18" w:val="single"/>
            </w:tcBorders>
            <w:shd w:fill="008aab"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before="0" w:line="240" w:lineRule="auto"/>
              <w:jc w:val="left"/>
              <w:rPr>
                <w:b w:val="1"/>
                <w:color w:val="ffffff"/>
                <w:sz w:val="30"/>
                <w:szCs w:val="30"/>
              </w:rPr>
            </w:pPr>
            <w:r w:rsidDel="00000000" w:rsidR="00000000" w:rsidRPr="00000000">
              <w:rPr>
                <w:b w:val="1"/>
                <w:color w:val="ffffff"/>
                <w:sz w:val="30"/>
                <w:szCs w:val="30"/>
                <w:rtl w:val="0"/>
              </w:rPr>
              <w:t xml:space="preserve">LA SOSTENIBILIDAD DE LAS EMPRESAS</w:t>
            </w:r>
          </w:p>
        </w:tc>
      </w:tr>
      <w:tr>
        <w:trPr>
          <w:cantSplit w:val="0"/>
          <w:tblHeader w:val="0"/>
        </w:trPr>
        <w:tc>
          <w:tcPr>
            <w:tcBorders>
              <w:top w:color="000000" w:space="0" w:sz="18" w:val="single"/>
              <w:left w:color="000000" w:space="0" w:sz="18"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left"/>
              <w:rPr>
                <w:i w:val="1"/>
              </w:rPr>
            </w:pPr>
            <w:r w:rsidDel="00000000" w:rsidR="00000000" w:rsidRPr="00000000">
              <w:rPr>
                <w:i w:val="1"/>
                <w:rtl w:val="0"/>
              </w:rPr>
              <w:t xml:space="preserve">UD 4</w:t>
            </w:r>
          </w:p>
        </w:tc>
        <w:tc>
          <w:tcPr>
            <w:tcBorders>
              <w:top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jc w:val="left"/>
              <w:rPr>
                <w:i w:val="1"/>
              </w:rPr>
            </w:pPr>
            <w:r w:rsidDel="00000000" w:rsidR="00000000" w:rsidRPr="00000000">
              <w:rPr>
                <w:b w:val="1"/>
                <w:rtl w:val="0"/>
              </w:rPr>
              <w:t xml:space="preserve">Duración: 1,5h</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TEXTO DE REFLEXIÓN</w:t>
      </w:r>
    </w:p>
    <w:p w:rsidR="00000000" w:rsidDel="00000000" w:rsidP="00000000" w:rsidRDefault="00000000" w:rsidRPr="00000000" w14:paraId="00000008">
      <w:pPr>
        <w:rPr>
          <w:i w:val="1"/>
        </w:rPr>
      </w:pPr>
      <w:r w:rsidDel="00000000" w:rsidR="00000000" w:rsidRPr="00000000">
        <w:rPr>
          <w:i w:val="1"/>
          <w:rtl w:val="0"/>
        </w:rPr>
        <w:t xml:space="preserve">« En 1781, el barco de esclavos británico Zong zarpó de Ghana hacia Jamaica con más de 400 esclavos africanos a bordo, 17 tripulantes y un capitán inexperto. Incluso para los estándares de los barcos de esclavos, el Zong estaba abarrotado y tenía poca tripulación. Para empeorar las cosas, cuando el barco llegó a aguas del Caribe, se perdió y navegó más de 300 millas lejos de la costa de Jamaica. La terrible historia de este barco nos cuenta que en ese momento los marineros decidieron desechar parte de su carga y, en consecuencia, arrojaron 132 esclavos por la borda. Más tarde, afirmaron que lo habían hecho porque no había suficiente agua potable para todos, pero este argumento es más que discutible porque, cuando finalmente llegaron a Jamaica, todavía disponían de un buen suministro de agua. En realidad, el verdadero motivo de esta brutal acción era que las aseguradoras pagaban la suma de 30 libras esterlinas por esclavo si, debido a alguna circunstancia extrema, el barco debía deshacerse de algunos de ellos para salvar el resto de la carga. Desafortunadamente para el capitán y la tripulación, las aseguradoras detectaron el fraude y se negaron a pagar.</w:t>
      </w:r>
    </w:p>
    <w:p w:rsidR="00000000" w:rsidDel="00000000" w:rsidP="00000000" w:rsidRDefault="00000000" w:rsidRPr="00000000" w14:paraId="00000009">
      <w:pPr>
        <w:rPr>
          <w:i w:val="1"/>
        </w:rPr>
      </w:pPr>
      <w:r w:rsidDel="00000000" w:rsidR="00000000" w:rsidRPr="00000000">
        <w:rPr>
          <w:i w:val="1"/>
          <w:rtl w:val="0"/>
        </w:rPr>
        <w:t xml:space="preserve">[….] En conclusión, esta terrible historia muestra cómo los seres humanos pueden ser concebidos y tratados como una mercancía por parte de otros seres humanos. Es extremadamente difícil comprender por qué se podía pensar así y cómo la conciencia de las personas permitía esta barbarie. Afortunadamente, la matanza de los esclavos fue también percibida por una parte relevante de la sociedad de la época como una inaceptable mancha en la conciencia de la nación. Muchas voces críticas señalaron que no podía tolerarse una sociedad ni una economía donde los beneficios económicos primaran por encima de la moral y los derechos humanos. </w:t>
      </w:r>
    </w:p>
    <w:p w:rsidR="00000000" w:rsidDel="00000000" w:rsidP="00000000" w:rsidRDefault="00000000" w:rsidRPr="00000000" w14:paraId="0000000A">
      <w:pPr>
        <w:rPr>
          <w:i w:val="1"/>
        </w:rPr>
      </w:pPr>
      <w:r w:rsidDel="00000000" w:rsidR="00000000" w:rsidRPr="00000000">
        <w:rPr>
          <w:i w:val="1"/>
          <w:rtl w:val="0"/>
        </w:rPr>
        <w:t xml:space="preserve">[….] Este conflicto cuestionó los fundamentos básicos de un capitalismo salvaje y contribuyó también de manera significativa a un cambio en las actitudes de los gobiernos, empresas y consumidores.</w:t>
      </w:r>
    </w:p>
    <w:p w:rsidR="00000000" w:rsidDel="00000000" w:rsidP="00000000" w:rsidRDefault="00000000" w:rsidRPr="00000000" w14:paraId="0000000B">
      <w:pPr>
        <w:rPr>
          <w:i w:val="1"/>
        </w:rPr>
      </w:pPr>
      <w:r w:rsidDel="00000000" w:rsidR="00000000" w:rsidRPr="00000000">
        <w:rPr>
          <w:i w:val="1"/>
          <w:rtl w:val="0"/>
        </w:rPr>
        <w:t xml:space="preserve">[….] Finalmente, en 1807 el comercio de esclavos llegó a su fin gracias al creciente poder que alcanzó el movimiento abolicionista. Durante el periodo entre el caso Zong, y la abolición de la esclavitud, empezaron a surgir un número destacado de empresas, que podríamos denominar con conciencia, que promovieron modelos de negocio responsables y respetuosos con los derechos humanos, y que además usaron su infraestructura para cambiar muchas de las prácticas que hoy en día consideramos intolerables, pero que en aquel momento eran socialmente aceptadas de forma mayoritaria. </w:t>
      </w:r>
    </w:p>
    <w:p w:rsidR="00000000" w:rsidDel="00000000" w:rsidP="00000000" w:rsidRDefault="00000000" w:rsidRPr="00000000" w14:paraId="0000000C">
      <w:pPr>
        <w:rPr>
          <w:i w:val="1"/>
        </w:rPr>
      </w:pPr>
      <w:r w:rsidDel="00000000" w:rsidR="00000000" w:rsidRPr="00000000">
        <w:rPr>
          <w:i w:val="1"/>
          <w:rtl w:val="0"/>
        </w:rPr>
        <w:t xml:space="preserve">[….] Wedgwood y otros intentaron construir empresas capaces de ser rentables a la par que responsables, así que apelaron a una nueva clase de ciudadanos, éticamente conscientes, que querían demostrar su compromiso con la abolición de la esclavitud a través de sus hábitos de consumo. En esta línea, muchos ciudadanos-consumidores de clase media dejaron de comprar el azúcar producido por los dueños de esclavos de las Indias Occidentales en favor de otros proveedores. Ahora bien, el problema radicaba en que el azúcar que no estaba producido por esclavos era más caro y, por lo tanto, frenaba en parte el crecimiento de su consumo. Esto llevó a muchas empresas sin escrúpulos a dar gato por liebre, haciendo afirmaciones falsas sobre la procedencia y la forma de producción de su producto. Esto obligó a las verdaderas empresas con conciencia a reaccionar ante estas prácticas y, como respuesta, promovieron la verificación de sus cadenas de suministro de azúcar, para así garantizar que no provenían de mano de obra esclava. De hecho, para evidenciar este compromiso desarrollaron un etiquetado que los diferenciaba de la competencia desleal.»</w:t>
      </w:r>
    </w:p>
    <w:p w:rsidR="00000000" w:rsidDel="00000000" w:rsidP="00000000" w:rsidRDefault="00000000" w:rsidRPr="00000000" w14:paraId="0000000D">
      <w:pPr>
        <w:jc w:val="right"/>
        <w:rPr>
          <w:i w:val="1"/>
        </w:rPr>
      </w:pPr>
      <w:r w:rsidDel="00000000" w:rsidR="00000000" w:rsidRPr="00000000">
        <w:rPr>
          <w:i w:val="1"/>
          <w:rtl w:val="0"/>
        </w:rPr>
        <w:t xml:space="preserve">Nicholas Ind y Oriol Iglesias</w:t>
      </w:r>
    </w:p>
    <w:p w:rsidR="00000000" w:rsidDel="00000000" w:rsidP="00000000" w:rsidRDefault="00000000" w:rsidRPr="00000000" w14:paraId="0000000E">
      <w:pPr>
        <w:jc w:val="right"/>
        <w:rPr>
          <w:i w:val="1"/>
        </w:rPr>
        <w:sectPr>
          <w:headerReference r:id="rId6" w:type="default"/>
          <w:headerReference r:id="rId7" w:type="first"/>
          <w:footerReference r:id="rId8" w:type="default"/>
          <w:footerReference r:id="rId9" w:type="first"/>
          <w:pgSz w:h="16838" w:w="11906" w:orient="portrait"/>
          <w:pgMar w:bottom="1440.0000000000002" w:top="1440.0000000000002" w:left="1417.3228346456694" w:right="1440.0000000000002" w:header="720" w:footer="720"/>
          <w:pgNumType w:start="1"/>
          <w:titlePg w:val="1"/>
        </w:sectPr>
      </w:pPr>
      <w:r w:rsidDel="00000000" w:rsidR="00000000" w:rsidRPr="00000000">
        <w:rPr>
          <w:i w:val="1"/>
          <w:rtl w:val="0"/>
        </w:rPr>
        <w:t xml:space="preserve">“Empresas con conciencia: más allá de la responsabilidad social corporativa”</w:t>
      </w:r>
    </w:p>
    <w:p w:rsidR="00000000" w:rsidDel="00000000" w:rsidP="00000000" w:rsidRDefault="00000000" w:rsidRPr="00000000" w14:paraId="0000000F">
      <w:pPr>
        <w:rPr>
          <w:i w:val="1"/>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DINÁMICA COOPERATIVA</w:t>
      </w:r>
    </w:p>
    <w:p w:rsidR="00000000" w:rsidDel="00000000" w:rsidP="00000000" w:rsidRDefault="00000000" w:rsidRPr="00000000" w14:paraId="00000011">
      <w:pPr>
        <w:spacing w:after="160" w:before="0" w:line="259" w:lineRule="auto"/>
        <w:rPr/>
      </w:pPr>
      <w:r w:rsidDel="00000000" w:rsidR="00000000" w:rsidRPr="00000000">
        <w:rPr>
          <w:rtl w:val="0"/>
        </w:rPr>
        <w:t xml:space="preserve">El texto habla del papel desempeñado tanto por algunos consumidores como de algunas empresas en la abolición de la esclavitud. Las empresas que traficaban con esclavos y las que las empleaban como mano de obra tenían como objetivo obtener el máximo beneficio sin importar los medios. Vamos a construir una analogía en la actualidad en la que hay empresas que persiguen obtener los máximos beneficios sin importar las condiciones laborales de sus empleados (se puede considerar que actualmente hay alrededor de 25 millones de personas que trabajan en condiciones similares a la esclavitud) ni el perjuicio ocasionado al medio ambiente. Y hay consumidores que buscan adquirir bienes al menor precio posible y sin cuestionarse las implicaciones de los productos que compran. Pero también hay empresas y consumidores que tienen otros modos de actuar. Vamos a llamarlos empresas y consumidores con conciencia</w:t>
      </w:r>
    </w:p>
    <w:p w:rsidR="00000000" w:rsidDel="00000000" w:rsidP="00000000" w:rsidRDefault="00000000" w:rsidRPr="00000000" w14:paraId="00000012">
      <w:pPr>
        <w:spacing w:after="160" w:before="0" w:line="259" w:lineRule="auto"/>
        <w:rPr/>
      </w:pPr>
      <w:r w:rsidDel="00000000" w:rsidR="00000000" w:rsidRPr="00000000">
        <w:rPr>
          <w:rtl w:val="0"/>
        </w:rPr>
        <w:t xml:space="preserve">Dividimos la clase en dos grupos, unos representarán el papel de las empresas y otros el de los consumidores. Dentro de esos dos grupos, haremos varios subgrupos cada uno de 4 alumnos, por ejemplo. El objetivo es construir una matriz DAFO (Debilidades, Amenazas, Fortalezas, Oportunidades) tanto de las empresas como de los consumidores con conciencia, usando la dinámica de aprendizaje cooperativo 1-2-4. Es decir, cada alumno durante 4 o 5 minutos tratará de elaborarla individualmente, después la pondrá en común con uno de sus compañeros de grupo durante otros 4 o 5 minutos y consensuarán un nuevo DAFO y, finalmente, en una tercera puesta en común consensuarán un DAFO del grupo de 4. Después, todos los grupos expondrán su DAFO al resto de la clase y se tratará de consensuar dos DAFO globales: el de las empresas y el de los consumidores con conciencia.</w:t>
      </w:r>
    </w:p>
    <w:p w:rsidR="00000000" w:rsidDel="00000000" w:rsidP="00000000" w:rsidRDefault="00000000" w:rsidRPr="00000000" w14:paraId="00000013">
      <w:pPr>
        <w:spacing w:after="160" w:before="0" w:line="259" w:lineRule="auto"/>
        <w:rPr/>
      </w:pPr>
      <w:r w:rsidDel="00000000" w:rsidR="00000000" w:rsidRPr="00000000">
        <w:rPr>
          <w:rtl w:val="0"/>
        </w:rPr>
        <w:t xml:space="preserve">El diagrama DAFO consta de dos análisis, el interno y el externo. El primero tienen que ver con costes, recursos, financiación, organización interna, etc. y está constituido por:</w:t>
      </w:r>
    </w:p>
    <w:p w:rsidR="00000000" w:rsidDel="00000000" w:rsidP="00000000" w:rsidRDefault="00000000" w:rsidRPr="00000000" w14:paraId="00000014">
      <w:pPr>
        <w:numPr>
          <w:ilvl w:val="0"/>
          <w:numId w:val="2"/>
        </w:numPr>
        <w:spacing w:after="0" w:before="0" w:line="240" w:lineRule="auto"/>
        <w:ind w:left="720" w:hanging="360"/>
        <w:rPr>
          <w:color w:val="262626"/>
        </w:rPr>
      </w:pPr>
      <w:r w:rsidDel="00000000" w:rsidR="00000000" w:rsidRPr="00000000">
        <w:rPr>
          <w:color w:val="262626"/>
          <w:u w:val="single"/>
          <w:rtl w:val="0"/>
        </w:rPr>
        <w:t xml:space="preserve">Debilidades</w:t>
      </w:r>
      <w:r w:rsidDel="00000000" w:rsidR="00000000" w:rsidRPr="00000000">
        <w:rPr>
          <w:color w:val="262626"/>
          <w:rtl w:val="0"/>
        </w:rPr>
        <w:t xml:space="preserve">: limitaciones internas de la organización o de los consumidores. </w:t>
      </w:r>
    </w:p>
    <w:p w:rsidR="00000000" w:rsidDel="00000000" w:rsidP="00000000" w:rsidRDefault="00000000" w:rsidRPr="00000000" w14:paraId="00000015">
      <w:pPr>
        <w:numPr>
          <w:ilvl w:val="0"/>
          <w:numId w:val="2"/>
        </w:numPr>
        <w:spacing w:after="0" w:before="0" w:line="240" w:lineRule="auto"/>
        <w:ind w:left="720" w:hanging="360"/>
        <w:rPr>
          <w:color w:val="262626"/>
        </w:rPr>
      </w:pPr>
      <w:r w:rsidDel="00000000" w:rsidR="00000000" w:rsidRPr="00000000">
        <w:rPr>
          <w:color w:val="262626"/>
          <w:u w:val="single"/>
          <w:rtl w:val="0"/>
        </w:rPr>
        <w:t xml:space="preserve">Fortalezas</w:t>
      </w:r>
      <w:r w:rsidDel="00000000" w:rsidR="00000000" w:rsidRPr="00000000">
        <w:rPr>
          <w:color w:val="262626"/>
          <w:rtl w:val="0"/>
        </w:rPr>
        <w:t xml:space="preserve">: puntos a favor de la organización o de los consumidores. </w:t>
      </w:r>
    </w:p>
    <w:p w:rsidR="00000000" w:rsidDel="00000000" w:rsidP="00000000" w:rsidRDefault="00000000" w:rsidRPr="00000000" w14:paraId="00000016">
      <w:pPr>
        <w:spacing w:after="160" w:before="0" w:line="259" w:lineRule="auto"/>
        <w:rPr/>
      </w:pPr>
      <w:r w:rsidDel="00000000" w:rsidR="00000000" w:rsidRPr="00000000">
        <w:rPr>
          <w:rtl w:val="0"/>
        </w:rPr>
      </w:r>
    </w:p>
    <w:p w:rsidR="00000000" w:rsidDel="00000000" w:rsidP="00000000" w:rsidRDefault="00000000" w:rsidRPr="00000000" w14:paraId="00000017">
      <w:pPr>
        <w:spacing w:after="160" w:before="0" w:line="259" w:lineRule="auto"/>
        <w:rPr/>
      </w:pPr>
      <w:r w:rsidDel="00000000" w:rsidR="00000000" w:rsidRPr="00000000">
        <w:rPr>
          <w:rtl w:val="0"/>
        </w:rPr>
        <w:t xml:space="preserve">El análisis externo, relacionado con el contexto en que se encuentran (factores sociales, políticos, geográficos, tecnológicos, etc.), las tendencias del mercado, los precios de los competidores, etc., comprende:</w:t>
      </w:r>
    </w:p>
    <w:p w:rsidR="00000000" w:rsidDel="00000000" w:rsidP="00000000" w:rsidRDefault="00000000" w:rsidRPr="00000000" w14:paraId="00000018">
      <w:pPr>
        <w:numPr>
          <w:ilvl w:val="0"/>
          <w:numId w:val="1"/>
        </w:numPr>
        <w:spacing w:after="0" w:before="0" w:line="240" w:lineRule="auto"/>
        <w:ind w:left="720" w:hanging="360"/>
        <w:rPr>
          <w:color w:val="262626"/>
        </w:rPr>
      </w:pPr>
      <w:r w:rsidDel="00000000" w:rsidR="00000000" w:rsidRPr="00000000">
        <w:rPr>
          <w:color w:val="262626"/>
          <w:u w:val="single"/>
          <w:rtl w:val="0"/>
        </w:rPr>
        <w:t xml:space="preserve">Amenazas</w:t>
      </w:r>
      <w:r w:rsidDel="00000000" w:rsidR="00000000" w:rsidRPr="00000000">
        <w:rPr>
          <w:color w:val="262626"/>
          <w:rtl w:val="0"/>
        </w:rPr>
        <w:t xml:space="preserve">: lo que impide o pone en peligro que se pueda alcanzar el fin.</w:t>
      </w:r>
    </w:p>
    <w:p w:rsidR="00000000" w:rsidDel="00000000" w:rsidP="00000000" w:rsidRDefault="00000000" w:rsidRPr="00000000" w14:paraId="00000019">
      <w:pPr>
        <w:numPr>
          <w:ilvl w:val="0"/>
          <w:numId w:val="1"/>
        </w:numPr>
        <w:spacing w:after="0" w:before="0" w:line="240" w:lineRule="auto"/>
        <w:ind w:left="720" w:hanging="360"/>
        <w:rPr>
          <w:color w:val="262626"/>
        </w:rPr>
      </w:pPr>
      <w:r w:rsidDel="00000000" w:rsidR="00000000" w:rsidRPr="00000000">
        <w:rPr>
          <w:color w:val="262626"/>
          <w:u w:val="single"/>
          <w:rtl w:val="0"/>
        </w:rPr>
        <w:t xml:space="preserve">Oportunidades</w:t>
      </w:r>
      <w:r w:rsidDel="00000000" w:rsidR="00000000" w:rsidRPr="00000000">
        <w:rPr>
          <w:color w:val="262626"/>
          <w:rtl w:val="0"/>
        </w:rPr>
        <w:t xml:space="preserve">: los factores ajenos que favorecen el fin o que ofrecen posibilidades de mejora</w:t>
      </w:r>
    </w:p>
    <w:p w:rsidR="00000000" w:rsidDel="00000000" w:rsidP="00000000" w:rsidRDefault="00000000" w:rsidRPr="00000000" w14:paraId="0000001A">
      <w:pPr>
        <w:spacing w:after="160" w:before="0" w:line="259" w:lineRule="auto"/>
        <w:rPr/>
      </w:pPr>
      <w:r w:rsidDel="00000000" w:rsidR="00000000" w:rsidRPr="00000000">
        <w:rPr>
          <w:rtl w:val="0"/>
        </w:rPr>
      </w:r>
    </w:p>
    <w:p w:rsidR="00000000" w:rsidDel="00000000" w:rsidP="00000000" w:rsidRDefault="00000000" w:rsidRPr="00000000" w14:paraId="0000001B">
      <w:pPr>
        <w:spacing w:after="160" w:before="0" w:line="259" w:lineRule="auto"/>
        <w:rPr/>
      </w:pPr>
      <w:r w:rsidDel="00000000" w:rsidR="00000000" w:rsidRPr="00000000">
        <w:rPr>
          <w:rtl w:val="0"/>
        </w:rPr>
        <w:t xml:space="preserve">Para facilitar la confección del DAFO, se le puede dar a cada alumno la siguiente tabla:</w:t>
      </w:r>
      <w:r w:rsidDel="00000000" w:rsidR="00000000" w:rsidRPr="00000000">
        <w:rPr>
          <w:rtl w:val="0"/>
        </w:rPr>
      </w:r>
    </w:p>
    <w:p w:rsidR="00000000" w:rsidDel="00000000" w:rsidP="00000000" w:rsidRDefault="00000000" w:rsidRPr="00000000" w14:paraId="0000001C">
      <w:pPr>
        <w:spacing w:after="0" w:before="280" w:line="240" w:lineRule="auto"/>
        <w:rPr>
          <w:rFonts w:ascii="Calibri" w:cs="Calibri" w:eastAsia="Calibri" w:hAnsi="Calibri"/>
          <w:sz w:val="20"/>
          <w:szCs w:val="20"/>
        </w:rPr>
      </w:pPr>
      <w:r w:rsidDel="00000000" w:rsidR="00000000" w:rsidRPr="00000000">
        <w:rPr>
          <w:rtl w:val="0"/>
        </w:rPr>
      </w:r>
    </w:p>
    <w:tbl>
      <w:tblPr>
        <w:tblStyle w:val="Table2"/>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1D">
            <w:pPr>
              <w:spacing w:before="0" w:lineRule="auto"/>
              <w:rPr>
                <w:sz w:val="24"/>
                <w:szCs w:val="24"/>
              </w:rPr>
            </w:pPr>
            <w:r w:rsidDel="00000000" w:rsidR="00000000" w:rsidRPr="00000000">
              <w:rPr>
                <w:b w:val="1"/>
                <w:sz w:val="24"/>
                <w:szCs w:val="24"/>
                <w:u w:val="single"/>
                <w:rtl w:val="0"/>
              </w:rPr>
              <w:t xml:space="preserve">DEBILIDADES</w:t>
            </w:r>
            <w:r w:rsidDel="00000000" w:rsidR="00000000" w:rsidRPr="00000000">
              <w:rPr>
                <w:sz w:val="24"/>
                <w:szCs w:val="24"/>
                <w:rtl w:val="0"/>
              </w:rPr>
              <w:t xml:space="preserve">:</w:t>
            </w:r>
          </w:p>
          <w:p w:rsidR="00000000" w:rsidDel="00000000" w:rsidP="00000000" w:rsidRDefault="00000000" w:rsidRPr="00000000" w14:paraId="0000001E">
            <w:pPr>
              <w:spacing w:before="280" w:lineRule="auto"/>
              <w:rPr>
                <w:sz w:val="24"/>
                <w:szCs w:val="24"/>
              </w:rPr>
            </w:pPr>
            <w:r w:rsidDel="00000000" w:rsidR="00000000" w:rsidRPr="00000000">
              <w:rPr>
                <w:sz w:val="24"/>
                <w:szCs w:val="24"/>
                <w:rtl w:val="0"/>
              </w:rPr>
              <w:t xml:space="preserve">Individual:</w:t>
            </w:r>
          </w:p>
          <w:p w:rsidR="00000000" w:rsidDel="00000000" w:rsidP="00000000" w:rsidRDefault="00000000" w:rsidRPr="00000000" w14:paraId="0000001F">
            <w:pPr>
              <w:spacing w:before="280" w:lineRule="auto"/>
              <w:rPr>
                <w:sz w:val="24"/>
                <w:szCs w:val="24"/>
              </w:rPr>
            </w:pPr>
            <w:r w:rsidDel="00000000" w:rsidR="00000000" w:rsidRPr="00000000">
              <w:rPr>
                <w:rtl w:val="0"/>
              </w:rPr>
            </w:r>
          </w:p>
          <w:p w:rsidR="00000000" w:rsidDel="00000000" w:rsidP="00000000" w:rsidRDefault="00000000" w:rsidRPr="00000000" w14:paraId="00000020">
            <w:pPr>
              <w:spacing w:before="280" w:lineRule="auto"/>
              <w:rPr>
                <w:sz w:val="24"/>
                <w:szCs w:val="24"/>
              </w:rPr>
            </w:pPr>
            <w:r w:rsidDel="00000000" w:rsidR="00000000" w:rsidRPr="00000000">
              <w:rPr>
                <w:sz w:val="24"/>
                <w:szCs w:val="24"/>
                <w:rtl w:val="0"/>
              </w:rPr>
              <w:t xml:space="preserve">Pareja:</w:t>
            </w:r>
          </w:p>
          <w:p w:rsidR="00000000" w:rsidDel="00000000" w:rsidP="00000000" w:rsidRDefault="00000000" w:rsidRPr="00000000" w14:paraId="00000021">
            <w:pPr>
              <w:spacing w:before="280" w:lineRule="auto"/>
              <w:rPr>
                <w:sz w:val="24"/>
                <w:szCs w:val="24"/>
              </w:rPr>
            </w:pPr>
            <w:r w:rsidDel="00000000" w:rsidR="00000000" w:rsidRPr="00000000">
              <w:rPr>
                <w:rtl w:val="0"/>
              </w:rPr>
            </w:r>
          </w:p>
          <w:p w:rsidR="00000000" w:rsidDel="00000000" w:rsidP="00000000" w:rsidRDefault="00000000" w:rsidRPr="00000000" w14:paraId="00000022">
            <w:pPr>
              <w:spacing w:before="280" w:lineRule="auto"/>
              <w:rPr>
                <w:sz w:val="24"/>
                <w:szCs w:val="24"/>
              </w:rPr>
            </w:pPr>
            <w:r w:rsidDel="00000000" w:rsidR="00000000" w:rsidRPr="00000000">
              <w:rPr>
                <w:sz w:val="24"/>
                <w:szCs w:val="24"/>
                <w:rtl w:val="0"/>
              </w:rPr>
              <w:t xml:space="preserve">Pequeño grupo:</w:t>
            </w:r>
          </w:p>
          <w:p w:rsidR="00000000" w:rsidDel="00000000" w:rsidP="00000000" w:rsidRDefault="00000000" w:rsidRPr="00000000" w14:paraId="00000023">
            <w:pPr>
              <w:spacing w:before="280" w:lineRule="auto"/>
              <w:rPr>
                <w:sz w:val="24"/>
                <w:szCs w:val="24"/>
              </w:rPr>
            </w:pPr>
            <w:r w:rsidDel="00000000" w:rsidR="00000000" w:rsidRPr="00000000">
              <w:rPr>
                <w:rtl w:val="0"/>
              </w:rPr>
            </w:r>
          </w:p>
          <w:p w:rsidR="00000000" w:rsidDel="00000000" w:rsidP="00000000" w:rsidRDefault="00000000" w:rsidRPr="00000000" w14:paraId="00000024">
            <w:pPr>
              <w:spacing w:before="280" w:lineRule="auto"/>
              <w:rPr>
                <w:sz w:val="24"/>
                <w:szCs w:val="24"/>
              </w:rPr>
            </w:pPr>
            <w:r w:rsidDel="00000000" w:rsidR="00000000" w:rsidRPr="00000000">
              <w:rPr>
                <w:sz w:val="24"/>
                <w:szCs w:val="24"/>
                <w:rtl w:val="0"/>
              </w:rPr>
              <w:t xml:space="preserve">Gran grupo:</w:t>
            </w:r>
          </w:p>
          <w:p w:rsidR="00000000" w:rsidDel="00000000" w:rsidP="00000000" w:rsidRDefault="00000000" w:rsidRPr="00000000" w14:paraId="00000025">
            <w:pPr>
              <w:spacing w:before="280" w:lineRule="auto"/>
              <w:rPr>
                <w:sz w:val="24"/>
                <w:szCs w:val="24"/>
              </w:rPr>
            </w:pPr>
            <w:r w:rsidDel="00000000" w:rsidR="00000000" w:rsidRPr="00000000">
              <w:rPr>
                <w:rtl w:val="0"/>
              </w:rPr>
            </w:r>
          </w:p>
          <w:p w:rsidR="00000000" w:rsidDel="00000000" w:rsidP="00000000" w:rsidRDefault="00000000" w:rsidRPr="00000000" w14:paraId="00000026">
            <w:pPr>
              <w:spacing w:before="280" w:lineRule="auto"/>
              <w:rPr>
                <w:sz w:val="24"/>
                <w:szCs w:val="24"/>
              </w:rPr>
            </w:pPr>
            <w:r w:rsidDel="00000000" w:rsidR="00000000" w:rsidRPr="00000000">
              <w:rPr>
                <w:rtl w:val="0"/>
              </w:rPr>
            </w:r>
          </w:p>
        </w:tc>
        <w:tc>
          <w:tcPr/>
          <w:p w:rsidR="00000000" w:rsidDel="00000000" w:rsidP="00000000" w:rsidRDefault="00000000" w:rsidRPr="00000000" w14:paraId="00000027">
            <w:pPr>
              <w:spacing w:before="0" w:lineRule="auto"/>
              <w:rPr>
                <w:sz w:val="24"/>
                <w:szCs w:val="24"/>
              </w:rPr>
            </w:pPr>
            <w:r w:rsidDel="00000000" w:rsidR="00000000" w:rsidRPr="00000000">
              <w:rPr>
                <w:b w:val="1"/>
                <w:sz w:val="24"/>
                <w:szCs w:val="24"/>
                <w:u w:val="single"/>
                <w:rtl w:val="0"/>
              </w:rPr>
              <w:t xml:space="preserve">AMENAZAS</w:t>
            </w:r>
            <w:r w:rsidDel="00000000" w:rsidR="00000000" w:rsidRPr="00000000">
              <w:rPr>
                <w:sz w:val="24"/>
                <w:szCs w:val="24"/>
                <w:rtl w:val="0"/>
              </w:rPr>
              <w:t xml:space="preserve">:</w:t>
            </w:r>
          </w:p>
          <w:p w:rsidR="00000000" w:rsidDel="00000000" w:rsidP="00000000" w:rsidRDefault="00000000" w:rsidRPr="00000000" w14:paraId="00000028">
            <w:pPr>
              <w:spacing w:before="280" w:lineRule="auto"/>
              <w:rPr>
                <w:sz w:val="24"/>
                <w:szCs w:val="24"/>
              </w:rPr>
            </w:pPr>
            <w:r w:rsidDel="00000000" w:rsidR="00000000" w:rsidRPr="00000000">
              <w:rPr>
                <w:sz w:val="24"/>
                <w:szCs w:val="24"/>
                <w:rtl w:val="0"/>
              </w:rPr>
              <w:t xml:space="preserve">Individual:</w:t>
            </w:r>
          </w:p>
          <w:p w:rsidR="00000000" w:rsidDel="00000000" w:rsidP="00000000" w:rsidRDefault="00000000" w:rsidRPr="00000000" w14:paraId="00000029">
            <w:pPr>
              <w:spacing w:before="280" w:lineRule="auto"/>
              <w:rPr>
                <w:sz w:val="24"/>
                <w:szCs w:val="24"/>
              </w:rPr>
            </w:pPr>
            <w:r w:rsidDel="00000000" w:rsidR="00000000" w:rsidRPr="00000000">
              <w:rPr>
                <w:rtl w:val="0"/>
              </w:rPr>
            </w:r>
          </w:p>
          <w:p w:rsidR="00000000" w:rsidDel="00000000" w:rsidP="00000000" w:rsidRDefault="00000000" w:rsidRPr="00000000" w14:paraId="0000002A">
            <w:pPr>
              <w:spacing w:before="280" w:lineRule="auto"/>
              <w:rPr>
                <w:sz w:val="24"/>
                <w:szCs w:val="24"/>
              </w:rPr>
            </w:pPr>
            <w:r w:rsidDel="00000000" w:rsidR="00000000" w:rsidRPr="00000000">
              <w:rPr>
                <w:sz w:val="24"/>
                <w:szCs w:val="24"/>
                <w:rtl w:val="0"/>
              </w:rPr>
              <w:t xml:space="preserve">Pareja:</w:t>
            </w:r>
          </w:p>
          <w:p w:rsidR="00000000" w:rsidDel="00000000" w:rsidP="00000000" w:rsidRDefault="00000000" w:rsidRPr="00000000" w14:paraId="0000002B">
            <w:pPr>
              <w:spacing w:before="280" w:lineRule="auto"/>
              <w:rPr>
                <w:sz w:val="24"/>
                <w:szCs w:val="24"/>
              </w:rPr>
            </w:pPr>
            <w:r w:rsidDel="00000000" w:rsidR="00000000" w:rsidRPr="00000000">
              <w:rPr>
                <w:rtl w:val="0"/>
              </w:rPr>
            </w:r>
          </w:p>
          <w:p w:rsidR="00000000" w:rsidDel="00000000" w:rsidP="00000000" w:rsidRDefault="00000000" w:rsidRPr="00000000" w14:paraId="0000002C">
            <w:pPr>
              <w:spacing w:before="280" w:lineRule="auto"/>
              <w:rPr>
                <w:sz w:val="24"/>
                <w:szCs w:val="24"/>
              </w:rPr>
            </w:pPr>
            <w:r w:rsidDel="00000000" w:rsidR="00000000" w:rsidRPr="00000000">
              <w:rPr>
                <w:sz w:val="24"/>
                <w:szCs w:val="24"/>
                <w:rtl w:val="0"/>
              </w:rPr>
              <w:t xml:space="preserve">Pequeño grupo:</w:t>
            </w:r>
          </w:p>
          <w:p w:rsidR="00000000" w:rsidDel="00000000" w:rsidP="00000000" w:rsidRDefault="00000000" w:rsidRPr="00000000" w14:paraId="0000002D">
            <w:pPr>
              <w:spacing w:before="280" w:lineRule="auto"/>
              <w:rPr>
                <w:sz w:val="24"/>
                <w:szCs w:val="24"/>
              </w:rPr>
            </w:pPr>
            <w:r w:rsidDel="00000000" w:rsidR="00000000" w:rsidRPr="00000000">
              <w:rPr>
                <w:rtl w:val="0"/>
              </w:rPr>
            </w:r>
          </w:p>
          <w:p w:rsidR="00000000" w:rsidDel="00000000" w:rsidP="00000000" w:rsidRDefault="00000000" w:rsidRPr="00000000" w14:paraId="0000002E">
            <w:pPr>
              <w:spacing w:before="280" w:lineRule="auto"/>
              <w:rPr>
                <w:sz w:val="24"/>
                <w:szCs w:val="24"/>
              </w:rPr>
            </w:pPr>
            <w:r w:rsidDel="00000000" w:rsidR="00000000" w:rsidRPr="00000000">
              <w:rPr>
                <w:sz w:val="24"/>
                <w:szCs w:val="24"/>
                <w:rtl w:val="0"/>
              </w:rPr>
              <w:t xml:space="preserve">Gran grupo:</w:t>
            </w:r>
          </w:p>
          <w:p w:rsidR="00000000" w:rsidDel="00000000" w:rsidP="00000000" w:rsidRDefault="00000000" w:rsidRPr="00000000" w14:paraId="0000002F">
            <w:pPr>
              <w:spacing w:before="280" w:lineRule="auto"/>
              <w:rPr>
                <w:sz w:val="24"/>
                <w:szCs w:val="24"/>
              </w:rPr>
            </w:pPr>
            <w:r w:rsidDel="00000000" w:rsidR="00000000" w:rsidRPr="00000000">
              <w:rPr>
                <w:rtl w:val="0"/>
              </w:rPr>
            </w:r>
          </w:p>
          <w:p w:rsidR="00000000" w:rsidDel="00000000" w:rsidP="00000000" w:rsidRDefault="00000000" w:rsidRPr="00000000" w14:paraId="00000030">
            <w:pPr>
              <w:spacing w:before="28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before="0" w:lineRule="auto"/>
              <w:rPr>
                <w:sz w:val="24"/>
                <w:szCs w:val="24"/>
              </w:rPr>
            </w:pPr>
            <w:r w:rsidDel="00000000" w:rsidR="00000000" w:rsidRPr="00000000">
              <w:rPr>
                <w:b w:val="1"/>
                <w:sz w:val="24"/>
                <w:szCs w:val="24"/>
                <w:u w:val="single"/>
                <w:rtl w:val="0"/>
              </w:rPr>
              <w:t xml:space="preserve">FORTALEZAS</w:t>
            </w:r>
            <w:r w:rsidDel="00000000" w:rsidR="00000000" w:rsidRPr="00000000">
              <w:rPr>
                <w:sz w:val="24"/>
                <w:szCs w:val="24"/>
                <w:rtl w:val="0"/>
              </w:rPr>
              <w:t xml:space="preserve">:</w:t>
            </w:r>
          </w:p>
          <w:p w:rsidR="00000000" w:rsidDel="00000000" w:rsidP="00000000" w:rsidRDefault="00000000" w:rsidRPr="00000000" w14:paraId="00000032">
            <w:pPr>
              <w:spacing w:before="280" w:lineRule="auto"/>
              <w:rPr>
                <w:sz w:val="24"/>
                <w:szCs w:val="24"/>
              </w:rPr>
            </w:pPr>
            <w:r w:rsidDel="00000000" w:rsidR="00000000" w:rsidRPr="00000000">
              <w:rPr>
                <w:sz w:val="24"/>
                <w:szCs w:val="24"/>
                <w:rtl w:val="0"/>
              </w:rPr>
              <w:t xml:space="preserve">Individual:</w:t>
            </w:r>
          </w:p>
          <w:p w:rsidR="00000000" w:rsidDel="00000000" w:rsidP="00000000" w:rsidRDefault="00000000" w:rsidRPr="00000000" w14:paraId="00000033">
            <w:pPr>
              <w:spacing w:before="280" w:lineRule="auto"/>
              <w:rPr>
                <w:sz w:val="24"/>
                <w:szCs w:val="24"/>
              </w:rPr>
            </w:pPr>
            <w:r w:rsidDel="00000000" w:rsidR="00000000" w:rsidRPr="00000000">
              <w:rPr>
                <w:rtl w:val="0"/>
              </w:rPr>
            </w:r>
          </w:p>
          <w:p w:rsidR="00000000" w:rsidDel="00000000" w:rsidP="00000000" w:rsidRDefault="00000000" w:rsidRPr="00000000" w14:paraId="00000034">
            <w:pPr>
              <w:spacing w:before="280" w:lineRule="auto"/>
              <w:rPr>
                <w:sz w:val="24"/>
                <w:szCs w:val="24"/>
              </w:rPr>
            </w:pPr>
            <w:r w:rsidDel="00000000" w:rsidR="00000000" w:rsidRPr="00000000">
              <w:rPr>
                <w:sz w:val="24"/>
                <w:szCs w:val="24"/>
                <w:rtl w:val="0"/>
              </w:rPr>
              <w:t xml:space="preserve">Pareja:</w:t>
            </w:r>
          </w:p>
          <w:p w:rsidR="00000000" w:rsidDel="00000000" w:rsidP="00000000" w:rsidRDefault="00000000" w:rsidRPr="00000000" w14:paraId="00000035">
            <w:pPr>
              <w:spacing w:before="280" w:lineRule="auto"/>
              <w:rPr>
                <w:sz w:val="24"/>
                <w:szCs w:val="24"/>
              </w:rPr>
            </w:pPr>
            <w:r w:rsidDel="00000000" w:rsidR="00000000" w:rsidRPr="00000000">
              <w:rPr>
                <w:rtl w:val="0"/>
              </w:rPr>
            </w:r>
          </w:p>
          <w:p w:rsidR="00000000" w:rsidDel="00000000" w:rsidP="00000000" w:rsidRDefault="00000000" w:rsidRPr="00000000" w14:paraId="00000036">
            <w:pPr>
              <w:spacing w:before="280" w:lineRule="auto"/>
              <w:rPr>
                <w:sz w:val="24"/>
                <w:szCs w:val="24"/>
              </w:rPr>
            </w:pPr>
            <w:r w:rsidDel="00000000" w:rsidR="00000000" w:rsidRPr="00000000">
              <w:rPr>
                <w:sz w:val="24"/>
                <w:szCs w:val="24"/>
                <w:rtl w:val="0"/>
              </w:rPr>
              <w:t xml:space="preserve">Pequeño grupo:</w:t>
            </w:r>
          </w:p>
          <w:p w:rsidR="00000000" w:rsidDel="00000000" w:rsidP="00000000" w:rsidRDefault="00000000" w:rsidRPr="00000000" w14:paraId="00000037">
            <w:pPr>
              <w:spacing w:before="280" w:lineRule="auto"/>
              <w:rPr>
                <w:sz w:val="24"/>
                <w:szCs w:val="24"/>
              </w:rPr>
            </w:pPr>
            <w:r w:rsidDel="00000000" w:rsidR="00000000" w:rsidRPr="00000000">
              <w:rPr>
                <w:rtl w:val="0"/>
              </w:rPr>
            </w:r>
          </w:p>
          <w:p w:rsidR="00000000" w:rsidDel="00000000" w:rsidP="00000000" w:rsidRDefault="00000000" w:rsidRPr="00000000" w14:paraId="00000038">
            <w:pPr>
              <w:spacing w:before="280" w:lineRule="auto"/>
              <w:rPr>
                <w:sz w:val="24"/>
                <w:szCs w:val="24"/>
              </w:rPr>
            </w:pPr>
            <w:r w:rsidDel="00000000" w:rsidR="00000000" w:rsidRPr="00000000">
              <w:rPr>
                <w:sz w:val="24"/>
                <w:szCs w:val="24"/>
                <w:rtl w:val="0"/>
              </w:rPr>
              <w:t xml:space="preserve">Gran grupo:</w:t>
            </w:r>
          </w:p>
          <w:p w:rsidR="00000000" w:rsidDel="00000000" w:rsidP="00000000" w:rsidRDefault="00000000" w:rsidRPr="00000000" w14:paraId="00000039">
            <w:pPr>
              <w:spacing w:before="280" w:lineRule="auto"/>
              <w:rPr>
                <w:sz w:val="24"/>
                <w:szCs w:val="24"/>
              </w:rPr>
            </w:pPr>
            <w:r w:rsidDel="00000000" w:rsidR="00000000" w:rsidRPr="00000000">
              <w:rPr>
                <w:rtl w:val="0"/>
              </w:rPr>
            </w:r>
          </w:p>
          <w:p w:rsidR="00000000" w:rsidDel="00000000" w:rsidP="00000000" w:rsidRDefault="00000000" w:rsidRPr="00000000" w14:paraId="0000003A">
            <w:pPr>
              <w:spacing w:before="280" w:lineRule="auto"/>
              <w:rPr>
                <w:sz w:val="24"/>
                <w:szCs w:val="24"/>
              </w:rPr>
            </w:pPr>
            <w:r w:rsidDel="00000000" w:rsidR="00000000" w:rsidRPr="00000000">
              <w:rPr>
                <w:rtl w:val="0"/>
              </w:rPr>
            </w:r>
          </w:p>
        </w:tc>
        <w:tc>
          <w:tcPr/>
          <w:p w:rsidR="00000000" w:rsidDel="00000000" w:rsidP="00000000" w:rsidRDefault="00000000" w:rsidRPr="00000000" w14:paraId="0000003B">
            <w:pPr>
              <w:spacing w:before="0" w:lineRule="auto"/>
              <w:rPr>
                <w:sz w:val="24"/>
                <w:szCs w:val="24"/>
              </w:rPr>
            </w:pPr>
            <w:r w:rsidDel="00000000" w:rsidR="00000000" w:rsidRPr="00000000">
              <w:rPr>
                <w:b w:val="1"/>
                <w:sz w:val="24"/>
                <w:szCs w:val="24"/>
                <w:u w:val="single"/>
                <w:rtl w:val="0"/>
              </w:rPr>
              <w:t xml:space="preserve">OPORTUNIDADES</w:t>
            </w:r>
            <w:r w:rsidDel="00000000" w:rsidR="00000000" w:rsidRPr="00000000">
              <w:rPr>
                <w:sz w:val="24"/>
                <w:szCs w:val="24"/>
                <w:rtl w:val="0"/>
              </w:rPr>
              <w:t xml:space="preserve">:</w:t>
            </w:r>
          </w:p>
          <w:p w:rsidR="00000000" w:rsidDel="00000000" w:rsidP="00000000" w:rsidRDefault="00000000" w:rsidRPr="00000000" w14:paraId="0000003C">
            <w:pPr>
              <w:spacing w:before="280" w:lineRule="auto"/>
              <w:rPr>
                <w:sz w:val="24"/>
                <w:szCs w:val="24"/>
              </w:rPr>
            </w:pPr>
            <w:r w:rsidDel="00000000" w:rsidR="00000000" w:rsidRPr="00000000">
              <w:rPr>
                <w:sz w:val="24"/>
                <w:szCs w:val="24"/>
                <w:rtl w:val="0"/>
              </w:rPr>
              <w:t xml:space="preserve">Individual:</w:t>
            </w:r>
          </w:p>
          <w:p w:rsidR="00000000" w:rsidDel="00000000" w:rsidP="00000000" w:rsidRDefault="00000000" w:rsidRPr="00000000" w14:paraId="0000003D">
            <w:pPr>
              <w:spacing w:before="280" w:lineRule="auto"/>
              <w:rPr>
                <w:sz w:val="24"/>
                <w:szCs w:val="24"/>
              </w:rPr>
            </w:pPr>
            <w:r w:rsidDel="00000000" w:rsidR="00000000" w:rsidRPr="00000000">
              <w:rPr>
                <w:rtl w:val="0"/>
              </w:rPr>
            </w:r>
          </w:p>
          <w:p w:rsidR="00000000" w:rsidDel="00000000" w:rsidP="00000000" w:rsidRDefault="00000000" w:rsidRPr="00000000" w14:paraId="0000003E">
            <w:pPr>
              <w:spacing w:before="280" w:lineRule="auto"/>
              <w:rPr>
                <w:sz w:val="24"/>
                <w:szCs w:val="24"/>
              </w:rPr>
            </w:pPr>
            <w:r w:rsidDel="00000000" w:rsidR="00000000" w:rsidRPr="00000000">
              <w:rPr>
                <w:sz w:val="24"/>
                <w:szCs w:val="24"/>
                <w:rtl w:val="0"/>
              </w:rPr>
              <w:t xml:space="preserve">Pareja:</w:t>
            </w:r>
          </w:p>
          <w:p w:rsidR="00000000" w:rsidDel="00000000" w:rsidP="00000000" w:rsidRDefault="00000000" w:rsidRPr="00000000" w14:paraId="0000003F">
            <w:pPr>
              <w:spacing w:before="280" w:lineRule="auto"/>
              <w:rPr>
                <w:sz w:val="24"/>
                <w:szCs w:val="24"/>
              </w:rPr>
            </w:pPr>
            <w:r w:rsidDel="00000000" w:rsidR="00000000" w:rsidRPr="00000000">
              <w:rPr>
                <w:rtl w:val="0"/>
              </w:rPr>
            </w:r>
          </w:p>
          <w:p w:rsidR="00000000" w:rsidDel="00000000" w:rsidP="00000000" w:rsidRDefault="00000000" w:rsidRPr="00000000" w14:paraId="00000040">
            <w:pPr>
              <w:spacing w:before="280" w:lineRule="auto"/>
              <w:rPr>
                <w:sz w:val="24"/>
                <w:szCs w:val="24"/>
              </w:rPr>
            </w:pPr>
            <w:r w:rsidDel="00000000" w:rsidR="00000000" w:rsidRPr="00000000">
              <w:rPr>
                <w:sz w:val="24"/>
                <w:szCs w:val="24"/>
                <w:rtl w:val="0"/>
              </w:rPr>
              <w:t xml:space="preserve">Pequeño grupo:</w:t>
            </w:r>
          </w:p>
          <w:p w:rsidR="00000000" w:rsidDel="00000000" w:rsidP="00000000" w:rsidRDefault="00000000" w:rsidRPr="00000000" w14:paraId="00000041">
            <w:pPr>
              <w:spacing w:before="280" w:lineRule="auto"/>
              <w:rPr>
                <w:sz w:val="24"/>
                <w:szCs w:val="24"/>
              </w:rPr>
            </w:pPr>
            <w:r w:rsidDel="00000000" w:rsidR="00000000" w:rsidRPr="00000000">
              <w:rPr>
                <w:rtl w:val="0"/>
              </w:rPr>
            </w:r>
          </w:p>
          <w:p w:rsidR="00000000" w:rsidDel="00000000" w:rsidP="00000000" w:rsidRDefault="00000000" w:rsidRPr="00000000" w14:paraId="00000042">
            <w:pPr>
              <w:spacing w:before="280" w:lineRule="auto"/>
              <w:rPr>
                <w:sz w:val="24"/>
                <w:szCs w:val="24"/>
              </w:rPr>
            </w:pPr>
            <w:r w:rsidDel="00000000" w:rsidR="00000000" w:rsidRPr="00000000">
              <w:rPr>
                <w:sz w:val="24"/>
                <w:szCs w:val="24"/>
                <w:rtl w:val="0"/>
              </w:rPr>
              <w:t xml:space="preserve">Gran grupo:</w:t>
            </w:r>
          </w:p>
          <w:p w:rsidR="00000000" w:rsidDel="00000000" w:rsidP="00000000" w:rsidRDefault="00000000" w:rsidRPr="00000000" w14:paraId="00000043">
            <w:pPr>
              <w:spacing w:before="280" w:lineRule="auto"/>
              <w:rPr>
                <w:sz w:val="24"/>
                <w:szCs w:val="24"/>
              </w:rPr>
            </w:pPr>
            <w:r w:rsidDel="00000000" w:rsidR="00000000" w:rsidRPr="00000000">
              <w:rPr>
                <w:rtl w:val="0"/>
              </w:rPr>
            </w:r>
          </w:p>
          <w:p w:rsidR="00000000" w:rsidDel="00000000" w:rsidP="00000000" w:rsidRDefault="00000000" w:rsidRPr="00000000" w14:paraId="00000044">
            <w:pPr>
              <w:spacing w:before="280" w:lineRule="auto"/>
              <w:rPr>
                <w:sz w:val="24"/>
                <w:szCs w:val="24"/>
              </w:rPr>
            </w:pPr>
            <w:r w:rsidDel="00000000" w:rsidR="00000000" w:rsidRPr="00000000">
              <w:rPr>
                <w:rtl w:val="0"/>
              </w:rPr>
            </w:r>
          </w:p>
        </w:tc>
      </w:tr>
    </w:tbl>
    <w:p w:rsidR="00000000" w:rsidDel="00000000" w:rsidP="00000000" w:rsidRDefault="00000000" w:rsidRPr="00000000" w14:paraId="00000045">
      <w:pPr>
        <w:spacing w:after="0" w:before="280" w:line="240" w:lineRule="auto"/>
        <w:rPr/>
      </w:pPr>
      <w:r w:rsidDel="00000000" w:rsidR="00000000" w:rsidRPr="00000000">
        <w:rPr>
          <w:rtl w:val="0"/>
        </w:rPr>
      </w:r>
    </w:p>
    <w:sectPr>
      <w:type w:val="nextPage"/>
      <w:pgSz w:h="16838" w:w="11906" w:orient="portrait"/>
      <w:pgMar w:bottom="1440.0000000000002" w:top="1440.0000000000002" w:left="1417.3228346456694"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Style w:val="Subtitle"/>
      <w:jc w:val="center"/>
      <w:rPr/>
    </w:pPr>
    <w:bookmarkStart w:colFirst="0" w:colLast="0" w:name="_i0zrlntpo62v" w:id="3"/>
    <w:bookmarkEnd w:id="3"/>
    <w:r w:rsidDel="00000000" w:rsidR="00000000" w:rsidRPr="00000000">
      <w:rPr>
        <w:i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3" name="image1.jpg"/>
          <a:graphic>
            <a:graphicData uri="http://schemas.openxmlformats.org/drawingml/2006/picture">
              <pic:pic>
                <pic:nvPicPr>
                  <pic:cNvPr id="0" name="image1.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5" name="image2.png"/>
          <a:graphic>
            <a:graphicData uri="http://schemas.openxmlformats.org/drawingml/2006/picture">
              <pic:pic>
                <pic:nvPicPr>
                  <pic:cNvPr id="0" name="image2.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Style w:val="Subtitle"/>
      <w:jc w:val="center"/>
      <w:rPr>
        <w:sz w:val="20"/>
        <w:szCs w:val="20"/>
      </w:rPr>
    </w:pPr>
    <w:bookmarkStart w:colFirst="0" w:colLast="0" w:name="_u6x0sd23o42v" w:id="4"/>
    <w:bookmarkEnd w:id="4"/>
    <w:r w:rsidDel="00000000" w:rsidR="00000000" w:rsidRPr="00000000">
      <w:rPr>
        <w:i w:val="0"/>
        <w:color w:val="026286"/>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-100199</wp:posOffset>
          </wp:positionV>
          <wp:extent cx="1368713" cy="360000"/>
          <wp:effectExtent b="0" l="0" r="0" t="0"/>
          <wp:wrapNone/>
          <wp:docPr id="6" name="image1.jpg"/>
          <a:graphic>
            <a:graphicData uri="http://schemas.openxmlformats.org/drawingml/2006/picture">
              <pic:pic>
                <pic:nvPicPr>
                  <pic:cNvPr id="0" name="image1.jpg"/>
                  <pic:cNvPicPr preferRelativeResize="0"/>
                </pic:nvPicPr>
                <pic:blipFill>
                  <a:blip r:embed="rId1">
                    <a:alphaModFix amt="60000"/>
                  </a:blip>
                  <a:srcRect b="0" l="0" r="-2538" t="0"/>
                  <a:stretch>
                    <a:fillRect/>
                  </a:stretch>
                </pic:blipFill>
                <pic:spPr>
                  <a:xfrm>
                    <a:off x="0" y="0"/>
                    <a:ext cx="1368713" cy="36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4714875</wp:posOffset>
          </wp:positionH>
          <wp:positionV relativeFrom="paragraph">
            <wp:posOffset>-100199</wp:posOffset>
          </wp:positionV>
          <wp:extent cx="1030135" cy="360000"/>
          <wp:effectExtent b="0" l="0" r="0" t="0"/>
          <wp:wrapNone/>
          <wp:docPr id="2" name="image2.png"/>
          <a:graphic>
            <a:graphicData uri="http://schemas.openxmlformats.org/drawingml/2006/picture">
              <pic:pic>
                <pic:nvPicPr>
                  <pic:cNvPr id="0" name="image2.png"/>
                  <pic:cNvPicPr preferRelativeResize="0"/>
                </pic:nvPicPr>
                <pic:blipFill>
                  <a:blip r:embed="rId2">
                    <a:alphaModFix amt="60000"/>
                  </a:blip>
                  <a:srcRect b="0" l="0" r="0" t="0"/>
                  <a:stretch>
                    <a:fillRect/>
                  </a:stretch>
                </pic:blipFill>
                <pic:spPr>
                  <a:xfrm>
                    <a:off x="0" y="0"/>
                    <a:ext cx="1030135" cy="3600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Style w:val="Subtitle"/>
      <w:rPr>
        <w:sz w:val="20"/>
        <w:szCs w:val="20"/>
      </w:rPr>
    </w:pPr>
    <w:bookmarkStart w:colFirst="0" w:colLast="0" w:name="_m7l9za5ciau3" w:id="0"/>
    <w:bookmarkEnd w:id="0"/>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3900"/>
      <w:tblGridChange w:id="0">
        <w:tblGrid>
          <w:gridCol w:w="5100"/>
          <w:gridCol w:w="3900"/>
        </w:tblGrid>
      </w:tblGridChange>
    </w:tblGrid>
    <w:tr>
      <w:trPr>
        <w:cantSplit w:val="0"/>
        <w:trHeight w:val="270" w:hRule="atLeast"/>
        <w:tblHeader w:val="0"/>
      </w:trPr>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7">
          <w:pPr>
            <w:pStyle w:val="Subtitle"/>
            <w:widowControl w:val="0"/>
            <w:rPr>
              <w:sz w:val="20"/>
              <w:szCs w:val="20"/>
            </w:rPr>
          </w:pPr>
          <w:bookmarkStart w:colFirst="0" w:colLast="0" w:name="_maqo65fc26tl" w:id="1"/>
          <w:bookmarkEnd w:id="1"/>
          <w:r w:rsidDel="00000000" w:rsidR="00000000" w:rsidRPr="00000000">
            <w:rPr>
              <w:sz w:val="20"/>
              <w:szCs w:val="20"/>
              <w:rtl w:val="0"/>
            </w:rPr>
            <w:t xml:space="preserve">Sostenibilidad aplicada al sistema productivo</w:t>
          </w:r>
        </w:p>
      </w:tc>
      <w:tc>
        <w:tcPr>
          <w:tcBorders>
            <w:top w:color="000000" w:space="0" w:sz="0" w:val="nil"/>
            <w:left w:color="000000" w:space="0" w:sz="0" w:val="nil"/>
            <w:bottom w:color="999999" w:space="0" w:sz="4"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8">
          <w:pPr>
            <w:pStyle w:val="Subtitle"/>
            <w:widowControl w:val="0"/>
            <w:jc w:val="right"/>
            <w:rPr>
              <w:sz w:val="20"/>
              <w:szCs w:val="20"/>
            </w:rPr>
          </w:pPr>
          <w:bookmarkStart w:colFirst="0" w:colLast="0" w:name="_maqo65fc26tl" w:id="1"/>
          <w:bookmarkEnd w:id="1"/>
          <w:r w:rsidDel="00000000" w:rsidR="00000000" w:rsidRPr="00000000">
            <w:rPr>
              <w:sz w:val="20"/>
              <w:szCs w:val="20"/>
              <w:rtl w:val="0"/>
            </w:rPr>
            <w:t xml:space="preserve">Actividad 1</w:t>
          </w:r>
        </w:p>
      </w:tc>
    </w:tr>
  </w:tbl>
  <w:p w:rsidR="00000000" w:rsidDel="00000000" w:rsidP="00000000" w:rsidRDefault="00000000" w:rsidRPr="00000000" w14:paraId="00000049">
    <w:pPr>
      <w:pStyle w:val="Subtitle"/>
      <w:rPr>
        <w:sz w:val="20"/>
        <w:szCs w:val="20"/>
      </w:rPr>
    </w:pPr>
    <w:bookmarkStart w:colFirst="0" w:colLast="0" w:name="_f3diz8y63s91" w:id="2"/>
    <w:bookmarkEnd w:id="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-123824</wp:posOffset>
          </wp:positionV>
          <wp:extent cx="2082732" cy="576000"/>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82732" cy="576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3807150</wp:posOffset>
          </wp:positionH>
          <wp:positionV relativeFrom="paragraph">
            <wp:posOffset>-133349</wp:posOffset>
          </wp:positionV>
          <wp:extent cx="1924050" cy="590550"/>
          <wp:effectExtent b="0" l="0" r="0" t="0"/>
          <wp:wrapNone/>
          <wp:docPr id="4" name="image3.jpg"/>
          <a:graphic>
            <a:graphicData uri="http://schemas.openxmlformats.org/drawingml/2006/picture">
              <pic:pic>
                <pic:nvPicPr>
                  <pic:cNvPr id="0" name="image3.jpg"/>
                  <pic:cNvPicPr preferRelativeResize="0"/>
                </pic:nvPicPr>
                <pic:blipFill>
                  <a:blip r:embed="rId2"/>
                  <a:srcRect b="-16894" l="0" r="-2538" t="0"/>
                  <a:stretch>
                    <a:fillRect/>
                  </a:stretch>
                </pic:blipFill>
                <pic:spPr>
                  <a:xfrm>
                    <a:off x="0" y="0"/>
                    <a:ext cx="1924050" cy="590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u"/>
      </w:rPr>
    </w:rPrDefault>
    <w:pPrDefault>
      <w:pPr>
        <w:spacing w:after="200"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00" w:lineRule="auto"/>
    </w:pPr>
    <w:rPr>
      <w:b w:val="1"/>
      <w:color w:val="008aab"/>
      <w:sz w:val="36"/>
      <w:szCs w:val="36"/>
    </w:rPr>
  </w:style>
  <w:style w:type="paragraph" w:styleId="Heading2">
    <w:name w:val="heading 2"/>
    <w:basedOn w:val="Normal"/>
    <w:next w:val="Normal"/>
    <w:pPr>
      <w:keepNext w:val="1"/>
      <w:keepLines w:val="1"/>
    </w:pPr>
    <w:rPr>
      <w:b w:val="1"/>
      <w:color w:val="008aab"/>
      <w:sz w:val="28"/>
      <w:szCs w:val="28"/>
    </w:rPr>
  </w:style>
  <w:style w:type="paragraph" w:styleId="Heading3">
    <w:name w:val="heading 3"/>
    <w:basedOn w:val="Normal"/>
    <w:next w:val="Normal"/>
    <w:pPr>
      <w:keepNext w:val="1"/>
      <w:keepLines w:val="1"/>
    </w:pPr>
    <w:rPr>
      <w:b w:val="1"/>
      <w:color w:val="21126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before="240" w:line="360" w:lineRule="auto"/>
      <w:jc w:val="center"/>
    </w:pPr>
    <w:rPr>
      <w:b w:val="1"/>
      <w:sz w:val="32"/>
      <w:szCs w:val="32"/>
      <w:u w:val="single"/>
    </w:rPr>
  </w:style>
  <w:style w:type="paragraph" w:styleId="Subtitle">
    <w:name w:val="Subtitle"/>
    <w:basedOn w:val="Normal"/>
    <w:next w:val="Normal"/>
    <w:pPr>
      <w:keepNext w:val="1"/>
      <w:keepLines w:val="1"/>
      <w:pageBreakBefore w:val="0"/>
      <w:spacing w:after="0" w:before="0" w:line="240" w:lineRule="auto"/>
    </w:pPr>
    <w:rPr>
      <w:i w:val="1"/>
      <w:color w:val="999999"/>
    </w:rPr>
  </w:style>
  <w:style w:type="table" w:styleId="Table1">
    <w:basedOn w:val="TableNormal"/>
    <w:tblPr>
      <w:tblStyleRowBandSize w:val="1"/>
      <w:tblStyleColBandSize w:val="1"/>
    </w:tblPr>
  </w:style>
  <w:style w:type="table" w:styleId="Table2">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