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Calibri" w:cs="Calibri" w:eastAsia="Calibri" w:hAnsi="Calibri"/>
          <w:b/>
          <w:bCs/>
          <w:color w:val="1F3864"/>
          <w:sz w:val="40"/>
          <w:szCs w:val="40"/>
        </w:rPr>
        <w:t xml:space="preserve">DBMS SESSION 12</w:t>
      </w:r>
    </w:p>
    <w:p>
      <w:pPr>
        <w:spacing w:after="40"/>
        <w:jc w:val="center"/>
      </w:pPr>
      <w:r>
        <w:rPr>
          <w:rFonts w:ascii="Calibri" w:cs="Calibri" w:eastAsia="Calibri" w:hAnsi="Calibri"/>
          <w:i/>
          <w:iCs/>
          <w:color w:val="2E74B5"/>
          <w:sz w:val="26"/>
          <w:szCs w:val="26"/>
        </w:rPr>
        <w:t xml:space="preserve">Introduction to NoSQL &amp; Distributed Databases</w:t>
      </w:r>
    </w:p>
    <w:p>
      <w:pPr>
        <w:spacing w:after="300"/>
        <w:jc w:val="center"/>
      </w:pPr>
      <w:r>
        <w:rPr>
          <w:rFonts w:ascii="Calibri" w:cs="Calibri" w:eastAsia="Calibri" w:hAnsi="Calibri"/>
          <w:color w:val="666666"/>
          <w:sz w:val="20"/>
          <w:szCs w:val="20"/>
        </w:rPr>
        <w:t xml:space="preserve">Duration: 2 Hours  |  Unit: V (begins) - Course Capstone  |  Prerequisite: Session 11 (Views, Triggers &amp; Stored Procedures)</w:t>
      </w:r>
    </w:p>
    <w:p>
      <w:pPr>
        <w:pStyle w:val="Heading2"/>
        <w:spacing w:after="150" w:before="300"/>
      </w:pPr>
      <w:r>
        <w:rPr>
          <w:rFonts w:ascii="Calibri" w:cs="Calibri" w:eastAsia="Calibri" w:hAnsi="Calibri"/>
          <w:b/>
          <w:bCs/>
          <w:color w:val="2E74B5"/>
          <w:sz w:val="24"/>
          <w:szCs w:val="24"/>
        </w:rPr>
        <w:t xml:space="preserve">Session 12 Learning Objectives</w:t>
      </w:r>
    </w:p>
    <w:p>
      <w:pPr>
        <w:spacing w:after="150"/>
      </w:pPr>
      <w:r>
        <w:rPr>
          <w:rFonts w:ascii="Calibri" w:cs="Calibri" w:eastAsia="Calibri" w:hAnsi="Calibri"/>
          <w:sz w:val="22"/>
          <w:szCs w:val="22"/>
        </w:rPr>
        <w:t xml:space="preserve">By the end of this session, students will be able to:</w:t>
      </w:r>
    </w:p>
    <w:p>
      <w:pPr>
        <w:pStyle w:val="ListParagraph"/>
        <w:numPr>
          <w:ilvl w:val="0"/>
          <w:numId w:val="2"/>
        </w:numPr>
        <w:spacing w:after="80"/>
      </w:pPr>
      <w:r>
        <w:rPr>
          <w:rFonts w:ascii="Calibri" w:cs="Calibri" w:eastAsia="Calibri" w:hAnsi="Calibri"/>
          <w:b w:val="false"/>
          <w:bCs w:val="false"/>
          <w:sz w:val="22"/>
          <w:szCs w:val="22"/>
        </w:rPr>
        <w:t xml:space="preserve">Explain why NoSQL databases exist and what limitation of RDBMS they address</w:t>
      </w:r>
    </w:p>
    <w:p>
      <w:pPr>
        <w:pStyle w:val="ListParagraph"/>
        <w:numPr>
          <w:ilvl w:val="0"/>
          <w:numId w:val="2"/>
        </w:numPr>
        <w:spacing w:after="80"/>
      </w:pPr>
      <w:r>
        <w:rPr>
          <w:rFonts w:ascii="Calibri" w:cs="Calibri" w:eastAsia="Calibri" w:hAnsi="Calibri"/>
          <w:b w:val="false"/>
          <w:bCs w:val="false"/>
          <w:sz w:val="22"/>
          <w:szCs w:val="22"/>
        </w:rPr>
        <w:t xml:space="preserve">Compare the four main types of NoSQL databases with real examples</w:t>
      </w:r>
    </w:p>
    <w:p>
      <w:pPr>
        <w:pStyle w:val="ListParagraph"/>
        <w:numPr>
          <w:ilvl w:val="0"/>
          <w:numId w:val="2"/>
        </w:numPr>
        <w:spacing w:after="80"/>
      </w:pPr>
      <w:r>
        <w:rPr>
          <w:rFonts w:ascii="Calibri" w:cs="Calibri" w:eastAsia="Calibri" w:hAnsi="Calibri"/>
          <w:b w:val="false"/>
          <w:bCs w:val="false"/>
          <w:sz w:val="22"/>
          <w:szCs w:val="22"/>
        </w:rPr>
        <w:t xml:space="preserve">State the CAP theorem and apply it to a distributed system scenario</w:t>
      </w:r>
    </w:p>
    <w:p>
      <w:pPr>
        <w:pStyle w:val="ListParagraph"/>
        <w:numPr>
          <w:ilvl w:val="0"/>
          <w:numId w:val="2"/>
        </w:numPr>
        <w:spacing w:after="80"/>
      </w:pPr>
      <w:r>
        <w:rPr>
          <w:rFonts w:ascii="Calibri" w:cs="Calibri" w:eastAsia="Calibri" w:hAnsi="Calibri"/>
          <w:b w:val="false"/>
          <w:bCs w:val="false"/>
          <w:sz w:val="22"/>
          <w:szCs w:val="22"/>
        </w:rPr>
        <w:t xml:space="preserve">Compare ACID and BASE as competing design philosophies</w:t>
      </w:r>
    </w:p>
    <w:p>
      <w:pPr>
        <w:pStyle w:val="ListParagraph"/>
        <w:numPr>
          <w:ilvl w:val="0"/>
          <w:numId w:val="2"/>
        </w:numPr>
        <w:spacing w:after="80"/>
      </w:pPr>
      <w:r>
        <w:rPr>
          <w:rFonts w:ascii="Calibri" w:cs="Calibri" w:eastAsia="Calibri" w:hAnsi="Calibri"/>
          <w:b w:val="false"/>
          <w:bCs w:val="false"/>
          <w:sz w:val="22"/>
          <w:szCs w:val="22"/>
        </w:rPr>
        <w:t xml:space="preserve">Convert a normalized relational schema into a denormalized document model</w:t>
      </w:r>
    </w:p>
    <w:p>
      <w:pPr>
        <w:pStyle w:val="ListParagraph"/>
        <w:numPr>
          <w:ilvl w:val="0"/>
          <w:numId w:val="2"/>
        </w:numPr>
        <w:spacing w:after="80"/>
      </w:pPr>
      <w:r>
        <w:rPr>
          <w:rFonts w:ascii="Calibri" w:cs="Calibri" w:eastAsia="Calibri" w:hAnsi="Calibri"/>
          <w:b w:val="false"/>
          <w:bCs w:val="false"/>
          <w:sz w:val="22"/>
          <w:szCs w:val="22"/>
        </w:rPr>
        <w:t xml:space="preserve">Justify, case by case, when a relational vs a NoSQL approach fits better</w:t>
      </w:r>
    </w:p>
    <w:p>
      <w:pPr>
        <w:pStyle w:val="Heading2"/>
        <w:spacing w:after="150" w:before="300"/>
      </w:pPr>
      <w:r>
        <w:rPr>
          <w:rFonts w:ascii="Calibri" w:cs="Calibri" w:eastAsia="Calibri" w:hAnsi="Calibri"/>
          <w:b/>
          <w:bCs/>
          <w:color w:val="2E74B5"/>
          <w:sz w:val="24"/>
          <w:szCs w:val="24"/>
        </w:rPr>
        <w:t xml:space="preserve">Session 12 Time Breakdown (120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5650"/>
        <w:gridCol w:w="2000"/>
      </w:tblGrid>
      <w:tr>
        <w:trPr>
          <w:tblHeader/>
        </w:trPr>
        <w:tc>
          <w:tcPr>
            <w:tcW w:type="dxa" w:w="17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Time</w:t>
            </w:r>
          </w:p>
        </w:tc>
        <w:tc>
          <w:tcPr>
            <w:tcW w:type="dxa" w:w="56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Activity</w:t>
            </w:r>
          </w:p>
        </w:tc>
        <w:tc>
          <w:tcPr>
            <w:tcW w:type="dxa" w:w="20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Mode</w:t>
            </w:r>
          </w:p>
        </w:tc>
      </w:tr>
      <w:tr>
        <w:tc>
          <w:tcPr>
            <w:tcW w:type="dxa" w:w="1700"/>
            <w:shd w:fill="FFFFFF" w:val="clear"/>
            <w:tcMar>
              <w:top w:type="dxa" w:w="90"/>
              <w:left w:type="dxa" w:w="120"/>
              <w:bottom w:type="dxa" w:w="90"/>
              <w:right w:type="dxa" w:w="120"/>
            </w:tcMar>
          </w:tcPr>
          <w:p>
            <w:r>
              <w:rPr>
                <w:rFonts w:ascii="Calibri" w:cs="Calibri" w:eastAsia="Calibri" w:hAnsi="Calibri"/>
                <w:b/>
                <w:bCs/>
                <w:sz w:val="19"/>
                <w:szCs w:val="19"/>
              </w:rPr>
              <w:t xml:space="preserve">0:00 - 0:05</w:t>
            </w:r>
          </w:p>
        </w:tc>
        <w:tc>
          <w:tcPr>
            <w:tcW w:type="dxa" w:w="56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Recap of Session 11 (views/procedures/triggers)</w:t>
            </w:r>
          </w:p>
        </w:tc>
        <w:tc>
          <w:tcPr>
            <w:tcW w:type="dxa" w:w="20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Interactive</w:t>
            </w:r>
          </w:p>
        </w:tc>
      </w:tr>
      <w:tr>
        <w:tc>
          <w:tcPr>
            <w:tcW w:type="dxa" w:w="1700"/>
            <w:shd w:fill="DCE6F1" w:val="clear"/>
            <w:tcMar>
              <w:top w:type="dxa" w:w="90"/>
              <w:left w:type="dxa" w:w="120"/>
              <w:bottom w:type="dxa" w:w="90"/>
              <w:right w:type="dxa" w:w="120"/>
            </w:tcMar>
          </w:tcPr>
          <w:p>
            <w:r>
              <w:rPr>
                <w:rFonts w:ascii="Calibri" w:cs="Calibri" w:eastAsia="Calibri" w:hAnsi="Calibri"/>
                <w:b/>
                <w:bCs/>
                <w:sz w:val="19"/>
                <w:szCs w:val="19"/>
              </w:rPr>
              <w:t xml:space="preserve">0:05 - 0:20</w:t>
            </w:r>
          </w:p>
        </w:tc>
        <w:tc>
          <w:tcPr>
            <w:tcW w:type="dxa" w:w="56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Why NoSQL? Limitations of RDBMS at Scale</w:t>
            </w:r>
          </w:p>
        </w:tc>
        <w:tc>
          <w:tcPr>
            <w:tcW w:type="dxa" w:w="20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Theory + Discussion</w:t>
            </w:r>
          </w:p>
        </w:tc>
      </w:tr>
      <w:tr>
        <w:tc>
          <w:tcPr>
            <w:tcW w:type="dxa" w:w="1700"/>
            <w:shd w:fill="FFFFFF" w:val="clear"/>
            <w:tcMar>
              <w:top w:type="dxa" w:w="90"/>
              <w:left w:type="dxa" w:w="120"/>
              <w:bottom w:type="dxa" w:w="90"/>
              <w:right w:type="dxa" w:w="120"/>
            </w:tcMar>
          </w:tcPr>
          <w:p>
            <w:r>
              <w:rPr>
                <w:rFonts w:ascii="Calibri" w:cs="Calibri" w:eastAsia="Calibri" w:hAnsi="Calibri"/>
                <w:b/>
                <w:bCs/>
                <w:sz w:val="19"/>
                <w:szCs w:val="19"/>
              </w:rPr>
              <w:t xml:space="preserve">0:20 - 0:45</w:t>
            </w:r>
          </w:p>
        </w:tc>
        <w:tc>
          <w:tcPr>
            <w:tcW w:type="dxa" w:w="56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Four Types of NoSQL Databases</w:t>
            </w:r>
          </w:p>
        </w:tc>
        <w:tc>
          <w:tcPr>
            <w:tcW w:type="dxa" w:w="20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Theory + Examples</w:t>
            </w:r>
          </w:p>
        </w:tc>
      </w:tr>
      <w:tr>
        <w:tc>
          <w:tcPr>
            <w:tcW w:type="dxa" w:w="1700"/>
            <w:shd w:fill="DCE6F1" w:val="clear"/>
            <w:tcMar>
              <w:top w:type="dxa" w:w="90"/>
              <w:left w:type="dxa" w:w="120"/>
              <w:bottom w:type="dxa" w:w="90"/>
              <w:right w:type="dxa" w:w="120"/>
            </w:tcMar>
          </w:tcPr>
          <w:p>
            <w:r>
              <w:rPr>
                <w:rFonts w:ascii="Calibri" w:cs="Calibri" w:eastAsia="Calibri" w:hAnsi="Calibri"/>
                <w:b/>
                <w:bCs/>
                <w:sz w:val="19"/>
                <w:szCs w:val="19"/>
              </w:rPr>
              <w:t xml:space="preserve">0:45 - 1:05</w:t>
            </w:r>
          </w:p>
        </w:tc>
        <w:tc>
          <w:tcPr>
            <w:tcW w:type="dxa" w:w="56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CAP Theorem</w:t>
            </w:r>
          </w:p>
        </w:tc>
        <w:tc>
          <w:tcPr>
            <w:tcW w:type="dxa" w:w="20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Theory + Scenarios</w:t>
            </w:r>
          </w:p>
        </w:tc>
      </w:tr>
      <w:tr>
        <w:tc>
          <w:tcPr>
            <w:tcW w:type="dxa" w:w="1700"/>
            <w:shd w:fill="FFFFFF" w:val="clear"/>
            <w:tcMar>
              <w:top w:type="dxa" w:w="90"/>
              <w:left w:type="dxa" w:w="120"/>
              <w:bottom w:type="dxa" w:w="90"/>
              <w:right w:type="dxa" w:w="120"/>
            </w:tcMar>
          </w:tcPr>
          <w:p>
            <w:r>
              <w:rPr>
                <w:rFonts w:ascii="Calibri" w:cs="Calibri" w:eastAsia="Calibri" w:hAnsi="Calibri"/>
                <w:b/>
                <w:bCs/>
                <w:sz w:val="19"/>
                <w:szCs w:val="19"/>
              </w:rPr>
              <w:t xml:space="preserve">1:05 - 1:15</w:t>
            </w:r>
          </w:p>
        </w:tc>
        <w:tc>
          <w:tcPr>
            <w:tcW w:type="dxa" w:w="56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Break</w:t>
            </w:r>
          </w:p>
        </w:tc>
        <w:tc>
          <w:tcPr>
            <w:tcW w:type="dxa" w:w="20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w:t>
            </w:r>
          </w:p>
        </w:tc>
      </w:tr>
      <w:tr>
        <w:tc>
          <w:tcPr>
            <w:tcW w:type="dxa" w:w="1700"/>
            <w:shd w:fill="DCE6F1" w:val="clear"/>
            <w:tcMar>
              <w:top w:type="dxa" w:w="90"/>
              <w:left w:type="dxa" w:w="120"/>
              <w:bottom w:type="dxa" w:w="90"/>
              <w:right w:type="dxa" w:w="120"/>
            </w:tcMar>
          </w:tcPr>
          <w:p>
            <w:r>
              <w:rPr>
                <w:rFonts w:ascii="Calibri" w:cs="Calibri" w:eastAsia="Calibri" w:hAnsi="Calibri"/>
                <w:b/>
                <w:bCs/>
                <w:sz w:val="19"/>
                <w:szCs w:val="19"/>
              </w:rPr>
              <w:t xml:space="preserve">1:15 - 1:35</w:t>
            </w:r>
          </w:p>
        </w:tc>
        <w:tc>
          <w:tcPr>
            <w:tcW w:type="dxa" w:w="56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SQL vs NoSQL - ACID vs BASE</w:t>
            </w:r>
          </w:p>
        </w:tc>
        <w:tc>
          <w:tcPr>
            <w:tcW w:type="dxa" w:w="20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Theory + Comparison</w:t>
            </w:r>
          </w:p>
        </w:tc>
      </w:tr>
      <w:tr>
        <w:tc>
          <w:tcPr>
            <w:tcW w:type="dxa" w:w="1700"/>
            <w:shd w:fill="FFFFFF" w:val="clear"/>
            <w:tcMar>
              <w:top w:type="dxa" w:w="90"/>
              <w:left w:type="dxa" w:w="120"/>
              <w:bottom w:type="dxa" w:w="90"/>
              <w:right w:type="dxa" w:w="120"/>
            </w:tcMar>
          </w:tcPr>
          <w:p>
            <w:r>
              <w:rPr>
                <w:rFonts w:ascii="Calibri" w:cs="Calibri" w:eastAsia="Calibri" w:hAnsi="Calibri"/>
                <w:b/>
                <w:bCs/>
                <w:sz w:val="19"/>
                <w:szCs w:val="19"/>
              </w:rPr>
              <w:t xml:space="preserve">1:35 - 1:55</w:t>
            </w:r>
          </w:p>
        </w:tc>
        <w:tc>
          <w:tcPr>
            <w:tcW w:type="dxa" w:w="56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Hands-On: Model the College DB as a Document</w:t>
            </w:r>
          </w:p>
        </w:tc>
        <w:tc>
          <w:tcPr>
            <w:tcW w:type="dxa" w:w="20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Lab</w:t>
            </w:r>
          </w:p>
        </w:tc>
      </w:tr>
      <w:tr>
        <w:tc>
          <w:tcPr>
            <w:tcW w:type="dxa" w:w="1700"/>
            <w:shd w:fill="DCE6F1" w:val="clear"/>
            <w:tcMar>
              <w:top w:type="dxa" w:w="90"/>
              <w:left w:type="dxa" w:w="120"/>
              <w:bottom w:type="dxa" w:w="90"/>
              <w:right w:type="dxa" w:w="120"/>
            </w:tcMar>
          </w:tcPr>
          <w:p>
            <w:r>
              <w:rPr>
                <w:rFonts w:ascii="Calibri" w:cs="Calibri" w:eastAsia="Calibri" w:hAnsi="Calibri"/>
                <w:b/>
                <w:bCs/>
                <w:sz w:val="19"/>
                <w:szCs w:val="19"/>
              </w:rPr>
              <w:t xml:space="preserve">1:55 - 2:00</w:t>
            </w:r>
          </w:p>
        </w:tc>
        <w:tc>
          <w:tcPr>
            <w:tcW w:type="dxa" w:w="56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Quiz + Assignment + Course Wrap-Up</w:t>
            </w:r>
          </w:p>
        </w:tc>
        <w:tc>
          <w:tcPr>
            <w:tcW w:type="dxa" w:w="20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Interactive</w:t>
            </w:r>
          </w:p>
        </w:tc>
      </w:tr>
    </w:tbl>
    <w:p>
      <w:r>
        <w:br w:type="page"/>
      </w:r>
    </w:p>
    <w:p>
      <w:pPr>
        <w:pStyle w:val="Heading1"/>
        <w:pBdr>
          <w:bottom w:val="single" w:color="2E74B5" w:sz="8" w:space="4"/>
        </w:pBdr>
        <w:spacing w:after="200" w:before="400"/>
      </w:pPr>
      <w:r>
        <w:rPr>
          <w:rFonts w:ascii="Calibri" w:cs="Calibri" w:eastAsia="Calibri" w:hAnsi="Calibri"/>
          <w:b/>
          <w:bCs/>
          <w:color w:val="1F3864"/>
          <w:sz w:val="30"/>
          <w:szCs w:val="30"/>
        </w:rPr>
        <w:t xml:space="preserve">Part 1: Why NoSQL? (15 Minutes)</w:t>
      </w:r>
    </w:p>
    <w:p>
      <w:pPr>
        <w:spacing w:after="150"/>
      </w:pPr>
      <w:r>
        <w:rPr>
          <w:rFonts w:ascii="Calibri" w:cs="Calibri" w:eastAsia="Calibri" w:hAnsi="Calibri"/>
          <w:sz w:val="22"/>
          <w:szCs w:val="22"/>
        </w:rPr>
        <w:t xml:space="preserve">Everything covered in this course so far - normalization, ACID transactions, B+ Tree indexes - is built around the relational model's core strength: strict, verifiable correctness on a single, well-structured schema. That strength becomes a genuine constraint at certain scales.</w:t>
      </w:r>
    </w:p>
    <w:p>
      <w:pPr>
        <w:pStyle w:val="Heading3"/>
        <w:spacing w:after="100" w:before="200"/>
      </w:pPr>
      <w:r>
        <w:rPr>
          <w:rFonts w:ascii="Calibri" w:cs="Calibri" w:eastAsia="Calibri" w:hAnsi="Calibri"/>
          <w:b/>
          <w:bCs/>
          <w:color w:val="2E7D32"/>
          <w:sz w:val="21"/>
          <w:szCs w:val="21"/>
        </w:rPr>
        <w:t xml:space="preserve">1.1  Where RDBMS Design Gets Strained</w:t>
      </w:r>
    </w:p>
    <w:p>
      <w:pPr>
        <w:pStyle w:val="ListParagraph"/>
        <w:numPr>
          <w:ilvl w:val="0"/>
          <w:numId w:val="2"/>
        </w:numPr>
        <w:spacing w:after="80"/>
      </w:pPr>
      <w:r>
        <w:rPr>
          <w:rFonts w:ascii="Calibri" w:cs="Calibri" w:eastAsia="Calibri" w:hAnsi="Calibri"/>
          <w:b w:val="false"/>
          <w:bCs w:val="false"/>
          <w:sz w:val="22"/>
          <w:szCs w:val="22"/>
        </w:rPr>
        <w:t xml:space="preserve">Horizontal scaling: adding more machines to share load is naturally harder for a strictly relational, join-heavy schema than for data designed to live independently on separate machines</w:t>
      </w:r>
    </w:p>
    <w:p>
      <w:pPr>
        <w:pStyle w:val="ListParagraph"/>
        <w:numPr>
          <w:ilvl w:val="0"/>
          <w:numId w:val="2"/>
        </w:numPr>
        <w:spacing w:after="80"/>
      </w:pPr>
      <w:r>
        <w:rPr>
          <w:rFonts w:ascii="Calibri" w:cs="Calibri" w:eastAsia="Calibri" w:hAnsi="Calibri"/>
          <w:b w:val="false"/>
          <w:bCs w:val="false"/>
          <w:sz w:val="22"/>
          <w:szCs w:val="22"/>
        </w:rPr>
        <w:t xml:space="preserve">Rigid schema: every row must match the table definition - painful when incoming data genuinely varies in shape</w:t>
      </w:r>
    </w:p>
    <w:p>
      <w:pPr>
        <w:pStyle w:val="ListParagraph"/>
        <w:numPr>
          <w:ilvl w:val="0"/>
          <w:numId w:val="2"/>
        </w:numPr>
        <w:spacing w:after="80"/>
      </w:pPr>
      <w:r>
        <w:rPr>
          <w:rFonts w:ascii="Calibri" w:cs="Calibri" w:eastAsia="Calibri" w:hAnsi="Calibri"/>
          <w:b w:val="false"/>
          <w:bCs w:val="false"/>
          <w:sz w:val="22"/>
          <w:szCs w:val="22"/>
        </w:rPr>
        <w:t xml:space="preserve">Write throughput at extreme scale: millions of writes per second across a global user base push past what a single strongly-consistent relational engine comfortably handles</w:t>
      </w:r>
    </w:p>
    <w:p>
      <w:pPr>
        <w:pStyle w:val="Heading3"/>
        <w:spacing w:after="100" w:before="200"/>
      </w:pPr>
      <w:r>
        <w:rPr>
          <w:rFonts w:ascii="Calibri" w:cs="Calibri" w:eastAsia="Calibri" w:hAnsi="Calibri"/>
          <w:b/>
          <w:bCs/>
          <w:color w:val="2E7D32"/>
          <w:sz w:val="21"/>
          <w:szCs w:val="21"/>
        </w:rPr>
        <w:t xml:space="preserve">1.2  What NoSQL Trades Away to Solve This</w:t>
      </w:r>
    </w:p>
    <w:p>
      <w:pPr>
        <w:spacing w:after="150"/>
      </w:pPr>
      <w:r>
        <w:rPr>
          <w:rFonts w:ascii="Calibri" w:cs="Calibri" w:eastAsia="Calibri" w:hAnsi="Calibri"/>
          <w:sz w:val="22"/>
          <w:szCs w:val="22"/>
        </w:rPr>
        <w:t xml:space="preserve">Most NoSQL systems relax strict consistency guarantees and join capability in exchange for horizontal scalability and schema flexibility. This is a trade-off, not a strict upgrade - Part 5 makes this trade-off explicit.</w:t>
      </w:r>
    </w:p>
    <w:p>
      <w:r>
        <w:br w:type="page"/>
      </w:r>
    </w:p>
    <w:p>
      <w:pPr>
        <w:pStyle w:val="Heading1"/>
        <w:pBdr>
          <w:bottom w:val="single" w:color="2E74B5" w:sz="8" w:space="4"/>
        </w:pBdr>
        <w:spacing w:after="200" w:before="400"/>
      </w:pPr>
      <w:r>
        <w:rPr>
          <w:rFonts w:ascii="Calibri" w:cs="Calibri" w:eastAsia="Calibri" w:hAnsi="Calibri"/>
          <w:b/>
          <w:bCs/>
          <w:color w:val="1F3864"/>
          <w:sz w:val="30"/>
          <w:szCs w:val="30"/>
        </w:rPr>
        <w:t xml:space="preserve">Part 2: Four Types of NoSQL Databases (25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300"/>
        <w:gridCol w:w="3050"/>
      </w:tblGrid>
      <w:tr>
        <w:trPr>
          <w:tblHeader/>
        </w:trPr>
        <w:tc>
          <w:tcPr>
            <w:tcW w:type="dxa" w:w="19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21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Example Systems</w:t>
            </w:r>
          </w:p>
        </w:tc>
        <w:tc>
          <w:tcPr>
            <w:tcW w:type="dxa" w:w="23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Data Shape</w:t>
            </w:r>
          </w:p>
        </w:tc>
        <w:tc>
          <w:tcPr>
            <w:tcW w:type="dxa" w:w="30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Best For</w:t>
            </w:r>
          </w:p>
        </w:tc>
      </w:tr>
      <w:tr>
        <w:tc>
          <w:tcPr>
            <w:tcW w:type="dxa" w:w="1900"/>
            <w:shd w:fill="FFFFFF" w:val="clear"/>
            <w:tcMar>
              <w:top w:type="dxa" w:w="90"/>
              <w:left w:type="dxa" w:w="120"/>
              <w:bottom w:type="dxa" w:w="90"/>
              <w:right w:type="dxa" w:w="120"/>
            </w:tcMar>
          </w:tcPr>
          <w:p>
            <w:r>
              <w:rPr>
                <w:rFonts w:ascii="Calibri" w:cs="Calibri" w:eastAsia="Calibri" w:hAnsi="Calibri"/>
                <w:b/>
                <w:bCs/>
                <w:sz w:val="19"/>
                <w:szCs w:val="19"/>
              </w:rPr>
              <w:t xml:space="preserve">Key-Value</w:t>
            </w:r>
          </w:p>
        </w:tc>
        <w:tc>
          <w:tcPr>
            <w:tcW w:type="dxa" w:w="21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Redis, DynamoDB</w:t>
            </w:r>
          </w:p>
        </w:tc>
        <w:tc>
          <w:tcPr>
            <w:tcW w:type="dxa" w:w="23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Simple key -&gt; value pairs</w:t>
            </w:r>
          </w:p>
        </w:tc>
        <w:tc>
          <w:tcPr>
            <w:tcW w:type="dxa" w:w="30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O(1) lookups, caching, session storage</w:t>
            </w:r>
          </w:p>
        </w:tc>
      </w:tr>
      <w:tr>
        <w:tc>
          <w:tcPr>
            <w:tcW w:type="dxa" w:w="1900"/>
            <w:shd w:fill="DCE6F1" w:val="clear"/>
            <w:tcMar>
              <w:top w:type="dxa" w:w="90"/>
              <w:left w:type="dxa" w:w="120"/>
              <w:bottom w:type="dxa" w:w="90"/>
              <w:right w:type="dxa" w:w="120"/>
            </w:tcMar>
          </w:tcPr>
          <w:p>
            <w:r>
              <w:rPr>
                <w:rFonts w:ascii="Calibri" w:cs="Calibri" w:eastAsia="Calibri" w:hAnsi="Calibri"/>
                <w:b/>
                <w:bCs/>
                <w:sz w:val="19"/>
                <w:szCs w:val="19"/>
              </w:rPr>
              <w:t xml:space="preserve">Document</w:t>
            </w:r>
          </w:p>
        </w:tc>
        <w:tc>
          <w:tcPr>
            <w:tcW w:type="dxa" w:w="21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MongoDB, CouchDB</w:t>
            </w:r>
          </w:p>
        </w:tc>
        <w:tc>
          <w:tcPr>
            <w:tcW w:type="dxa" w:w="23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JSON-like nested documents</w:t>
            </w:r>
          </w:p>
        </w:tc>
        <w:tc>
          <w:tcPr>
            <w:tcW w:type="dxa" w:w="30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Flexible, evolving schemas per record</w:t>
            </w:r>
          </w:p>
        </w:tc>
      </w:tr>
      <w:tr>
        <w:tc>
          <w:tcPr>
            <w:tcW w:type="dxa" w:w="1900"/>
            <w:shd w:fill="FFFFFF" w:val="clear"/>
            <w:tcMar>
              <w:top w:type="dxa" w:w="90"/>
              <w:left w:type="dxa" w:w="120"/>
              <w:bottom w:type="dxa" w:w="90"/>
              <w:right w:type="dxa" w:w="120"/>
            </w:tcMar>
          </w:tcPr>
          <w:p>
            <w:r>
              <w:rPr>
                <w:rFonts w:ascii="Calibri" w:cs="Calibri" w:eastAsia="Calibri" w:hAnsi="Calibri"/>
                <w:b/>
                <w:bCs/>
                <w:sz w:val="19"/>
                <w:szCs w:val="19"/>
              </w:rPr>
              <w:t xml:space="preserve">Column-family</w:t>
            </w:r>
          </w:p>
        </w:tc>
        <w:tc>
          <w:tcPr>
            <w:tcW w:type="dxa" w:w="21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Cassandra, HBase</w:t>
            </w:r>
          </w:p>
        </w:tc>
        <w:tc>
          <w:tcPr>
            <w:tcW w:type="dxa" w:w="23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Wide rows, grouped columns</w:t>
            </w:r>
          </w:p>
        </w:tc>
        <w:tc>
          <w:tcPr>
            <w:tcW w:type="dxa" w:w="30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Very high write throughput at scale</w:t>
            </w:r>
          </w:p>
        </w:tc>
      </w:tr>
      <w:tr>
        <w:tc>
          <w:tcPr>
            <w:tcW w:type="dxa" w:w="1900"/>
            <w:shd w:fill="DCE6F1" w:val="clear"/>
            <w:tcMar>
              <w:top w:type="dxa" w:w="90"/>
              <w:left w:type="dxa" w:w="120"/>
              <w:bottom w:type="dxa" w:w="90"/>
              <w:right w:type="dxa" w:w="120"/>
            </w:tcMar>
          </w:tcPr>
          <w:p>
            <w:r>
              <w:rPr>
                <w:rFonts w:ascii="Calibri" w:cs="Calibri" w:eastAsia="Calibri" w:hAnsi="Calibri"/>
                <w:b/>
                <w:bCs/>
                <w:sz w:val="19"/>
                <w:szCs w:val="19"/>
              </w:rPr>
              <w:t xml:space="preserve">Graph</w:t>
            </w:r>
          </w:p>
        </w:tc>
        <w:tc>
          <w:tcPr>
            <w:tcW w:type="dxa" w:w="21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Neo4j</w:t>
            </w:r>
          </w:p>
        </w:tc>
        <w:tc>
          <w:tcPr>
            <w:tcW w:type="dxa" w:w="23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Nodes and edges</w:t>
            </w:r>
          </w:p>
        </w:tc>
        <w:tc>
          <w:tcPr>
            <w:tcW w:type="dxa" w:w="30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Relationship-heavy data - social graphs</w:t>
            </w:r>
          </w:p>
        </w:tc>
      </w:tr>
    </w:tbl>
    <w:p>
      <w:pPr>
        <w:spacing w:after="150"/>
      </w:pPr>
      <w:r>
        <w:rPr>
          <w:rFonts w:ascii="Calibri" w:cs="Calibri" w:eastAsia="Calibri" w:hAnsi="Calibri"/>
          <w:sz w:val="22"/>
          <w:szCs w:val="22"/>
        </w:rPr>
        <w:t xml:space="preserve">These four are genuinely different tools solving different problems - a document database and a graph database are not interchangeable just because both are labeled 'NoSQL.'</w:t>
      </w:r>
    </w:p>
    <w:p>
      <w:r>
        <w:br w:type="page"/>
      </w:r>
    </w:p>
    <w:p>
      <w:pPr>
        <w:pStyle w:val="Heading1"/>
        <w:pBdr>
          <w:bottom w:val="single" w:color="2E74B5" w:sz="8" w:space="4"/>
        </w:pBdr>
        <w:spacing w:after="200" w:before="400"/>
      </w:pPr>
      <w:r>
        <w:rPr>
          <w:rFonts w:ascii="Calibri" w:cs="Calibri" w:eastAsia="Calibri" w:hAnsi="Calibri"/>
          <w:b/>
          <w:bCs/>
          <w:color w:val="1F3864"/>
          <w:sz w:val="30"/>
          <w:szCs w:val="30"/>
        </w:rPr>
        <w:t xml:space="preserve">Part 3: CAP Theorem (20 Minutes)</w:t>
      </w:r>
    </w:p>
    <w:p>
      <w:pPr>
        <w:pStyle w:val="Heading3"/>
        <w:spacing w:after="100" w:before="200"/>
      </w:pPr>
      <w:r>
        <w:rPr>
          <w:rFonts w:ascii="Calibri" w:cs="Calibri" w:eastAsia="Calibri" w:hAnsi="Calibri"/>
          <w:b/>
          <w:bCs/>
          <w:color w:val="2E7D32"/>
          <w:sz w:val="21"/>
          <w:szCs w:val="21"/>
        </w:rPr>
        <w:t xml:space="preserve">3.1  The Theorem</w:t>
      </w:r>
    </w:p>
    <w:p>
      <w:pPr>
        <w:spacing w:after="150"/>
      </w:pPr>
      <w:r>
        <w:rPr>
          <w:rFonts w:ascii="Calibri" w:cs="Calibri" w:eastAsia="Calibri" w:hAnsi="Calibri"/>
          <w:sz w:val="22"/>
          <w:szCs w:val="22"/>
        </w:rPr>
        <w:t xml:space="preserve">In any distributed system, during a network partition (a communication break between nodes), you can only guarantee two of these three properties at once:</w:t>
      </w:r>
    </w:p>
    <w:p>
      <w:pPr>
        <w:pStyle w:val="ListParagraph"/>
        <w:numPr>
          <w:ilvl w:val="0"/>
          <w:numId w:val="2"/>
        </w:numPr>
        <w:spacing w:after="80"/>
      </w:pPr>
      <w:r>
        <w:rPr>
          <w:rFonts w:ascii="Calibri" w:cs="Calibri" w:eastAsia="Calibri" w:hAnsi="Calibri"/>
          <w:b/>
          <w:bCs/>
          <w:sz w:val="22"/>
          <w:szCs w:val="22"/>
        </w:rPr>
        <w:t xml:space="preserve">Consistency: every read receives the most recent write</w:t>
      </w:r>
    </w:p>
    <w:p>
      <w:pPr>
        <w:pStyle w:val="ListParagraph"/>
        <w:numPr>
          <w:ilvl w:val="0"/>
          <w:numId w:val="2"/>
        </w:numPr>
        <w:spacing w:after="80"/>
      </w:pPr>
      <w:r>
        <w:rPr>
          <w:rFonts w:ascii="Calibri" w:cs="Calibri" w:eastAsia="Calibri" w:hAnsi="Calibri"/>
          <w:b/>
          <w:bCs/>
          <w:sz w:val="22"/>
          <w:szCs w:val="22"/>
        </w:rPr>
        <w:t xml:space="preserve">Availability: every request receives a response (though it might not be the latest data)</w:t>
      </w:r>
    </w:p>
    <w:p>
      <w:pPr>
        <w:pStyle w:val="ListParagraph"/>
        <w:numPr>
          <w:ilvl w:val="0"/>
          <w:numId w:val="2"/>
        </w:numPr>
        <w:spacing w:after="80"/>
      </w:pPr>
      <w:r>
        <w:rPr>
          <w:rFonts w:ascii="Calibri" w:cs="Calibri" w:eastAsia="Calibri" w:hAnsi="Calibri"/>
          <w:b/>
          <w:bCs/>
          <w:sz w:val="22"/>
          <w:szCs w:val="22"/>
        </w:rPr>
        <w:t xml:space="preserve">Partition Tolerance: the system continues operating despite network splits between nodes</w:t>
      </w:r>
    </w:p>
    <w:p>
      <w:pPr>
        <w:pStyle w:val="Heading3"/>
        <w:spacing w:after="100" w:before="200"/>
      </w:pPr>
      <w:r>
        <w:rPr>
          <w:rFonts w:ascii="Calibri" w:cs="Calibri" w:eastAsia="Calibri" w:hAnsi="Calibri"/>
          <w:b/>
          <w:bCs/>
          <w:color w:val="2E7D32"/>
          <w:sz w:val="21"/>
          <w:szCs w:val="21"/>
        </w:rPr>
        <w:t xml:space="preserve">3.2  Why You Can't Have All Three</w:t>
      </w:r>
    </w:p>
    <w:p>
      <w:pPr>
        <w:spacing w:after="150"/>
      </w:pPr>
      <w:r>
        <w:rPr>
          <w:rFonts w:ascii="Calibri" w:cs="Calibri" w:eastAsia="Calibri" w:hAnsi="Calibri"/>
          <w:sz w:val="22"/>
          <w:szCs w:val="22"/>
        </w:rPr>
        <w:t xml:space="preserve">If the network is partitioned and a node can't reach the others, it must choose: respond anyway with possibly stale data (favoring Availability), or refuse to respond until it can confirm consistency (favoring Consistency). Both nodes staying silent until reconnected would mean the system isn't tolerating the partition at all.</w:t>
      </w:r>
    </w:p>
    <w:p>
      <w:pPr>
        <w:pStyle w:val="Heading3"/>
        <w:spacing w:after="100" w:before="200"/>
      </w:pPr>
      <w:r>
        <w:rPr>
          <w:rFonts w:ascii="Calibri" w:cs="Calibri" w:eastAsia="Calibri" w:hAnsi="Calibri"/>
          <w:b/>
          <w:bCs/>
          <w:color w:val="2E7D32"/>
          <w:sz w:val="21"/>
          <w:szCs w:val="21"/>
        </w:rPr>
        <w:t xml:space="preserve">3.3  Real-World Choices</w:t>
      </w:r>
    </w:p>
    <w:p>
      <w:pPr>
        <w:spacing w:after="150"/>
      </w:pPr>
      <w:r>
        <w:rPr>
          <w:rFonts w:ascii="Calibri" w:cs="Calibri" w:eastAsia="Calibri" w:hAnsi="Calibri"/>
          <w:sz w:val="22"/>
          <w:szCs w:val="22"/>
        </w:rPr>
        <w:t xml:space="preserve">Most large-scale distributed NoSQL systems choose AP (Availability + Partition tolerance), accepting eventual consistency - the data will become consistent shortly, just not necessarily on the very next read. Traditional RDBMS setups, and some NoSQL configurations, choose CP (Consistency + Partition tolerance) instead, refusing to serve a request rather than serve stale data.</w:t>
      </w:r>
    </w:p>
    <w:p>
      <w:r>
        <w:br w:type="page"/>
      </w:r>
    </w:p>
    <w:p>
      <w:pPr>
        <w:pStyle w:val="Heading1"/>
        <w:pBdr>
          <w:bottom w:val="single" w:color="2E74B5" w:sz="8" w:space="4"/>
        </w:pBdr>
        <w:spacing w:after="200" w:before="400"/>
      </w:pPr>
      <w:r>
        <w:rPr>
          <w:rFonts w:ascii="Calibri" w:cs="Calibri" w:eastAsia="Calibri" w:hAnsi="Calibri"/>
          <w:b/>
          <w:bCs/>
          <w:color w:val="1F3864"/>
          <w:sz w:val="30"/>
          <w:szCs w:val="30"/>
        </w:rPr>
        <w:t xml:space="preserve">Part 4: SQL vs NoSQL - ACID vs BASE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550"/>
        <w:gridCol w:w="3900"/>
      </w:tblGrid>
      <w:tr>
        <w:trPr>
          <w:tblHeader/>
        </w:trPr>
        <w:tc>
          <w:tcPr>
            <w:tcW w:type="dxa" w:w="19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
            </w:r>
          </w:p>
        </w:tc>
        <w:tc>
          <w:tcPr>
            <w:tcW w:type="dxa" w:w="35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ACID (Traditional RDBMS)</w:t>
            </w:r>
          </w:p>
        </w:tc>
        <w:tc>
          <w:tcPr>
            <w:tcW w:type="dxa" w:w="39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BASE (Typical NoSQL)</w:t>
            </w:r>
          </w:p>
        </w:tc>
      </w:tr>
      <w:tr>
        <w:tc>
          <w:tcPr>
            <w:tcW w:type="dxa" w:w="1900"/>
            <w:shd w:fill="FFFFFF" w:val="clear"/>
            <w:tcMar>
              <w:top w:type="dxa" w:w="90"/>
              <w:left w:type="dxa" w:w="120"/>
              <w:bottom w:type="dxa" w:w="90"/>
              <w:right w:type="dxa" w:w="120"/>
            </w:tcMar>
          </w:tcPr>
          <w:p>
            <w:r>
              <w:rPr>
                <w:rFonts w:ascii="Calibri" w:cs="Calibri" w:eastAsia="Calibri" w:hAnsi="Calibri"/>
                <w:b/>
                <w:bCs/>
                <w:sz w:val="19"/>
                <w:szCs w:val="19"/>
              </w:rPr>
              <w:t xml:space="preserve">Philosophy</w:t>
            </w:r>
          </w:p>
        </w:tc>
        <w:tc>
          <w:tcPr>
            <w:tcW w:type="dxa" w:w="35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Strict correctness, always</w:t>
            </w:r>
          </w:p>
        </w:tc>
        <w:tc>
          <w:tcPr>
            <w:tcW w:type="dxa" w:w="39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Basically Available, Soft state, Eventual consistency</w:t>
            </w:r>
          </w:p>
        </w:tc>
      </w:tr>
      <w:tr>
        <w:tc>
          <w:tcPr>
            <w:tcW w:type="dxa" w:w="1900"/>
            <w:shd w:fill="DCE6F1" w:val="clear"/>
            <w:tcMar>
              <w:top w:type="dxa" w:w="90"/>
              <w:left w:type="dxa" w:w="120"/>
              <w:bottom w:type="dxa" w:w="90"/>
              <w:right w:type="dxa" w:w="120"/>
            </w:tcMar>
          </w:tcPr>
          <w:p>
            <w:r>
              <w:rPr>
                <w:rFonts w:ascii="Calibri" w:cs="Calibri" w:eastAsia="Calibri" w:hAnsi="Calibri"/>
                <w:b/>
                <w:bCs/>
                <w:sz w:val="19"/>
                <w:szCs w:val="19"/>
              </w:rPr>
              <w:t xml:space="preserve">Consistency</w:t>
            </w:r>
          </w:p>
        </w:tc>
        <w:tc>
          <w:tcPr>
            <w:tcW w:type="dxa" w:w="35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Immediate and guaranteed</w:t>
            </w:r>
          </w:p>
        </w:tc>
        <w:tc>
          <w:tcPr>
            <w:tcW w:type="dxa" w:w="39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Eventual - a brief window of staleness is acceptable</w:t>
            </w:r>
          </w:p>
        </w:tc>
      </w:tr>
      <w:tr>
        <w:tc>
          <w:tcPr>
            <w:tcW w:type="dxa" w:w="1900"/>
            <w:shd w:fill="FFFFFF" w:val="clear"/>
            <w:tcMar>
              <w:top w:type="dxa" w:w="90"/>
              <w:left w:type="dxa" w:w="120"/>
              <w:bottom w:type="dxa" w:w="90"/>
              <w:right w:type="dxa" w:w="120"/>
            </w:tcMar>
          </w:tcPr>
          <w:p>
            <w:r>
              <w:rPr>
                <w:rFonts w:ascii="Calibri" w:cs="Calibri" w:eastAsia="Calibri" w:hAnsi="Calibri"/>
                <w:b/>
                <w:bCs/>
                <w:sz w:val="19"/>
                <w:szCs w:val="19"/>
              </w:rPr>
              <w:t xml:space="preserve">Best fit</w:t>
            </w:r>
          </w:p>
        </w:tc>
        <w:tc>
          <w:tcPr>
            <w:tcW w:type="dxa" w:w="35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Banking, the College DB itself</w:t>
            </w:r>
          </w:p>
        </w:tc>
        <w:tc>
          <w:tcPr>
            <w:tcW w:type="dxa" w:w="39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Social feeds, IoT sensor streams, product catalogs</w:t>
            </w:r>
          </w:p>
        </w:tc>
      </w:tr>
    </w:tbl>
    <w:p>
      <w:pPr>
        <w:spacing w:after="150"/>
      </w:pPr>
      <w:r>
        <w:rPr>
          <w:rFonts w:ascii="Calibri" w:cs="Calibri" w:eastAsia="Calibri" w:hAnsi="Calibri"/>
          <w:sz w:val="22"/>
          <w:szCs w:val="22"/>
        </w:rPr>
        <w:t xml:space="preserve">Neither philosophy is universally correct - a banking ledger genuinely needs ACID guarantees, while a social media like-counter can tolerate a few seconds of staleness in exchange for handling billions of updates smoothly.</w:t>
      </w:r>
    </w:p>
    <w:p>
      <w:r>
        <w:br w:type="page"/>
      </w:r>
    </w:p>
    <w:p>
      <w:pPr>
        <w:pStyle w:val="Heading1"/>
        <w:pBdr>
          <w:bottom w:val="single" w:color="2E74B5" w:sz="8" w:space="4"/>
        </w:pBdr>
        <w:spacing w:after="200" w:before="400"/>
      </w:pPr>
      <w:r>
        <w:rPr>
          <w:rFonts w:ascii="Calibri" w:cs="Calibri" w:eastAsia="Calibri" w:hAnsi="Calibri"/>
          <w:b/>
          <w:bCs/>
          <w:color w:val="1F3864"/>
          <w:sz w:val="30"/>
          <w:szCs w:val="30"/>
        </w:rPr>
        <w:t xml:space="preserve">Part 5: Hands-On Lab - Model the College DB as a Document (20 Minutes)</w:t>
      </w:r>
    </w:p>
    <w:p>
      <w:pPr>
        <w:spacing w:after="150"/>
      </w:pPr>
      <w:r>
        <w:rPr>
          <w:rFonts w:ascii="Calibri" w:cs="Calibri" w:eastAsia="Calibri" w:hAnsi="Calibri"/>
          <w:sz w:val="22"/>
          <w:szCs w:val="22"/>
        </w:rPr>
        <w:t xml:space="preserve">Take the four normalized tables from Session 2 - department, student, course, enrollment - and convert them into one embedded document per student, the way a document database like MongoDB would typically model this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"roll_no": 101,</w:t>
            </w:r>
          </w:p>
          <w:p>
            <w:pPr>
              <w:spacing w:after="20"/>
            </w:pPr>
            <w:r>
              <w:rPr>
                <w:rFonts w:ascii="Consolas" w:cs="Consolas" w:eastAsia="Consolas" w:hAnsi="Consolas"/>
                <w:sz w:val="20"/>
                <w:szCs w:val="20"/>
              </w:rPr>
              <w:t xml:space="preserve">  "name": "Nilisha",</w:t>
            </w:r>
          </w:p>
          <w:p>
            <w:pPr>
              <w:spacing w:after="20"/>
            </w:pPr>
            <w:r>
              <w:rPr>
                <w:rFonts w:ascii="Consolas" w:cs="Consolas" w:eastAsia="Consolas" w:hAnsi="Consolas"/>
                <w:sz w:val="20"/>
                <w:szCs w:val="20"/>
              </w:rPr>
              <w:t xml:space="preserve">  "dept": { "dept_id": 1, "dept_name": "Computer Science" },</w:t>
            </w:r>
          </w:p>
          <w:p>
            <w:pPr>
              <w:spacing w:after="20"/>
            </w:pPr>
            <w:r>
              <w:rPr>
                <w:rFonts w:ascii="Consolas" w:cs="Consolas" w:eastAsia="Consolas" w:hAnsi="Consolas"/>
                <w:sz w:val="20"/>
                <w:szCs w:val="20"/>
              </w:rPr>
              <w:t xml:space="preserve">  "enrollments": [</w:t>
            </w:r>
          </w:p>
          <w:p>
            <w:pPr>
              <w:spacing w:after="20"/>
            </w:pPr>
            <w:r>
              <w:rPr>
                <w:rFonts w:ascii="Consolas" w:cs="Consolas" w:eastAsia="Consolas" w:hAnsi="Consolas"/>
                <w:sz w:val="20"/>
                <w:szCs w:val="20"/>
              </w:rPr>
              <w:t xml:space="preserve">    { "course_id": 501, "course_name": "DBMS", "grade": "A" },</w:t>
            </w:r>
          </w:p>
          <w:p>
            <w:pPr>
              <w:spacing w:after="20"/>
            </w:pPr>
            <w:r>
              <w:rPr>
                <w:rFonts w:ascii="Consolas" w:cs="Consolas" w:eastAsia="Consolas" w:hAnsi="Consolas"/>
                <w:sz w:val="20"/>
                <w:szCs w:val="20"/>
              </w:rPr>
              <w:t xml:space="preserve">    { "course_id": 502, "course_name": "Circuits", "grade": "B"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w:t>
            </w:r>
          </w:p>
        </w:tc>
      </w:tr>
    </w:tbl>
    <w:p>
      <w:pPr>
        <w:pStyle w:val="Heading3"/>
        <w:spacing w:after="100" w:before="200"/>
      </w:pPr>
      <w:r>
        <w:rPr>
          <w:rFonts w:ascii="Calibri" w:cs="Calibri" w:eastAsia="Calibri" w:hAnsi="Calibri"/>
          <w:b/>
          <w:bCs/>
          <w:color w:val="2E7D32"/>
          <w:sz w:val="21"/>
          <w:szCs w:val="21"/>
        </w:rPr>
        <w:t xml:space="preserve">5.1  Why This Shape?</w:t>
      </w:r>
    </w:p>
    <w:p>
      <w:pPr>
        <w:spacing w:after="150"/>
      </w:pPr>
      <w:r>
        <w:rPr>
          <w:rFonts w:ascii="Calibri" w:cs="Calibri" w:eastAsia="Calibri" w:hAnsi="Calibri"/>
          <w:sz w:val="22"/>
          <w:szCs w:val="22"/>
        </w:rPr>
        <w:t xml:space="preserve">Fetching everything about student 101 - their department and every course they're enrolled in - now takes exactly one read, no JOINs at all. In the relational model this same information required querying and joining three separate tables.</w:t>
      </w:r>
    </w:p>
    <w:p>
      <w:pPr>
        <w:pStyle w:val="Heading3"/>
        <w:spacing w:after="100" w:before="200"/>
      </w:pPr>
      <w:r>
        <w:rPr>
          <w:rFonts w:ascii="Calibri" w:cs="Calibri" w:eastAsia="Calibri" w:hAnsi="Calibri"/>
          <w:b/>
          <w:bCs/>
          <w:color w:val="2E7D32"/>
          <w:sz w:val="21"/>
          <w:szCs w:val="21"/>
        </w:rPr>
        <w:t xml:space="preserve">5.2  The Cost - the Full-Circle Moment</w:t>
      </w:r>
    </w:p>
    <w:p>
      <w:pPr>
        <w:spacing w:after="150"/>
      </w:pPr>
      <w:r>
        <w:rPr>
          <w:rFonts w:ascii="Calibri" w:cs="Calibri" w:eastAsia="Calibri" w:hAnsi="Calibri"/>
          <w:sz w:val="22"/>
          <w:szCs w:val="22"/>
        </w:rPr>
        <w:t xml:space="preserve">dept_name ('Computer Science') is now duplicated inside every single Computer Science student's document. If the department is ever renamed, EVERY matching document must be found and updated individually.</w:t>
      </w:r>
    </w:p>
    <w:p>
      <w:pPr>
        <w:pBdr>
          <w:left w:val="single" w:color="2E7D32" w:sz="24" w:space="8"/>
        </w:pBdr>
        <w:shd w:fill="E8F5E9" w:val="clear"/>
        <w:spacing w:after="150" w:before="150"/>
      </w:pPr>
      <w:r>
        <w:rPr>
          <w:rFonts w:ascii="Calibri" w:cs="Calibri" w:eastAsia="Calibri" w:hAnsi="Calibri"/>
          <w:i/>
          <w:iCs/>
          <w:sz w:val="21"/>
          <w:szCs w:val="21"/>
        </w:rPr>
        <w:t xml:space="preserve">This is precisely the update anomaly Session 6 spent an entire session teaching students to eliminate through normalization. Document databases don't avoid this problem - they accept it deliberately, trading it for read speed and horizontal scalability. Normalizing and denormalizing are not opposites to be judged as 'right' and 'wrong' - they are two tools, chosen based on the read/write pattern a system actually needs.</w:t>
      </w:r>
    </w:p>
    <w:p>
      <w:pPr>
        <w:pStyle w:val="Heading3"/>
        <w:spacing w:after="100" w:before="200"/>
      </w:pPr>
      <w:r>
        <w:rPr>
          <w:rFonts w:ascii="Calibri" w:cs="Calibri" w:eastAsia="Calibri" w:hAnsi="Calibri"/>
          <w:b/>
          <w:bCs/>
          <w:color w:val="2E7D32"/>
          <w:sz w:val="21"/>
          <w:szCs w:val="21"/>
        </w:rPr>
        <w:t xml:space="preserve">5.3  Embedding vs Referencing</w:t>
      </w:r>
    </w:p>
    <w:p>
      <w:pPr>
        <w:spacing w:after="150"/>
      </w:pPr>
      <w:r>
        <w:rPr>
          <w:rFonts w:ascii="Calibri" w:cs="Calibri" w:eastAsia="Calibri" w:hAnsi="Calibri"/>
          <w:sz w:val="22"/>
          <w:szCs w:val="22"/>
        </w:rPr>
        <w:t xml:space="preserve">Document databases still support a referencing style closer to a foreign key (storing just dept_id and looking up department separately) when data changes too often or is too large to duplicate safely. The choice between embedding and referencing is the document-database equivalent of a normalization decision, made deliberately per use case rather than as a blanket rule.</w:t>
      </w:r>
    </w:p>
    <w:p>
      <w:r>
        <w:br w:type="page"/>
      </w:r>
    </w:p>
    <w:p>
      <w:pPr>
        <w:pStyle w:val="Heading2"/>
        <w:spacing w:after="150" w:before="300"/>
      </w:pPr>
      <w:r>
        <w:rPr>
          <w:rFonts w:ascii="Calibri" w:cs="Calibri" w:eastAsia="Calibri" w:hAnsi="Calibri"/>
          <w:b/>
          <w:bCs/>
          <w:color w:val="2E74B5"/>
          <w:sz w:val="24"/>
          <w:szCs w:val="24"/>
        </w:rPr>
        <w:t xml:space="preserve">Session 12 Assignment (Final Assignment of the Course)</w:t>
      </w:r>
    </w:p>
    <w:p>
      <w:pPr>
        <w:pStyle w:val="Heading3"/>
        <w:spacing w:after="100" w:before="200"/>
      </w:pPr>
      <w:r>
        <w:rPr>
          <w:rFonts w:ascii="Calibri" w:cs="Calibri" w:eastAsia="Calibri" w:hAnsi="Calibri"/>
          <w:b/>
          <w:bCs/>
          <w:color w:val="2E74B5"/>
          <w:sz w:val="21"/>
          <w:szCs w:val="21"/>
        </w:rPr>
        <w:t xml:space="preserve">Theory Questions</w:t>
      </w:r>
    </w:p>
    <w:p>
      <w:pPr>
        <w:pStyle w:val="ListParagraph"/>
        <w:numPr>
          <w:ilvl w:val="0"/>
          <w:numId w:val="2"/>
        </w:numPr>
        <w:spacing w:after="80"/>
      </w:pPr>
      <w:r>
        <w:rPr>
          <w:rFonts w:ascii="Calibri" w:cs="Calibri" w:eastAsia="Calibri" w:hAnsi="Calibri"/>
          <w:b w:val="false"/>
          <w:bCs w:val="false"/>
          <w:sz w:val="22"/>
          <w:szCs w:val="22"/>
        </w:rPr>
        <w:t xml:space="preserve">Compare the four types of NoSQL databases with one example use case each.</w:t>
      </w:r>
    </w:p>
    <w:p>
      <w:pPr>
        <w:pStyle w:val="ListParagraph"/>
        <w:numPr>
          <w:ilvl w:val="0"/>
          <w:numId w:val="2"/>
        </w:numPr>
        <w:spacing w:after="80"/>
      </w:pPr>
      <w:r>
        <w:rPr>
          <w:rFonts w:ascii="Calibri" w:cs="Calibri" w:eastAsia="Calibri" w:hAnsi="Calibri"/>
          <w:b w:val="false"/>
          <w:bCs w:val="false"/>
          <w:sz w:val="22"/>
          <w:szCs w:val="22"/>
        </w:rPr>
        <w:t xml:space="preserve">State the CAP theorem and apply it to a given distributed banking scenario.</w:t>
      </w:r>
    </w:p>
    <w:p>
      <w:pPr>
        <w:pStyle w:val="ListParagraph"/>
        <w:numPr>
          <w:ilvl w:val="0"/>
          <w:numId w:val="2"/>
        </w:numPr>
        <w:spacing w:after="80"/>
      </w:pPr>
      <w:r>
        <w:rPr>
          <w:rFonts w:ascii="Calibri" w:cs="Calibri" w:eastAsia="Calibri" w:hAnsi="Calibri"/>
          <w:b w:val="false"/>
          <w:bCs w:val="false"/>
          <w:sz w:val="22"/>
          <w:szCs w:val="22"/>
        </w:rPr>
        <w:t xml:space="preserve">Compare ACID and BASE as design philosophies.</w:t>
      </w:r>
    </w:p>
    <w:p>
      <w:pPr>
        <w:pStyle w:val="ListParagraph"/>
        <w:numPr>
          <w:ilvl w:val="0"/>
          <w:numId w:val="2"/>
        </w:numPr>
        <w:spacing w:after="80"/>
      </w:pPr>
      <w:r>
        <w:rPr>
          <w:rFonts w:ascii="Calibri" w:cs="Calibri" w:eastAsia="Calibri" w:hAnsi="Calibri"/>
          <w:b w:val="false"/>
          <w:bCs w:val="false"/>
          <w:sz w:val="22"/>
          <w:szCs w:val="22"/>
        </w:rPr>
        <w:t xml:space="preserve">Explain the difference between embedding and referencing in a document database.</w:t>
      </w:r>
    </w:p>
    <w:p>
      <w:pPr>
        <w:pStyle w:val="ListParagraph"/>
        <w:numPr>
          <w:ilvl w:val="0"/>
          <w:numId w:val="2"/>
        </w:numPr>
        <w:spacing w:after="80"/>
      </w:pPr>
      <w:r>
        <w:rPr>
          <w:rFonts w:ascii="Calibri" w:cs="Calibri" w:eastAsia="Calibri" w:hAnsi="Calibri"/>
          <w:b w:val="false"/>
          <w:bCs w:val="false"/>
          <w:sz w:val="22"/>
          <w:szCs w:val="22"/>
        </w:rPr>
        <w:t xml:space="preserve">Why is a document database not 'immune' to the anomalies normalization addresses?</w:t>
      </w:r>
    </w:p>
    <w:p>
      <w:pPr>
        <w:pStyle w:val="ListParagraph"/>
        <w:numPr>
          <w:ilvl w:val="0"/>
          <w:numId w:val="2"/>
        </w:numPr>
        <w:spacing w:after="80"/>
      </w:pPr>
      <w:r>
        <w:rPr>
          <w:rFonts w:ascii="Calibri" w:cs="Calibri" w:eastAsia="Calibri" w:hAnsi="Calibri"/>
          <w:b w:val="false"/>
          <w:bCs w:val="false"/>
          <w:sz w:val="22"/>
          <w:szCs w:val="22"/>
        </w:rPr>
        <w:t xml:space="preserve">Give one scenario where a relational database is clearly the better choice over NoSQL.</w:t>
      </w:r>
    </w:p>
    <w:p>
      <w:pPr>
        <w:pStyle w:val="Heading3"/>
        <w:spacing w:after="100" w:before="200"/>
      </w:pPr>
      <w:r>
        <w:rPr>
          <w:rFonts w:ascii="Calibri" w:cs="Calibri" w:eastAsia="Calibri" w:hAnsi="Calibri"/>
          <w:b/>
          <w:bCs/>
          <w:color w:val="2E74B5"/>
          <w:sz w:val="21"/>
          <w:szCs w:val="21"/>
        </w:rPr>
        <w:t xml:space="preserve">Practical Task</w:t>
      </w:r>
    </w:p>
    <w:p>
      <w:pPr>
        <w:pStyle w:val="ListParagraph"/>
        <w:numPr>
          <w:ilvl w:val="0"/>
          <w:numId w:val="2"/>
        </w:numPr>
        <w:spacing w:after="80"/>
      </w:pPr>
      <w:r>
        <w:rPr>
          <w:rFonts w:ascii="Calibri" w:cs="Calibri" w:eastAsia="Calibri" w:hAnsi="Calibri"/>
          <w:b w:val="false"/>
          <w:bCs w:val="false"/>
          <w:sz w:val="22"/>
          <w:szCs w:val="22"/>
        </w:rPr>
        <w:t xml:space="preserve">Convert the full College DB (all 4 tables) into a document-model JSON schema.</w:t>
      </w:r>
    </w:p>
    <w:p>
      <w:pPr>
        <w:pStyle w:val="ListParagraph"/>
        <w:numPr>
          <w:ilvl w:val="0"/>
          <w:numId w:val="2"/>
        </w:numPr>
        <w:spacing w:after="80"/>
      </w:pPr>
      <w:r>
        <w:rPr>
          <w:rFonts w:ascii="Calibri" w:cs="Calibri" w:eastAsia="Calibri" w:hAnsi="Calibri"/>
          <w:b w:val="false"/>
          <w:bCs w:val="false"/>
          <w:sz w:val="22"/>
          <w:szCs w:val="22"/>
        </w:rPr>
        <w:t xml:space="preserve">Explicitly justify each embedding vs referencing decision made.</w:t>
      </w:r>
    </w:p>
    <w:p>
      <w:pPr>
        <w:pStyle w:val="ListParagraph"/>
        <w:numPr>
          <w:ilvl w:val="0"/>
          <w:numId w:val="2"/>
        </w:numPr>
        <w:spacing w:after="80"/>
      </w:pPr>
      <w:r>
        <w:rPr>
          <w:rFonts w:ascii="Calibri" w:cs="Calibri" w:eastAsia="Calibri" w:hAnsi="Calibri"/>
          <w:b w:val="false"/>
          <w:bCs w:val="false"/>
          <w:sz w:val="22"/>
          <w:szCs w:val="22"/>
        </w:rPr>
        <w:t xml:space="preserve">List 2 real scenarios where NoSQL would outperform the relational College DB, and 2 where the relational model still wins.</w:t>
      </w:r>
    </w:p>
    <w:p>
      <w:pPr>
        <w:pBdr>
          <w:left w:val="single" w:color="2E74B5" w:sz="24" w:space="8"/>
        </w:pBdr>
        <w:shd w:fill="EBF5FB" w:val="clear"/>
        <w:spacing w:after="150" w:before="150"/>
      </w:pPr>
      <w:r>
        <w:rPr>
          <w:rFonts w:ascii="Calibri" w:cs="Calibri" w:eastAsia="Calibri" w:hAnsi="Calibri"/>
          <w:i/>
          <w:iCs/>
          <w:sz w:val="21"/>
          <w:szCs w:val="21"/>
        </w:rPr>
        <w:t xml:space="preserve">This is the FINAL assignment of the 12-session course. Recommend students review Sessions 1 through 12 together as consolidated exam preparation - many exam questions connect concepts across sessions (e.g., normalization from Session 6 directly informs the denormalization discussion here).</w:t>
      </w:r>
    </w:p>
    <w:p>
      <w:r>
        <w:br w:type="page"/>
      </w:r>
    </w:p>
    <w:p>
      <w:pPr>
        <w:pStyle w:val="Heading2"/>
        <w:spacing w:after="150" w:before="300"/>
      </w:pPr>
      <w:r>
        <w:rPr>
          <w:rFonts w:ascii="Calibri" w:cs="Calibri" w:eastAsia="Calibri" w:hAnsi="Calibri"/>
          <w:b/>
          <w:bCs/>
          <w:color w:val="2E74B5"/>
          <w:sz w:val="24"/>
          <w:szCs w:val="24"/>
        </w:rPr>
        <w:t xml:space="preserve">Session 12 Checklist for Instructor</w:t>
      </w:r>
    </w:p>
    <w:p>
      <w:pPr>
        <w:pStyle w:val="ListParagraph"/>
        <w:numPr>
          <w:ilvl w:val="0"/>
          <w:numId w:val="2"/>
        </w:numPr>
        <w:spacing w:after="80"/>
      </w:pPr>
      <w:r>
        <w:rPr>
          <w:rFonts w:ascii="Calibri" w:cs="Calibri" w:eastAsia="Calibri" w:hAnsi="Calibri"/>
          <w:b w:val="false"/>
          <w:bCs w:val="false"/>
          <w:sz w:val="22"/>
          <w:szCs w:val="22"/>
        </w:rPr>
        <w:t xml:space="preserve">☐ Review Session 11 assignment (view/procedure/trigger submissions)</w:t>
      </w:r>
    </w:p>
    <w:p>
      <w:pPr>
        <w:pStyle w:val="ListParagraph"/>
        <w:numPr>
          <w:ilvl w:val="0"/>
          <w:numId w:val="2"/>
        </w:numPr>
        <w:spacing w:after="80"/>
      </w:pPr>
      <w:r>
        <w:rPr>
          <w:rFonts w:ascii="Calibri" w:cs="Calibri" w:eastAsia="Calibri" w:hAnsi="Calibri"/>
          <w:b w:val="false"/>
          <w:bCs w:val="false"/>
          <w:sz w:val="22"/>
          <w:szCs w:val="22"/>
        </w:rPr>
        <w:t xml:space="preserve">☐ Open by asking: “Why might Instagram NOT use a fully normalized relational schema for billions of posts and likes?” and let students reason toward NoSQL motivations themselves</w:t>
      </w:r>
    </w:p>
    <w:p>
      <w:pPr>
        <w:pStyle w:val="ListParagraph"/>
        <w:numPr>
          <w:ilvl w:val="0"/>
          <w:numId w:val="2"/>
        </w:numPr>
        <w:spacing w:after="80"/>
      </w:pPr>
      <w:r>
        <w:rPr>
          <w:rFonts w:ascii="Calibri" w:cs="Calibri" w:eastAsia="Calibri" w:hAnsi="Calibri"/>
          <w:b w:val="false"/>
          <w:bCs w:val="false"/>
          <w:sz w:val="22"/>
          <w:szCs w:val="22"/>
        </w:rPr>
        <w:t xml:space="preserve">☐ Use the College DB to JSON conversion as the capstone exercise - it directly revisits Session 6</w:t>
      </w:r>
    </w:p>
    <w:p>
      <w:pPr>
        <w:pStyle w:val="ListParagraph"/>
        <w:numPr>
          <w:ilvl w:val="0"/>
          <w:numId w:val="2"/>
        </w:numPr>
        <w:spacing w:after="80"/>
      </w:pPr>
      <w:r>
        <w:rPr>
          <w:rFonts w:ascii="Calibri" w:cs="Calibri" w:eastAsia="Calibri" w:hAnsi="Calibri"/>
          <w:b w:val="false"/>
          <w:bCs w:val="false"/>
          <w:sz w:val="22"/>
          <w:szCs w:val="22"/>
        </w:rPr>
        <w:t xml:space="preserve">☐ Be explicit this is a survey/orientation session - the goal is informed vocabulary, not NoSQL mastery</w:t>
      </w:r>
    </w:p>
    <w:p>
      <w:pPr>
        <w:pStyle w:val="ListParagraph"/>
        <w:numPr>
          <w:ilvl w:val="0"/>
          <w:numId w:val="2"/>
        </w:numPr>
        <w:spacing w:after="80"/>
      </w:pPr>
      <w:r>
        <w:rPr>
          <w:rFonts w:ascii="Calibri" w:cs="Calibri" w:eastAsia="Calibri" w:hAnsi="Calibri"/>
          <w:b w:val="false"/>
          <w:bCs w:val="false"/>
          <w:sz w:val="22"/>
          <w:szCs w:val="22"/>
        </w:rPr>
        <w:t xml:space="preserve">☐ Close by mapping all 12 sessions back to the course's original arc: theory -&gt; SQL -&gt; ER/normalization -&gt; indexing -&gt; transactions -&gt; advanced/NoSQL</w:t>
      </w:r>
    </w:p>
    <w:p>
      <w:pPr>
        <w:pStyle w:val="ListParagraph"/>
        <w:numPr>
          <w:ilvl w:val="0"/>
          <w:numId w:val="2"/>
        </w:numPr>
        <w:spacing w:after="80"/>
      </w:pPr>
      <w:r>
        <w:rPr>
          <w:rFonts w:ascii="Calibri" w:cs="Calibri" w:eastAsia="Calibri" w:hAnsi="Calibri"/>
          <w:b w:val="false"/>
          <w:bCs w:val="false"/>
          <w:sz w:val="22"/>
          <w:szCs w:val="22"/>
        </w:rPr>
        <w:t xml:space="preserve">☐ End with quiz</w:t>
      </w:r>
    </w:p>
    <w:p>
      <w:pPr>
        <w:pStyle w:val="ListParagraph"/>
        <w:numPr>
          <w:ilvl w:val="0"/>
          <w:numId w:val="2"/>
        </w:numPr>
        <w:spacing w:after="80"/>
      </w:pPr>
      <w:r>
        <w:rPr>
          <w:rFonts w:ascii="Calibri" w:cs="Calibri" w:eastAsia="Calibri" w:hAnsi="Calibri"/>
          <w:b w:val="false"/>
          <w:bCs w:val="false"/>
          <w:sz w:val="22"/>
          <w:szCs w:val="22"/>
        </w:rPr>
        <w:t xml:space="preserve">☐ Congratulate the class - this is the final session of the course</w:t>
      </w:r>
    </w:p>
    <w:p>
      <w:pPr>
        <w:pStyle w:val="Heading2"/>
        <w:spacing w:after="150" w:before="300"/>
      </w:pPr>
      <w:r>
        <w:rPr>
          <w:rFonts w:ascii="Calibri" w:cs="Calibri" w:eastAsia="Calibri" w:hAnsi="Calibri"/>
          <w:b/>
          <w:bCs/>
          <w:color w:val="2E74B5"/>
          <w:sz w:val="24"/>
          <w:szCs w:val="24"/>
        </w:rPr>
        <w:t xml:space="preserve">Session 12 Quick Quiz</w:t>
      </w:r>
    </w:p>
    <w:p>
      <w:pPr>
        <w:spacing w:after="150"/>
      </w:pPr>
      <w:r>
        <w:rPr>
          <w:rFonts w:ascii="Calibri" w:cs="Calibri" w:eastAsia="Calibri" w:hAnsi="Calibri"/>
          <w:b/>
          <w:bCs/>
          <w:sz w:val="22"/>
          <w:szCs w:val="22"/>
        </w:rPr>
        <w:t xml:space="preserve">Q1. During a network partition, what does CAP theorem say you can guarantee?</w:t>
      </w:r>
    </w:p>
    <w:p>
      <w:pPr>
        <w:spacing w:after="150"/>
      </w:pPr>
      <w:r>
        <w:rPr>
          <w:rFonts w:ascii="Calibri" w:cs="Calibri" w:eastAsia="Calibri" w:hAnsi="Calibri"/>
          <w:sz w:val="22"/>
          <w:szCs w:val="22"/>
        </w:rPr>
        <w:t xml:space="preserve">A: Only 2 of the 3 properties - Consistency, Availability, Partition Tolerance.</w:t>
      </w:r>
    </w:p>
    <w:p>
      <w:pPr>
        <w:spacing w:after="150"/>
      </w:pPr>
      <w:r>
        <w:rPr>
          <w:rFonts w:ascii="Calibri" w:cs="Calibri" w:eastAsia="Calibri" w:hAnsi="Calibri"/>
          <w:b/>
          <w:bCs/>
          <w:sz w:val="22"/>
          <w:szCs w:val="22"/>
        </w:rPr>
        <w:t xml:space="preserve">Q2. Which NoSQL type is best suited for social-network friend relationships?</w:t>
      </w:r>
    </w:p>
    <w:p>
      <w:pPr>
        <w:spacing w:after="150"/>
      </w:pPr>
      <w:r>
        <w:rPr>
          <w:rFonts w:ascii="Calibri" w:cs="Calibri" w:eastAsia="Calibri" w:hAnsi="Calibri"/>
          <w:sz w:val="22"/>
          <w:szCs w:val="22"/>
        </w:rPr>
        <w:t xml:space="preserve">A: Graph database.</w:t>
      </w:r>
    </w:p>
    <w:p>
      <w:pPr>
        <w:spacing w:after="150"/>
      </w:pPr>
      <w:r>
        <w:rPr>
          <w:rFonts w:ascii="Calibri" w:cs="Calibri" w:eastAsia="Calibri" w:hAnsi="Calibri"/>
          <w:b/>
          <w:bCs/>
          <w:sz w:val="22"/>
          <w:szCs w:val="22"/>
        </w:rPr>
        <w:t xml:space="preserve">Q3. What does BASE stand for?</w:t>
      </w:r>
    </w:p>
    <w:p>
      <w:pPr>
        <w:spacing w:after="150"/>
      </w:pPr>
      <w:r>
        <w:rPr>
          <w:rFonts w:ascii="Calibri" w:cs="Calibri" w:eastAsia="Calibri" w:hAnsi="Calibri"/>
          <w:sz w:val="22"/>
          <w:szCs w:val="22"/>
        </w:rPr>
        <w:t xml:space="preserve">A: Basically Available, Soft state, Eventual consistency.</w:t>
      </w:r>
    </w:p>
    <w:p>
      <w:pPr>
        <w:spacing w:after="150"/>
      </w:pPr>
      <w:r>
        <w:rPr>
          <w:rFonts w:ascii="Calibri" w:cs="Calibri" w:eastAsia="Calibri" w:hAnsi="Calibri"/>
          <w:b/>
          <w:bCs/>
          <w:sz w:val="22"/>
          <w:szCs w:val="22"/>
        </w:rPr>
        <w:t xml:space="preserve">Q4. Why do document databases favor embedding over referencing?</w:t>
      </w:r>
    </w:p>
    <w:p>
      <w:pPr>
        <w:spacing w:after="150"/>
      </w:pPr>
      <w:r>
        <w:rPr>
          <w:rFonts w:ascii="Calibri" w:cs="Calibri" w:eastAsia="Calibri" w:hAnsi="Calibri"/>
          <w:sz w:val="22"/>
          <w:szCs w:val="22"/>
        </w:rPr>
        <w:t xml:space="preserve">A: To avoid joins and allow a single read to fetch everything needed.</w:t>
      </w:r>
    </w:p>
    <w:p>
      <w:pPr>
        <w:spacing w:after="150"/>
      </w:pPr>
      <w:r>
        <w:rPr>
          <w:rFonts w:ascii="Calibri" w:cs="Calibri" w:eastAsia="Calibri" w:hAnsi="Calibri"/>
          <w:b/>
          <w:bCs/>
          <w:sz w:val="22"/>
          <w:szCs w:val="22"/>
        </w:rPr>
        <w:t xml:space="preserve">Q5. Is a document database immune to update anomalies?</w:t>
      </w:r>
    </w:p>
    <w:p>
      <w:pPr>
        <w:spacing w:after="150"/>
      </w:pPr>
      <w:r>
        <w:rPr>
          <w:rFonts w:ascii="Calibri" w:cs="Calibri" w:eastAsia="Calibri" w:hAnsi="Calibri"/>
          <w:sz w:val="22"/>
          <w:szCs w:val="22"/>
        </w:rPr>
        <w:t xml:space="preserve">A: No - embedding deliberately reintroduces the same redundancy normalization was designed to remove.</w:t>
      </w:r>
    </w:p>
    <w:p>
      <w:pPr>
        <w:pStyle w:val="Heading2"/>
        <w:spacing w:after="150" w:before="300"/>
      </w:pPr>
      <w:r>
        <w:rPr>
          <w:rFonts w:ascii="Calibri" w:cs="Calibri" w:eastAsia="Calibri" w:hAnsi="Calibri"/>
          <w:b/>
          <w:bCs/>
          <w:color w:val="2E74B5"/>
          <w:sz w:val="24"/>
          <w:szCs w:val="24"/>
        </w:rPr>
        <w:t xml:space="preserve">Reference Materials</w:t>
      </w:r>
    </w:p>
    <w:p>
      <w:pPr>
        <w:pStyle w:val="Heading3"/>
        <w:spacing w:after="100" w:before="200"/>
      </w:pPr>
      <w:r>
        <w:rPr>
          <w:rFonts w:ascii="Calibri" w:cs="Calibri" w:eastAsia="Calibri" w:hAnsi="Calibri"/>
          <w:b/>
          <w:bCs/>
          <w:color w:val="2E74B5"/>
          <w:sz w:val="21"/>
          <w:szCs w:val="21"/>
        </w:rPr>
        <w:t xml:space="preserve">NoSQL Type Quick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70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One-Line Definition</w:t>
            </w:r>
          </w:p>
        </w:tc>
      </w:tr>
      <w:tr>
        <w:tc>
          <w:tcPr>
            <w:tcW w:type="dxa" w:w="2300"/>
            <w:shd w:fill="FFFFFF" w:val="clear"/>
            <w:tcMar>
              <w:top w:type="dxa" w:w="90"/>
              <w:left w:type="dxa" w:w="120"/>
              <w:bottom w:type="dxa" w:w="90"/>
              <w:right w:type="dxa" w:w="120"/>
            </w:tcMar>
          </w:tcPr>
          <w:p>
            <w:r>
              <w:rPr>
                <w:rFonts w:ascii="Calibri" w:cs="Calibri" w:eastAsia="Calibri" w:hAnsi="Calibri"/>
                <w:b/>
                <w:bCs/>
                <w:sz w:val="19"/>
                <w:szCs w:val="19"/>
              </w:rPr>
              <w:t xml:space="preserve">Key-Value</w:t>
            </w:r>
          </w:p>
        </w:tc>
        <w:tc>
          <w:tcPr>
            <w:tcW w:type="dxa" w:w="70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Simplest model - direct key to value lookup</w:t>
            </w:r>
          </w:p>
        </w:tc>
      </w:tr>
      <w:tr>
        <w:tc>
          <w:tcPr>
            <w:tcW w:type="dxa" w:w="2300"/>
            <w:shd w:fill="DCE6F1" w:val="clear"/>
            <w:tcMar>
              <w:top w:type="dxa" w:w="90"/>
              <w:left w:type="dxa" w:w="120"/>
              <w:bottom w:type="dxa" w:w="90"/>
              <w:right w:type="dxa" w:w="120"/>
            </w:tcMar>
          </w:tcPr>
          <w:p>
            <w:r>
              <w:rPr>
                <w:rFonts w:ascii="Calibri" w:cs="Calibri" w:eastAsia="Calibri" w:hAnsi="Calibri"/>
                <w:b/>
                <w:bCs/>
                <w:sz w:val="19"/>
                <w:szCs w:val="19"/>
              </w:rPr>
              <w:t xml:space="preserve">Document</w:t>
            </w:r>
          </w:p>
        </w:tc>
        <w:tc>
          <w:tcPr>
            <w:tcW w:type="dxa" w:w="70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Flexible JSON-like records, often embedding related data</w:t>
            </w:r>
          </w:p>
        </w:tc>
      </w:tr>
      <w:tr>
        <w:tc>
          <w:tcPr>
            <w:tcW w:type="dxa" w:w="2300"/>
            <w:shd w:fill="FFFFFF" w:val="clear"/>
            <w:tcMar>
              <w:top w:type="dxa" w:w="90"/>
              <w:left w:type="dxa" w:w="120"/>
              <w:bottom w:type="dxa" w:w="90"/>
              <w:right w:type="dxa" w:w="120"/>
            </w:tcMar>
          </w:tcPr>
          <w:p>
            <w:r>
              <w:rPr>
                <w:rFonts w:ascii="Calibri" w:cs="Calibri" w:eastAsia="Calibri" w:hAnsi="Calibri"/>
                <w:b/>
                <w:bCs/>
                <w:sz w:val="19"/>
                <w:szCs w:val="19"/>
              </w:rPr>
              <w:t xml:space="preserve">Column-family</w:t>
            </w:r>
          </w:p>
        </w:tc>
        <w:tc>
          <w:tcPr>
            <w:tcW w:type="dxa" w:w="70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Wide-column storage optimized for massive write volume</w:t>
            </w:r>
          </w:p>
        </w:tc>
      </w:tr>
      <w:tr>
        <w:tc>
          <w:tcPr>
            <w:tcW w:type="dxa" w:w="2300"/>
            <w:shd w:fill="DCE6F1" w:val="clear"/>
            <w:tcMar>
              <w:top w:type="dxa" w:w="90"/>
              <w:left w:type="dxa" w:w="120"/>
              <w:bottom w:type="dxa" w:w="90"/>
              <w:right w:type="dxa" w:w="120"/>
            </w:tcMar>
          </w:tcPr>
          <w:p>
            <w:r>
              <w:rPr>
                <w:rFonts w:ascii="Calibri" w:cs="Calibri" w:eastAsia="Calibri" w:hAnsi="Calibri"/>
                <w:b/>
                <w:bCs/>
                <w:sz w:val="19"/>
                <w:szCs w:val="19"/>
              </w:rPr>
              <w:t xml:space="preserve">Graph</w:t>
            </w:r>
          </w:p>
        </w:tc>
        <w:tc>
          <w:tcPr>
            <w:tcW w:type="dxa" w:w="70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Nodes and edges - optimized for traversing relationships</w:t>
            </w:r>
          </w:p>
        </w:tc>
      </w:tr>
    </w:tbl>
    <w:p>
      <w:pPr>
        <w:spacing w:after="150"/>
      </w:pPr>
    </w:p>
    <w:p>
      <w:pPr>
        <w:pStyle w:val="Heading3"/>
        <w:spacing w:after="100" w:before="200"/>
      </w:pPr>
      <w:r>
        <w:rPr>
          <w:rFonts w:ascii="Calibri" w:cs="Calibri" w:eastAsia="Calibri" w:hAnsi="Calibri"/>
          <w:b/>
          <w:bCs/>
          <w:color w:val="2E74B5"/>
          <w:sz w:val="21"/>
          <w:szCs w:val="21"/>
        </w:rPr>
        <w:t xml:space="preserve">Books</w:t>
      </w:r>
    </w:p>
    <w:p>
      <w:pPr>
        <w:pStyle w:val="ListParagraph"/>
        <w:numPr>
          <w:ilvl w:val="0"/>
          <w:numId w:val="2"/>
        </w:numPr>
        <w:spacing w:after="80"/>
      </w:pPr>
      <w:r>
        <w:rPr>
          <w:rFonts w:ascii="Calibri" w:cs="Calibri" w:eastAsia="Calibri" w:hAnsi="Calibri"/>
          <w:b w:val="false"/>
          <w:bCs w:val="false"/>
          <w:sz w:val="22"/>
          <w:szCs w:val="22"/>
        </w:rPr>
        <w:t xml:space="preserve">“Designing Data-Intensive Applications” — Martin Kleppmann (Ch. 2, 5, 9)</w:t>
      </w:r>
    </w:p>
    <w:p>
      <w:pPr>
        <w:pStyle w:val="ListParagraph"/>
        <w:numPr>
          <w:ilvl w:val="0"/>
          <w:numId w:val="2"/>
        </w:numPr>
        <w:spacing w:after="80"/>
      </w:pPr>
      <w:r>
        <w:rPr>
          <w:rFonts w:ascii="Calibri" w:cs="Calibri" w:eastAsia="Calibri" w:hAnsi="Calibri"/>
          <w:b w:val="false"/>
          <w:bCs w:val="false"/>
          <w:sz w:val="22"/>
          <w:szCs w:val="22"/>
        </w:rPr>
        <w:t xml:space="preserve">“NoSQL Distilled” — Pramod Sadalage, Martin Fowler</w:t>
      </w:r>
    </w:p>
    <w:p>
      <w:pPr>
        <w:spacing w:after="300"/>
      </w:pPr>
    </w:p>
    <w:p>
      <w:pPr>
        <w:pBdr>
          <w:left w:val="single" w:color="2E7D32" w:sz="24" w:space="8"/>
        </w:pBdr>
        <w:shd w:fill="E8F5E9" w:val="clear"/>
        <w:spacing w:after="200" w:before="200"/>
      </w:pPr>
      <w:r>
        <w:rPr>
          <w:rFonts w:ascii="Calibri" w:cs="Calibri" w:eastAsia="Calibri" w:hAnsi="Calibri"/>
          <w:b/>
          <w:bCs/>
          <w:sz w:val="22"/>
          <w:szCs w:val="22"/>
        </w:rPr>
        <w:t xml:space="preserve">Course Complete: </w:t>
      </w:r>
      <w:r>
        <w:rPr>
          <w:rFonts w:ascii="Calibri" w:cs="Calibri" w:eastAsia="Calibri" w:hAnsi="Calibri"/>
          <w:sz w:val="21"/>
          <w:szCs w:val="21"/>
        </w:rPr>
        <w:t xml:space="preserve">Sessions 1 through 12 cover the full DBMS syllabus, from core relational theory through SQL, ER modeling, normalization, indexing, transactions, recovery, stored routines, and NoSQL. Suggested next steps beyond this course: distributed transactions, sharding and replication strategies, and a hands-on MongoDB or PostgreSQL-specific deep dive.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2026-08-25T02:28:52.497Z</dcterms:created>
  <dcterms:modified xsi:type="dcterms:W3CDTF">2026-08-25T02:28:52.497Z</dcterms:modified>
</cp:coreProperties>
</file>

<file path=docProps/custom.xml><?xml version="1.0" encoding="utf-8"?>
<Properties xmlns="http://schemas.openxmlformats.org/officeDocument/2006/custom-properties" xmlns:vt="http://schemas.openxmlformats.org/officeDocument/2006/docPropsVTypes"/>
</file>