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031" w:rsidRDefault="00B45031" w:rsidP="0051014A">
      <w:pPr>
        <w:rPr>
          <w:lang w:eastAsia="pl-PL"/>
        </w:rPr>
      </w:pPr>
    </w:p>
    <w:p w:rsidR="00B45031" w:rsidRPr="00B45031" w:rsidRDefault="00B45031" w:rsidP="0051014A">
      <w:pPr>
        <w:rPr>
          <w:lang w:eastAsia="pl-PL"/>
        </w:rPr>
      </w:pPr>
    </w:p>
    <w:p w:rsidR="00B45031" w:rsidRDefault="00B45031" w:rsidP="0051014A">
      <w:pPr>
        <w:rPr>
          <w:lang w:eastAsia="pl-PL"/>
        </w:rPr>
      </w:pPr>
    </w:p>
    <w:p w:rsidR="0051014A" w:rsidRDefault="0051014A" w:rsidP="0051014A">
      <w:pPr>
        <w:rPr>
          <w:lang w:eastAsia="pl-PL"/>
        </w:rPr>
      </w:pPr>
    </w:p>
    <w:p w:rsidR="0051014A" w:rsidRPr="0051014A" w:rsidRDefault="0051014A" w:rsidP="0051014A">
      <w:pPr>
        <w:rPr>
          <w:lang w:eastAsia="pl-PL"/>
        </w:rPr>
      </w:pPr>
    </w:p>
    <w:p w:rsidR="00B45031" w:rsidRPr="00963595" w:rsidRDefault="00B45031" w:rsidP="00746AF9">
      <w:pPr>
        <w:pStyle w:val="Podtytu"/>
        <w:jc w:val="center"/>
        <w:rPr>
          <w:rFonts w:eastAsia="Times New Roman"/>
          <w:sz w:val="28"/>
          <w:lang w:eastAsia="pl-PL"/>
        </w:rPr>
      </w:pPr>
      <w:r w:rsidRPr="00963595">
        <w:rPr>
          <w:rFonts w:eastAsia="Times New Roman"/>
          <w:sz w:val="28"/>
          <w:lang w:eastAsia="pl-PL"/>
        </w:rPr>
        <w:t xml:space="preserve">Narzędzie symulacyjne „OPITTRANSFER – </w:t>
      </w:r>
      <w:r w:rsidR="00963595">
        <w:rPr>
          <w:rFonts w:eastAsia="Times New Roman"/>
          <w:sz w:val="28"/>
          <w:lang w:eastAsia="pl-PL"/>
        </w:rPr>
        <w:br/>
      </w:r>
      <w:r w:rsidRPr="00963595">
        <w:rPr>
          <w:rFonts w:eastAsia="Times New Roman"/>
          <w:sz w:val="28"/>
          <w:lang w:eastAsia="pl-PL"/>
        </w:rPr>
        <w:t>symulacja transferu technologii”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 xml:space="preserve">Podręcznik tworzenia scen symulacji 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>i obsług</w:t>
      </w:r>
      <w:r w:rsidR="0015366E">
        <w:rPr>
          <w:rFonts w:asciiTheme="minorHAnsi" w:hAnsiTheme="minorHAnsi"/>
          <w:sz w:val="56"/>
        </w:rPr>
        <w:t>i</w:t>
      </w:r>
      <w:r w:rsidRPr="00DB7B7F">
        <w:rPr>
          <w:rFonts w:asciiTheme="minorHAnsi" w:hAnsiTheme="minorHAnsi"/>
          <w:sz w:val="56"/>
        </w:rPr>
        <w:t xml:space="preserve"> programu</w:t>
      </w: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sz w:val="18"/>
          <w:szCs w:val="24"/>
          <w:lang w:eastAsia="pl-PL"/>
        </w:rPr>
        <w:t>Program wykonany przez Ośrodek Badania Układów Złożonych,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>Instytut Studiów Społecznych im. Profesora Roberta B. Zajonca,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>Uniwersytet Warszawski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Badanie zrealizowane na zlecenie </w:t>
      </w:r>
      <w:r w:rsidRPr="00B45031">
        <w:rPr>
          <w:rFonts w:ascii="Times New Roman" w:eastAsia="Times New Roman" w:hAnsi="Times New Roman" w:cs="Times New Roman"/>
          <w:b/>
          <w:color w:val="1F497D"/>
          <w:sz w:val="18"/>
          <w:lang w:eastAsia="pl-PL"/>
        </w:rPr>
        <w:t>Ośrodka Przetwarzania Informacji</w:t>
      </w: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 jako komponent projektu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750" w:right="750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"Wsparcie systemu zarządzania badaniami naukowymi oraz ich wynikami", realizowanego w ramach Programu Operacyjnego Innowacyjna Gospodarka 2007-2013, Działanie 1.1, Poddziałanie 1.1.3., Sub-projektu „Analiza działalności ośrodków transferu technologii (zarządzanie oraz komercjalizacja B+R)”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Projekt współfinansowany przez Unię Europejską ze środków Europejskiego Funduszu Rozwoju Regionalnego”</w:t>
      </w:r>
    </w:p>
    <w:p w:rsidR="00B45031" w:rsidRDefault="00B45031" w:rsidP="00B45031">
      <w:pPr>
        <w:rPr>
          <w:rFonts w:eastAsiaTheme="majorEastAsia" w:cstheme="majorBidi"/>
          <w:color w:val="17365D" w:themeColor="text2" w:themeShade="BF"/>
          <w:spacing w:val="5"/>
          <w:kern w:val="28"/>
          <w:szCs w:val="52"/>
        </w:rPr>
      </w:pPr>
      <w:r>
        <w:br w:type="page"/>
      </w:r>
    </w:p>
    <w:p w:rsidR="0015366E" w:rsidRDefault="00327796" w:rsidP="0051014A">
      <w:pPr>
        <w:pStyle w:val="Nagwek1"/>
      </w:pPr>
      <w:bookmarkStart w:id="0" w:name="_Toc309134796"/>
      <w:r w:rsidRPr="0051014A">
        <w:lastRenderedPageBreak/>
        <w:t>Wstęp</w:t>
      </w:r>
      <w:bookmarkEnd w:id="0"/>
    </w:p>
    <w:p w:rsidR="00EA49A9" w:rsidRPr="00DB7B7F" w:rsidRDefault="00EA49A9" w:rsidP="00B27B23">
      <w:pPr>
        <w:pStyle w:val="Tekstpodstawowy"/>
        <w:jc w:val="both"/>
      </w:pPr>
      <w:r w:rsidRPr="00DB7B7F">
        <w:t xml:space="preserve">Model </w:t>
      </w:r>
      <w:r w:rsidR="00936487">
        <w:t xml:space="preserve">symulacyjny </w:t>
      </w:r>
      <w:r w:rsidRPr="00DB7B7F">
        <w:t xml:space="preserve">Transferu Technologii ma charakter agentowo-sieciowy. Oznacza to, że modelowane procesy zależą z jednej strony od agentów, którymi może być np. Uniwersytet, Centrum Transferu Technologii, bądź firmy prywatne, ale też od struktury sieci – czyli powiązań pomiędzy wspomnianymi aktorami. Jednostki, których praca nas interesuje szczególnie mogą być ze sobą powiązane w różnorodny sposób. I tak, pomiędzy Rektoratem Uniwersytetu a Centrum Transferu Technologii jest powiązanie bazujące na połączeniu administracyjnym – CTT podlega Uniwersytetowi a przez to łączą go z Uniwersytetem połączenia wynikłe z hierarchicznej podległości. Może się również okazać, że poszczególne osoby z wymienionych instytucji znają się osobiście- wtedy </w:t>
      </w:r>
      <w:r w:rsidR="00936487">
        <w:t xml:space="preserve">mamy dodatkowo </w:t>
      </w:r>
      <w:r w:rsidR="00936487" w:rsidRPr="00DB7B7F">
        <w:t xml:space="preserve">połączenia </w:t>
      </w:r>
      <w:r w:rsidR="00936487">
        <w:t xml:space="preserve">o innym </w:t>
      </w:r>
      <w:r w:rsidRPr="00DB7B7F">
        <w:t>charakter</w:t>
      </w:r>
      <w:r w:rsidR="00936487">
        <w:t xml:space="preserve">ze </w:t>
      </w:r>
      <w:r w:rsidRPr="00DB7B7F">
        <w:t xml:space="preserve">– bazuje na relacjach interpersonalnych. Podczas badań jakościowych okazało się, że te  i inne zróżnicowania są istotne ze względu na proces transferu technologii, dlatego też zostały rozróżnione w proponowanym przez nas modelu. </w:t>
      </w:r>
    </w:p>
    <w:p w:rsidR="00EA49A9" w:rsidRPr="00DB7B7F" w:rsidRDefault="00EA49A9" w:rsidP="00B27B23">
      <w:pPr>
        <w:pStyle w:val="Tekstpodstawowy"/>
        <w:jc w:val="both"/>
      </w:pPr>
      <w:r w:rsidRPr="00DB7B7F">
        <w:t xml:space="preserve">Aby móc przeprowadzić serię eksperymentów związanych z modelowaniem Transferu Technologii należy najpierw zbudować „scenę” -  jest to „mikroświat” obrazujący potencjalny stan realny, który chcemy testować. W eksperymentach możemy koncentrować się na poszczególnych wariantach z życia rzeczywistego- np. analizować sytuację przypominającą środowiska działania UOTT związanego z Uniwersytetem Warszawskim, bądź CTT związanego z Politechniką. W tym wypadku należy zbudować „scenę” – czyli zdefiniować jacy aktorzy, o jakich parametrach są dla nas najbardziej interesujący, a także w jaki sposób są powiązani ze sobą. </w:t>
      </w:r>
    </w:p>
    <w:p w:rsidR="00DE1124" w:rsidRDefault="00DE1124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5366E" w:rsidRDefault="00EA49A9" w:rsidP="00EB0F4E">
      <w:pPr>
        <w:pStyle w:val="Nagwek1"/>
        <w:rPr>
          <w:rFonts w:asciiTheme="minorHAnsi" w:hAnsiTheme="minorHAnsi"/>
        </w:rPr>
      </w:pPr>
      <w:bookmarkStart w:id="1" w:name="_Toc309134797"/>
      <w:r w:rsidRPr="00DB7B7F">
        <w:rPr>
          <w:rFonts w:asciiTheme="minorHAnsi" w:hAnsiTheme="minorHAnsi"/>
        </w:rPr>
        <w:lastRenderedPageBreak/>
        <w:t>Jak stworzyć opis sceny?</w:t>
      </w:r>
      <w:bookmarkEnd w:id="1"/>
    </w:p>
    <w:p w:rsidR="00085E5E" w:rsidRPr="00DB7B7F" w:rsidRDefault="00EA49A9" w:rsidP="00B27B23">
      <w:pPr>
        <w:pStyle w:val="Tekstpodstawowy"/>
        <w:jc w:val="both"/>
      </w:pPr>
      <w:r w:rsidRPr="00DB7B7F">
        <w:rPr>
          <w:b/>
        </w:rPr>
        <w:t>Wspomnian</w:t>
      </w:r>
      <w:r w:rsidR="00DE1124">
        <w:rPr>
          <w:b/>
        </w:rPr>
        <w:t>a</w:t>
      </w:r>
      <w:r w:rsidRPr="00DB7B7F">
        <w:rPr>
          <w:b/>
        </w:rPr>
        <w:t xml:space="preserve"> </w:t>
      </w:r>
      <w:r w:rsidR="00DE1124">
        <w:rPr>
          <w:b/>
        </w:rPr>
        <w:t xml:space="preserve">wyżej </w:t>
      </w:r>
      <w:r w:rsidRPr="00DB7B7F">
        <w:rPr>
          <w:b/>
        </w:rPr>
        <w:t>„scen</w:t>
      </w:r>
      <w:r w:rsidR="00DE1124">
        <w:rPr>
          <w:b/>
        </w:rPr>
        <w:t>a</w:t>
      </w:r>
      <w:r w:rsidRPr="00DB7B7F">
        <w:rPr>
          <w:b/>
        </w:rPr>
        <w:t xml:space="preserve">” - </w:t>
      </w:r>
      <w:r w:rsidRPr="00DB7B7F">
        <w:t>czyli definicj</w:t>
      </w:r>
      <w:r w:rsidR="00DE1124">
        <w:t>a</w:t>
      </w:r>
      <w:r w:rsidRPr="00DB7B7F">
        <w:t xml:space="preserve"> modelowanej sieci wraz z (opcjonalnie) aktualnymi </w:t>
      </w:r>
      <w:r w:rsidR="00DE1124">
        <w:t xml:space="preserve">procesami i </w:t>
      </w:r>
      <w:r w:rsidRPr="00DB7B7F">
        <w:t>komunikatami jest plikiem tekstowym w formacie ASCII TAB DELIMITED. Plik taki można najwygodniej przygotować w dowolnym arkuszu kalkulacyjnym (np. Excel) a następnie wyeksportować do pliku tekstowego</w:t>
      </w:r>
      <w:r w:rsidR="00936487">
        <w:t xml:space="preserve"> w wymaganym formacie</w:t>
      </w:r>
      <w:r w:rsidRPr="00DB7B7F">
        <w:t xml:space="preserve">. Przykładową zawartość pliku </w:t>
      </w:r>
      <w:r w:rsidR="00936487">
        <w:t xml:space="preserve">ze wstępnego etapu definicji sceny </w:t>
      </w:r>
      <w:r w:rsidRPr="00DB7B7F">
        <w:t xml:space="preserve">przedstawiono na rysunku </w:t>
      </w:r>
      <w:r w:rsidR="00DE1124">
        <w:t>nr. 1</w:t>
      </w:r>
      <w:r w:rsidRPr="00DB7B7F">
        <w:t>.</w:t>
      </w:r>
    </w:p>
    <w:p w:rsidR="00EB229F" w:rsidRPr="00DB7B7F" w:rsidRDefault="007C3C2C" w:rsidP="00874459">
      <w:pPr>
        <w:pStyle w:val="Tekstpodstawowy"/>
        <w:keepNext/>
        <w:jc w:val="both"/>
      </w:pPr>
      <w:r w:rsidRPr="00DB7B7F">
        <w:t>Przykładową zawartość pliku przedstawiono na rysunku poniżej.</w:t>
      </w:r>
    </w:p>
    <w:p w:rsidR="007C3C2C" w:rsidRPr="00DB7B7F" w:rsidRDefault="00D84C0A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1824498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2C" w:rsidRPr="00DB7B7F" w:rsidRDefault="007C3C2C" w:rsidP="00B27B23">
      <w:pPr>
        <w:pStyle w:val="Legenda"/>
        <w:jc w:val="both"/>
      </w:pPr>
      <w:r w:rsidRPr="00DB7B7F">
        <w:t xml:space="preserve">Rysunek </w:t>
      </w:r>
      <w:r w:rsidR="008C524E" w:rsidRPr="00DB7B7F">
        <w:fldChar w:fldCharType="begin"/>
      </w:r>
      <w:r w:rsidR="001A0F49" w:rsidRPr="00DB7B7F">
        <w:instrText xml:space="preserve"> SEQ Rysunek \* ARABIC </w:instrText>
      </w:r>
      <w:r w:rsidR="008C524E" w:rsidRPr="00DB7B7F">
        <w:fldChar w:fldCharType="separate"/>
      </w:r>
      <w:r w:rsidR="00002029">
        <w:rPr>
          <w:noProof/>
        </w:rPr>
        <w:t>1</w:t>
      </w:r>
      <w:r w:rsidR="008C524E" w:rsidRPr="00DB7B7F">
        <w:fldChar w:fldCharType="end"/>
      </w:r>
      <w:r w:rsidRPr="00DB7B7F">
        <w:t>: Przykładowy plik sceny modelu</w:t>
      </w:r>
    </w:p>
    <w:p w:rsidR="009D5FBD" w:rsidRPr="00DB7B7F" w:rsidRDefault="0051014A" w:rsidP="00B27B23">
      <w:pPr>
        <w:pStyle w:val="Tekstpodstawowy"/>
        <w:jc w:val="both"/>
      </w:pPr>
      <w:r>
        <w:t>Przedstawiona</w:t>
      </w:r>
      <w:r w:rsidR="009D5FBD" w:rsidRPr="00DB7B7F">
        <w:t xml:space="preserve"> </w:t>
      </w:r>
      <w:r>
        <w:t xml:space="preserve">na ilustracji </w:t>
      </w:r>
      <w:r w:rsidR="009D5FBD" w:rsidRPr="00DB7B7F">
        <w:t xml:space="preserve">definicja </w:t>
      </w:r>
      <w:r w:rsidR="009829D7" w:rsidRPr="00DB7B7F">
        <w:t xml:space="preserve">sceny, kiedy zostaje uruchomiona w programie do modelowania, </w:t>
      </w:r>
      <w:r w:rsidR="009D5FBD" w:rsidRPr="00DB7B7F">
        <w:t xml:space="preserve">tworzy sieć zbudowaną z 5 węzłów </w:t>
      </w:r>
      <w:r w:rsidR="009829D7" w:rsidRPr="00DB7B7F">
        <w:t>(</w:t>
      </w:r>
      <w:r w:rsidR="00936487">
        <w:t>agentów</w:t>
      </w:r>
      <w:r w:rsidR="009829D7" w:rsidRPr="00DB7B7F">
        <w:t xml:space="preserve">) </w:t>
      </w:r>
      <w:r w:rsidR="009D5FBD" w:rsidRPr="00DB7B7F">
        <w:t>i 7 powiązań</w:t>
      </w:r>
      <w:r w:rsidR="009829D7" w:rsidRPr="00DB7B7F">
        <w:t xml:space="preserve"> między nimi. Przedstawiono to na poniższym </w:t>
      </w:r>
      <w:r w:rsidR="00EA49A9" w:rsidRPr="00DB7B7F">
        <w:t xml:space="preserve">rysunku: </w:t>
      </w:r>
      <w:r w:rsidR="00871E2D" w:rsidRPr="00DB7B7F">
        <w:t xml:space="preserve"> </w:t>
      </w:r>
    </w:p>
    <w:p w:rsidR="00871E2D" w:rsidRPr="00DB7B7F" w:rsidRDefault="009829D7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3543300" cy="3200400"/>
            <wp:effectExtent l="19050" t="0" r="0" b="0"/>
            <wp:docPr id="8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54899" cy="2363282"/>
                      <a:chOff x="864973" y="1"/>
                      <a:chExt cx="2554899" cy="2363282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64973" y="1"/>
                        <a:ext cx="2554899" cy="236328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pole tekstowe 4"/>
                      <a:cNvSpPr txBox="1"/>
                    </a:nvSpPr>
                    <a:spPr>
                      <a:xfrm>
                        <a:off x="1979712" y="1484784"/>
                        <a:ext cx="129614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Uniwersytet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D5FBD" w:rsidRPr="00DB7B7F" w:rsidRDefault="00871E2D" w:rsidP="00B27B23">
      <w:pPr>
        <w:pStyle w:val="Legenda"/>
        <w:jc w:val="both"/>
      </w:pPr>
      <w:r w:rsidRPr="00DB7B7F">
        <w:t xml:space="preserve">Rysunek </w:t>
      </w:r>
      <w:r w:rsidR="008C524E" w:rsidRPr="00DB7B7F">
        <w:fldChar w:fldCharType="begin"/>
      </w:r>
      <w:r w:rsidR="001A0F49" w:rsidRPr="00DB7B7F">
        <w:instrText xml:space="preserve"> SEQ Rysunek \* ARABIC </w:instrText>
      </w:r>
      <w:r w:rsidR="008C524E" w:rsidRPr="00DB7B7F">
        <w:fldChar w:fldCharType="separate"/>
      </w:r>
      <w:r w:rsidR="00002029">
        <w:rPr>
          <w:noProof/>
        </w:rPr>
        <w:t>2</w:t>
      </w:r>
      <w:r w:rsidR="008C524E" w:rsidRPr="00DB7B7F">
        <w:fldChar w:fldCharType="end"/>
      </w:r>
      <w:r w:rsidRPr="00DB7B7F">
        <w:t>: Scena modelu sieciowego zdefiniowana w przykładowym pliku pokazanym wcześniej.</w:t>
      </w:r>
    </w:p>
    <w:p w:rsidR="009829D7" w:rsidRPr="00DB7B7F" w:rsidRDefault="009829D7" w:rsidP="00DE1124">
      <w:pPr>
        <w:pStyle w:val="Tekstpodstawowy"/>
        <w:keepNext/>
        <w:jc w:val="both"/>
      </w:pPr>
      <w:r w:rsidRPr="00DB7B7F">
        <w:lastRenderedPageBreak/>
        <w:t>Na powyższej scenie przedstawiono następujące elementy:</w:t>
      </w:r>
    </w:p>
    <w:p w:rsidR="009829D7" w:rsidRPr="00DB7B7F" w:rsidRDefault="009829D7" w:rsidP="00B27B23">
      <w:pPr>
        <w:pStyle w:val="Akapitzlist"/>
        <w:numPr>
          <w:ilvl w:val="0"/>
          <w:numId w:val="4"/>
        </w:numPr>
        <w:jc w:val="both"/>
      </w:pPr>
      <w:r w:rsidRPr="00DB7B7F">
        <w:rPr>
          <w:b/>
        </w:rPr>
        <w:t>Węzły</w:t>
      </w:r>
      <w:r w:rsidR="00A3388D" w:rsidRPr="00DB7B7F">
        <w:t xml:space="preserve"> – czyli agentów</w:t>
      </w:r>
      <w:r w:rsidRPr="00DB7B7F">
        <w:t xml:space="preserve"> modelu – przedstawionych jako figury geometryczne w różnych kolorach. W modelu Transferu Technologii k</w:t>
      </w:r>
      <w:r w:rsidR="004114C5" w:rsidRPr="00DB7B7F">
        <w:t>o</w:t>
      </w:r>
      <w:r w:rsidRPr="00DB7B7F">
        <w:t>lory te oz</w:t>
      </w:r>
      <w:r w:rsidR="004114C5" w:rsidRPr="00DB7B7F">
        <w:t>n</w:t>
      </w:r>
      <w:r w:rsidRPr="00DB7B7F">
        <w:t>aczaj</w:t>
      </w:r>
      <w:r w:rsidR="00A3388D" w:rsidRPr="00DB7B7F">
        <w:t>ą, jaką dyscypliną zajmuje się d</w:t>
      </w:r>
      <w:r w:rsidRPr="00DB7B7F">
        <w:t>a</w:t>
      </w:r>
      <w:r w:rsidR="00A3388D" w:rsidRPr="00DB7B7F">
        <w:t>n</w:t>
      </w:r>
      <w:r w:rsidRPr="00DB7B7F">
        <w:t>y węze</w:t>
      </w:r>
      <w:r w:rsidR="00936487">
        <w:t>ł</w:t>
      </w:r>
      <w:r w:rsidR="00A3388D" w:rsidRPr="00DB7B7F">
        <w:t>. I</w:t>
      </w:r>
      <w:r w:rsidRPr="00DB7B7F">
        <w:t xml:space="preserve"> tak czerwony Badacz C może przedstawiać aktora zajmującego się na</w:t>
      </w:r>
      <w:r w:rsidR="00A3388D" w:rsidRPr="00DB7B7F">
        <w:t>ukami społecznymi, a fioletowy,</w:t>
      </w:r>
      <w:r w:rsidRPr="00DB7B7F">
        <w:t xml:space="preserve"> takiego, który łączy nauki humanistyczne ze ścisłymi (połączenie koloru czerwonego i niebieskiego). W toku symulacji takie rozróżnienie ma znaczenie, gdyż wpływa również na sposób komunikacji pomiędzy węzłami – w uproszczeniu węzły bardziej do siebie podobne, łatwiej </w:t>
      </w:r>
      <w:r w:rsidR="00936487">
        <w:t>nawiązują ze sobą komunikacje</w:t>
      </w:r>
      <w:r w:rsidRPr="00DB7B7F">
        <w:t xml:space="preserve">. </w:t>
      </w:r>
    </w:p>
    <w:p w:rsidR="009D5FBD" w:rsidRPr="00DB7B7F" w:rsidRDefault="009829D7" w:rsidP="00B27B23">
      <w:pPr>
        <w:pStyle w:val="Akapitzlist"/>
        <w:numPr>
          <w:ilvl w:val="0"/>
          <w:numId w:val="4"/>
        </w:numPr>
        <w:jc w:val="both"/>
      </w:pPr>
      <w:r w:rsidRPr="00DB7B7F">
        <w:rPr>
          <w:b/>
        </w:rPr>
        <w:t xml:space="preserve">Połączenia </w:t>
      </w:r>
      <w:r w:rsidRPr="00DB7B7F">
        <w:t xml:space="preserve">– czyli </w:t>
      </w:r>
      <w:r w:rsidR="004114C5" w:rsidRPr="00DB7B7F">
        <w:t xml:space="preserve">relacje </w:t>
      </w:r>
      <w:r w:rsidR="00440088" w:rsidRPr="00DB7B7F">
        <w:t xml:space="preserve">(linki) </w:t>
      </w:r>
      <w:r w:rsidR="004114C5" w:rsidRPr="00DB7B7F">
        <w:t xml:space="preserve">pomiędzy poszczególnymi węzłami. </w:t>
      </w:r>
      <w:r w:rsidR="00440088" w:rsidRPr="00DB7B7F">
        <w:t>Linki mogą różnić między sobą (a) kolorem, (b) wagą (grubością powiązania)</w:t>
      </w:r>
      <w:r w:rsidR="003110B5" w:rsidRPr="00DB7B7F">
        <w:t>, mogą też posiadać zwrot połączenia</w:t>
      </w:r>
      <w:r w:rsidR="00440088" w:rsidRPr="00DB7B7F">
        <w:t>. Kolor oznacza</w:t>
      </w:r>
      <w:r w:rsidR="00A3388D" w:rsidRPr="00DB7B7F">
        <w:t xml:space="preserve"> dziedzinę linku</w:t>
      </w:r>
      <w:r w:rsidR="003110B5" w:rsidRPr="00DB7B7F">
        <w:t>, czyli na jakim polu węzły się porozumiał</w:t>
      </w:r>
      <w:r w:rsidR="00936487">
        <w:t>y</w:t>
      </w:r>
      <w:r w:rsidR="003110B5" w:rsidRPr="00DB7B7F">
        <w:t>.</w:t>
      </w:r>
      <w:r w:rsidR="00440088" w:rsidRPr="00DB7B7F">
        <w:t xml:space="preserve"> Natomiast waga połączenia wpływa na to, z jaką efektywnością dany link może przesyłać komunikaty.</w:t>
      </w:r>
      <w:r w:rsidR="008122CC" w:rsidRPr="00DB7B7F">
        <w:t xml:space="preserve"> </w:t>
      </w:r>
    </w:p>
    <w:p w:rsidR="00DE149D" w:rsidRPr="00DB7B7F" w:rsidRDefault="00DE149D" w:rsidP="00B27B23">
      <w:pPr>
        <w:pStyle w:val="Tekstpodstawowy"/>
        <w:jc w:val="both"/>
      </w:pPr>
      <w:r w:rsidRPr="00DB7B7F">
        <w:t xml:space="preserve">Dodatkowo sceny zawierają również procesy i komunikaty. Na powyższym rysunku ich nie widać, jednak są one realizowane </w:t>
      </w:r>
      <w:r w:rsidR="0015366E">
        <w:t xml:space="preserve">i wizualizowane </w:t>
      </w:r>
      <w:r w:rsidRPr="00DB7B7F">
        <w:t xml:space="preserve">podczas uruchomienia </w:t>
      </w:r>
      <w:r w:rsidR="0015366E">
        <w:t xml:space="preserve">rzeczywistej </w:t>
      </w:r>
      <w:r w:rsidRPr="00DB7B7F">
        <w:t xml:space="preserve">symulacji. </w:t>
      </w:r>
    </w:p>
    <w:p w:rsidR="00DE149D" w:rsidRPr="00DB7B7F" w:rsidRDefault="00DE149D" w:rsidP="00B27B23">
      <w:pPr>
        <w:pStyle w:val="Tekstpodstawowy"/>
        <w:jc w:val="both"/>
      </w:pPr>
      <w:r w:rsidRPr="00DB7B7F">
        <w:t>Procesy to zadania i działania poszczególnych węzłów</w:t>
      </w:r>
      <w:r w:rsidR="009E0F92" w:rsidRPr="00DB7B7F">
        <w:t xml:space="preserve">. Natomiast komunikaty – to informacje, które są przesyłane pomiędzy nimi za pomocą linków. </w:t>
      </w:r>
      <w:r w:rsidR="003110B5" w:rsidRPr="00DB7B7F">
        <w:t>Grubość linków społecznych wpływa na efektywność wysyłania komunikatów.</w:t>
      </w:r>
    </w:p>
    <w:p w:rsidR="007B369F" w:rsidRPr="0015366E" w:rsidRDefault="00327796" w:rsidP="0015366E">
      <w:pPr>
        <w:pStyle w:val="Nagwek2"/>
      </w:pPr>
      <w:bookmarkStart w:id="2" w:name="_Toc309134798"/>
      <w:r w:rsidRPr="00DB7B7F">
        <w:t>Ogólne r</w:t>
      </w:r>
      <w:r w:rsidR="005721E0" w:rsidRPr="00DB7B7F">
        <w:t>eguły definiowania pliku danych</w:t>
      </w:r>
      <w:bookmarkEnd w:id="2"/>
    </w:p>
    <w:p w:rsidR="00DE149D" w:rsidRPr="00DB7B7F" w:rsidRDefault="00DE149D" w:rsidP="00B27B23">
      <w:pPr>
        <w:pStyle w:val="Tekstpodstawowy"/>
        <w:jc w:val="both"/>
      </w:pPr>
      <w:r w:rsidRPr="00DB7B7F">
        <w:t>Aby samemu zdefiniować scenę, którą się chce testować należy uzupełnić tabelę defi</w:t>
      </w:r>
      <w:r w:rsidR="003110B5" w:rsidRPr="00DB7B7F">
        <w:t>niując cechy środowiska, agentów</w:t>
      </w:r>
      <w:r w:rsidRPr="00DB7B7F">
        <w:t xml:space="preserve"> (węzły sieci), których chcemy uwzględnić, a także rodzaj powiązań między nimi. Poniżej przedstawiono podstawowe informacje związane z budowaniem sceny modelu: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>Każdy wiersz</w:t>
      </w:r>
      <w:r w:rsidR="00DE149D" w:rsidRPr="00DB7B7F">
        <w:t xml:space="preserve"> w</w:t>
      </w:r>
      <w:r w:rsidRPr="00DB7B7F">
        <w:t xml:space="preserve"> pliku jest albo definicją elementu sieci: węzła, powiązania czy komunikatu, albo metainformacją</w:t>
      </w:r>
      <w:r w:rsidR="00D84C0A" w:rsidRPr="00DB7B7F">
        <w:t xml:space="preserve"> lub komentarzem</w:t>
      </w:r>
      <w:r w:rsidR="00DE149D" w:rsidRPr="00DB7B7F">
        <w:t xml:space="preserve"> </w:t>
      </w:r>
      <w:r w:rsidR="00DE149D" w:rsidRPr="00DB7B7F">
        <w:rPr>
          <w:b/>
        </w:rPr>
        <w:t>(te dwa ostatnie elementy są wprowadzane znakiem „#”)</w:t>
      </w:r>
    </w:p>
    <w:p w:rsidR="00D84C0A" w:rsidRPr="00DB7B7F" w:rsidRDefault="00D84C0A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Pierwszy wiersz ma znaczenie specjalne – </w:t>
      </w:r>
      <w:r w:rsidR="00DE149D" w:rsidRPr="00DB7B7F">
        <w:rPr>
          <w:b/>
        </w:rPr>
        <w:t xml:space="preserve">określa maksymalną dopuszczalną ilość uzupełnionych kolumn. </w:t>
      </w:r>
      <w:r w:rsidR="00DE149D" w:rsidRPr="00DB7B7F">
        <w:t>J</w:t>
      </w:r>
      <w:r w:rsidRPr="00DB7B7F">
        <w:t xml:space="preserve">ego zawartość może być dowolna, ale musi zawierać tyle wypełnionych komórek ile ma najdłuższy wiersz danych w pliku. W </w:t>
      </w:r>
      <w:r w:rsidR="001B0C1B" w:rsidRPr="00DB7B7F">
        <w:t>przypadku znalezienia w trakcie wczytywania wiersza o większej liczbie kolumn niż wiersz pierwszy</w:t>
      </w:r>
      <w:r w:rsidRPr="00DB7B7F">
        <w:t xml:space="preserve"> </w:t>
      </w:r>
      <w:r w:rsidR="001B0C1B" w:rsidRPr="00DB7B7F">
        <w:t>zostanie wyświetlone ostrzeżenie, i zużyte odpowiednio więcej pamięci na dane programu co może skutkować spowolnieniem działania.</w:t>
      </w:r>
    </w:p>
    <w:p w:rsidR="003D4EDE" w:rsidRPr="00DB7B7F" w:rsidRDefault="003D4EDE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Każdy wiersz mający w pierwszej komórce słowo </w:t>
      </w:r>
      <w:r w:rsidRPr="00DB7B7F">
        <w:rPr>
          <w:b/>
        </w:rPr>
        <w:t>#config</w:t>
      </w:r>
      <w:r w:rsidRPr="00DB7B7F">
        <w:t xml:space="preserve"> jest wierszem metainformacji. Rodzaje meta informacji oraz akceptowalne formaty wartości są takie same jak dla parametrów wywołania</w:t>
      </w:r>
      <w:r w:rsidR="003110B5" w:rsidRPr="00DB7B7F">
        <w:t xml:space="preserve"> programu</w:t>
      </w:r>
      <w:r w:rsidR="005F7E73" w:rsidRPr="00DB7B7F">
        <w:t>. Poza kilkoma podstawowymi są one zależne od konkretnego modelu</w:t>
      </w:r>
      <w:r w:rsidR="00B203AC">
        <w:t xml:space="preserve"> implementowanego w SPS</w:t>
      </w:r>
      <w:r w:rsidR="005F7E73" w:rsidRPr="00DB7B7F">
        <w:t>.</w:t>
      </w:r>
    </w:p>
    <w:p w:rsidR="00DE149D" w:rsidRPr="00DB7B7F" w:rsidRDefault="00DE149D" w:rsidP="00B27B23">
      <w:pPr>
        <w:pStyle w:val="Akapitzlist"/>
        <w:numPr>
          <w:ilvl w:val="0"/>
          <w:numId w:val="5"/>
        </w:numPr>
        <w:jc w:val="both"/>
      </w:pPr>
      <w:r w:rsidRPr="00DB7B7F">
        <w:lastRenderedPageBreak/>
        <w:t>Wiersze metainformacji i komentarzy muszą mieć znak ‘</w:t>
      </w:r>
      <w:r w:rsidRPr="00DB7B7F">
        <w:rPr>
          <w:b/>
        </w:rPr>
        <w:t>#</w:t>
      </w:r>
      <w:r w:rsidRPr="00DB7B7F">
        <w:t xml:space="preserve">’ jako pierwszy znak pierwszej komórki. 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definiujące elementy sieci </w:t>
      </w:r>
      <w:r w:rsidR="005721E0" w:rsidRPr="00DB7B7F">
        <w:t xml:space="preserve">muszą </w:t>
      </w:r>
      <w:r w:rsidRPr="00DB7B7F">
        <w:t xml:space="preserve">mieć </w:t>
      </w:r>
      <w:r w:rsidR="005721E0" w:rsidRPr="00DB7B7F">
        <w:t xml:space="preserve">w pierwszej komórce poprawną nazwę typu elementu (np. </w:t>
      </w:r>
      <w:r w:rsidR="005721E0" w:rsidRPr="00DB7B7F">
        <w:rPr>
          <w:b/>
        </w:rPr>
        <w:t>gennode</w:t>
      </w:r>
      <w:r w:rsidR="005721E0" w:rsidRPr="00DB7B7F">
        <w:t xml:space="preserve"> czy </w:t>
      </w:r>
      <w:r w:rsidR="005721E0" w:rsidRPr="00DB7B7F">
        <w:rPr>
          <w:b/>
        </w:rPr>
        <w:t>genlink</w:t>
      </w:r>
      <w:r w:rsidR="005721E0" w:rsidRPr="00DB7B7F">
        <w:t>)</w:t>
      </w:r>
      <w:r w:rsidR="00D84C0A" w:rsidRPr="00DB7B7F">
        <w:t xml:space="preserve">. </w:t>
      </w:r>
      <w:r w:rsidR="005721E0" w:rsidRPr="00DB7B7F">
        <w:t xml:space="preserve">Istnieją ogólne typy elementów, przydatne przy definiowaniu struktury, ale dla konkretnego modelu </w:t>
      </w:r>
      <w:r w:rsidR="00B203AC">
        <w:t>należy</w:t>
      </w:r>
      <w:r w:rsidR="005721E0" w:rsidRPr="00DB7B7F">
        <w:t xml:space="preserve"> zdefiniować dodatkowe typy (co</w:t>
      </w:r>
      <w:r w:rsidR="003110B5" w:rsidRPr="00DB7B7F">
        <w:t xml:space="preserve"> jednak wymaga zaprogramowania</w:t>
      </w:r>
      <w:r w:rsidR="005721E0" w:rsidRPr="00DB7B7F">
        <w:t xml:space="preserve"> kodu </w:t>
      </w:r>
      <w:r w:rsidR="003110B5" w:rsidRPr="00DB7B7F">
        <w:t xml:space="preserve">ich definiującego </w:t>
      </w:r>
      <w:r w:rsidR="005721E0" w:rsidRPr="00DB7B7F">
        <w:t>w języku C++)</w:t>
      </w:r>
    </w:p>
    <w:p w:rsidR="009E7E0B" w:rsidRPr="00DB7B7F" w:rsidRDefault="00D96093" w:rsidP="00B27B23">
      <w:pPr>
        <w:pStyle w:val="Akapitzlist"/>
        <w:numPr>
          <w:ilvl w:val="0"/>
          <w:numId w:val="5"/>
        </w:numPr>
        <w:jc w:val="both"/>
      </w:pPr>
      <w:r>
        <w:t>Poza węzłami i połą</w:t>
      </w:r>
      <w:r w:rsidR="00B203AC">
        <w:t>czeniami można też definiować startowe komunikaty oraz procesy. Ich konkretne parametry zależą od wymagań modelu. Generalnie k</w:t>
      </w:r>
      <w:r w:rsidR="003D4EDE" w:rsidRPr="00DB7B7F">
        <w:t>ażdy komunikat (przepływająca informacja) w sieci m</w:t>
      </w:r>
      <w:r w:rsidR="00B203AC">
        <w:t>usi mieć zdefiniowanego</w:t>
      </w:r>
      <w:r w:rsidR="003D4EDE" w:rsidRPr="00DB7B7F">
        <w:t xml:space="preserve"> nadawcę i odbiorcę </w:t>
      </w:r>
      <w:r w:rsidR="00B203AC">
        <w:t>albo n</w:t>
      </w:r>
      <w:r>
        <w:t>ume</w:t>
      </w:r>
      <w:r w:rsidR="00B203AC">
        <w:t>r. Używanego połączenia</w:t>
      </w:r>
      <w:r w:rsidR="003D4EDE" w:rsidRPr="00DB7B7F">
        <w:t xml:space="preserve">, </w:t>
      </w:r>
      <w:r w:rsidR="00B203AC">
        <w:t xml:space="preserve">a także </w:t>
      </w:r>
      <w:r w:rsidR="003D4EDE" w:rsidRPr="00DB7B7F">
        <w:t>prędkość</w:t>
      </w:r>
      <w:r w:rsidR="00B203AC">
        <w:t>, i jak wszystkie elementy sceny –</w:t>
      </w:r>
      <w:r w:rsidR="003D4EDE" w:rsidRPr="00DB7B7F">
        <w:t xml:space="preserve"> kolor</w:t>
      </w:r>
      <w:r w:rsidR="00B203AC">
        <w:t>.</w:t>
      </w:r>
      <w:r w:rsidR="009E0F92" w:rsidRPr="00DB7B7F">
        <w:t xml:space="preserve"> </w:t>
      </w:r>
      <w:r w:rsidR="009E7E0B" w:rsidRPr="00DB7B7F">
        <w:t xml:space="preserve">Prędkość komunikatu wpływa na to, jak szybko przejdzie do punktu docelowego, a w związku z tym, jak szybko następny węzeł uruchomi swoje działania w odpowiedzi. </w:t>
      </w:r>
      <w:r w:rsidR="00B203AC">
        <w:t>Proces jest przypisany do konkretnego węzła sieci, a reszta jego parametrów zależy od konkretnego modelu.</w:t>
      </w:r>
    </w:p>
    <w:p w:rsidR="0015366E" w:rsidRDefault="009E7E0B" w:rsidP="00B27B23">
      <w:pPr>
        <w:pStyle w:val="Nagwek2"/>
        <w:jc w:val="both"/>
        <w:rPr>
          <w:rFonts w:asciiTheme="minorHAnsi" w:hAnsiTheme="minorHAnsi"/>
        </w:rPr>
      </w:pPr>
      <w:bookmarkStart w:id="3" w:name="_Toc309134799"/>
      <w:r w:rsidRPr="00DB7B7F">
        <w:rPr>
          <w:rFonts w:asciiTheme="minorHAnsi" w:hAnsiTheme="minorHAnsi"/>
        </w:rPr>
        <w:t>Rola kolorów w modelu</w:t>
      </w:r>
      <w:bookmarkEnd w:id="3"/>
      <w:r w:rsidRPr="00DB7B7F">
        <w:rPr>
          <w:rFonts w:asciiTheme="minorHAnsi" w:hAnsiTheme="minorHAnsi"/>
        </w:rPr>
        <w:t xml:space="preserve"> </w:t>
      </w:r>
    </w:p>
    <w:p w:rsidR="009E7E0B" w:rsidRPr="00DB7B7F" w:rsidRDefault="009E7E0B" w:rsidP="00B27B23">
      <w:pPr>
        <w:pStyle w:val="Tekstpodstawowy"/>
        <w:jc w:val="both"/>
      </w:pPr>
      <w:r w:rsidRPr="00DB7B7F">
        <w:t>W scenie modelu zarówno węzły, linki,</w:t>
      </w:r>
      <w:r w:rsidR="00681AC5">
        <w:t xml:space="preserve"> procesy,</w:t>
      </w:r>
      <w:r w:rsidRPr="00DB7B7F">
        <w:t xml:space="preserve"> jak i komunikaty mają swój „kolor”.</w:t>
      </w:r>
      <w:r w:rsidRPr="00DB7B7F">
        <w:rPr>
          <w:b/>
        </w:rPr>
        <w:t xml:space="preserve"> </w:t>
      </w:r>
      <w:r w:rsidRPr="00DB7B7F">
        <w:t xml:space="preserve">Kolor </w:t>
      </w:r>
      <w:r w:rsidR="00681AC5">
        <w:t>elementu sceny</w:t>
      </w:r>
      <w:r w:rsidRPr="00DB7B7F">
        <w:t xml:space="preserve"> może służyć nie tylko wizualizacji, ale może być używany przez model jako ważny parametr wejściowy. Rozwiązanie takie zostało wprowadzone, aby modelować zachowania zaobserwowane w świecie rzeczywistym – podobieństwo informacji oraz podobieństwo branż ułatwia komunikację i wzajemne zrozumienie. Np. w modelu transferu innowacji poszczególne składowe koloru (z podziałem na bity) mogą oznaczać branże i poddziały nauki i technologii. Np. składowa czerwona </w:t>
      </w:r>
      <w:r w:rsidR="00AE3435" w:rsidRPr="00DB7B7F">
        <w:t>(R)</w:t>
      </w:r>
      <w:r w:rsidRPr="00DB7B7F">
        <w:t xml:space="preserve"> może definiować nauki humanistyczne, składowa zielona (G) nauki biologiczne a składowa niebieska</w:t>
      </w:r>
      <w:r w:rsidR="00AE3435" w:rsidRPr="00DB7B7F">
        <w:t xml:space="preserve"> (B)</w:t>
      </w:r>
      <w:r w:rsidRPr="00DB7B7F">
        <w:t xml:space="preserve"> fizykę i nauki politechniczne. Badani i innowacje z pogranicza będą mieć wtedy kolory mieszane – np. mechanizacja rolnictwa i fizyka medyczna będą mieć jakieś odcienie błękitu (G+B), a zastosowania psychologii w informatyce mogą być w odcieniach fioletu (R+B), a badania z psychologii ewolucyjnej będą w odcieniach żółci (R+G). </w:t>
      </w:r>
    </w:p>
    <w:p w:rsidR="0015366E" w:rsidRDefault="005F7E73" w:rsidP="00B27B23">
      <w:pPr>
        <w:pStyle w:val="Nagwek2"/>
        <w:jc w:val="both"/>
        <w:rPr>
          <w:rFonts w:asciiTheme="minorHAnsi" w:hAnsiTheme="minorHAnsi"/>
        </w:rPr>
      </w:pPr>
      <w:bookmarkStart w:id="4" w:name="_Toc309134800"/>
      <w:r w:rsidRPr="00DB7B7F">
        <w:rPr>
          <w:rFonts w:asciiTheme="minorHAnsi" w:hAnsiTheme="minorHAnsi"/>
        </w:rPr>
        <w:t>Formaty definiowania kolorów RGB</w:t>
      </w:r>
      <w:bookmarkEnd w:id="4"/>
    </w:p>
    <w:p w:rsidR="009E0F92" w:rsidRPr="00DB7B7F" w:rsidRDefault="009E0F92" w:rsidP="00B27B23">
      <w:pPr>
        <w:pStyle w:val="Tekstpodstawowy"/>
        <w:jc w:val="both"/>
      </w:pPr>
      <w:r w:rsidRPr="00DB7B7F">
        <w:rPr>
          <w:b/>
        </w:rPr>
        <w:t xml:space="preserve">Kolor obiektu można wprowadzić za pomocą systemu RGB. </w:t>
      </w:r>
      <w:r w:rsidR="005F7E73" w:rsidRPr="00DB7B7F">
        <w:t xml:space="preserve">Kolor w postaci </w:t>
      </w:r>
      <w:r w:rsidR="005F7E73" w:rsidRPr="00DB7B7F">
        <w:rPr>
          <w:b/>
        </w:rPr>
        <w:t>RGB</w:t>
      </w:r>
      <w:r w:rsidR="005F7E73" w:rsidRPr="00DB7B7F">
        <w:t xml:space="preserve"> składa się z trzech kolorów składowych – czerwonego </w:t>
      </w:r>
      <w:r w:rsidR="005F7E73" w:rsidRPr="00DB7B7F">
        <w:rPr>
          <w:b/>
        </w:rPr>
        <w:t>R</w:t>
      </w:r>
      <w:r w:rsidR="005F7E73" w:rsidRPr="00DB7B7F">
        <w:t xml:space="preserve">(ed), zielonego </w:t>
      </w:r>
      <w:r w:rsidR="005F7E73" w:rsidRPr="00DB7B7F">
        <w:rPr>
          <w:b/>
        </w:rPr>
        <w:t>G</w:t>
      </w:r>
      <w:r w:rsidR="005F7E73" w:rsidRPr="00DB7B7F">
        <w:t xml:space="preserve">(reen) i niebieskiego </w:t>
      </w:r>
      <w:r w:rsidR="005F7E73" w:rsidRPr="00DB7B7F">
        <w:rPr>
          <w:b/>
        </w:rPr>
        <w:t>B</w:t>
      </w:r>
      <w:r w:rsidR="005F7E73" w:rsidRPr="00DB7B7F">
        <w:t>(lue). Każda ze składowych może mieć 8 bitów</w:t>
      </w:r>
      <w:r w:rsidR="005F7E73" w:rsidRPr="00DB7B7F">
        <w:rPr>
          <w:rStyle w:val="Odwoanieprzypisudolnego"/>
        </w:rPr>
        <w:footnoteReference w:id="2"/>
      </w:r>
      <w:r w:rsidRPr="00DB7B7F">
        <w:t>, co oznacza, że mogą mieć różne „nasycenie koloru” – od najmniejszego nasycenia, gdzie kolor będzie zdefiniowany na poziomie 1 bitu, aż po największe – gdzie dany kolor ma przypisaną wartość 8 bitów</w:t>
      </w:r>
      <w:r w:rsidR="005F7E73" w:rsidRPr="00DB7B7F">
        <w:t>.</w:t>
      </w:r>
      <w:r w:rsidR="00072ABB" w:rsidRPr="00DB7B7F">
        <w:t xml:space="preserve"> </w:t>
      </w:r>
    </w:p>
    <w:p w:rsidR="00B27B23" w:rsidRPr="00DB7B7F" w:rsidRDefault="00072ABB" w:rsidP="00B27B23">
      <w:pPr>
        <w:pStyle w:val="Tekstpodstawowy"/>
        <w:jc w:val="both"/>
      </w:pPr>
      <w:r w:rsidRPr="00DB7B7F">
        <w:lastRenderedPageBreak/>
        <w:t xml:space="preserve">Zestawienie trzech składowych </w:t>
      </w:r>
      <w:r w:rsidR="009E0F92" w:rsidRPr="00DB7B7F">
        <w:rPr>
          <w:b/>
        </w:rPr>
        <w:t xml:space="preserve">kolorystycznych, wraz z 8 stopniami nasycenia </w:t>
      </w:r>
      <w:r w:rsidRPr="00DB7B7F">
        <w:t>daje 24-bitową liczbę całkowitą bez znaku</w:t>
      </w:r>
      <w:r w:rsidR="009E0F92" w:rsidRPr="00DB7B7F">
        <w:t>. Z tego powodu</w:t>
      </w:r>
      <w:r w:rsidRPr="00DB7B7F">
        <w:t xml:space="preserve"> większość sposobów kodowania kolorów sprowadza się do różnych sposobów zapisu takiej liczby. Tabela </w:t>
      </w:r>
      <w:r w:rsidR="00B27B23" w:rsidRPr="00DB7B7F">
        <w:t>na kolejnej stroni</w:t>
      </w:r>
      <w:r w:rsidRPr="00DB7B7F">
        <w:t xml:space="preserve"> przedstawia możliwe formaty</w:t>
      </w:r>
      <w:r w:rsidR="00B27B23" w:rsidRPr="00DB7B7F">
        <w:t>.</w:t>
      </w:r>
    </w:p>
    <w:tbl>
      <w:tblPr>
        <w:tblStyle w:val="Kolorowecieniowanieakcent2"/>
        <w:tblW w:w="9322" w:type="dxa"/>
        <w:tblLook w:val="04A0"/>
      </w:tblPr>
      <w:tblGrid>
        <w:gridCol w:w="1116"/>
        <w:gridCol w:w="2247"/>
        <w:gridCol w:w="2247"/>
        <w:gridCol w:w="2247"/>
        <w:gridCol w:w="2247"/>
      </w:tblGrid>
      <w:tr w:rsidR="001F2A3B" w:rsidRPr="00DB7B7F" w:rsidTr="00344DA5">
        <w:trPr>
          <w:cnfStyle w:val="100000000000"/>
        </w:trPr>
        <w:tc>
          <w:tcPr>
            <w:cnfStyle w:val="001000000100"/>
            <w:tcW w:w="1668" w:type="dxa"/>
          </w:tcPr>
          <w:p w:rsidR="00961D5A" w:rsidRPr="00DB7B7F" w:rsidRDefault="00961D5A" w:rsidP="00B27B23">
            <w:pPr>
              <w:jc w:val="both"/>
              <w:rPr>
                <w:sz w:val="24"/>
              </w:rPr>
            </w:pPr>
            <w:r w:rsidRPr="00DB7B7F">
              <w:rPr>
                <w:sz w:val="24"/>
              </w:rPr>
              <w:t>TYP ZAPISU</w:t>
            </w:r>
          </w:p>
        </w:tc>
        <w:tc>
          <w:tcPr>
            <w:tcW w:w="3402" w:type="dxa"/>
          </w:tcPr>
          <w:p w:rsidR="00961D5A" w:rsidRPr="00DB7B7F" w:rsidRDefault="0088659B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OPIS FORMATU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CZARNY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BIAŁY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ZIELONY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Dziesiętny</w:t>
            </w:r>
          </w:p>
        </w:tc>
        <w:tc>
          <w:tcPr>
            <w:tcW w:w="3402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Liczba dziesiętna z zakresu: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0..16777216</w:t>
            </w:r>
          </w:p>
        </w:tc>
        <w:tc>
          <w:tcPr>
            <w:tcW w:w="1417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16777216</w:t>
            </w:r>
          </w:p>
        </w:tc>
        <w:tc>
          <w:tcPr>
            <w:tcW w:w="1417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rFonts w:cs="Arial"/>
                <w:color w:val="000000"/>
                <w:sz w:val="16"/>
                <w:szCs w:val="16"/>
              </w:rPr>
            </w:pPr>
            <w:r w:rsidRPr="00F42C3F">
              <w:rPr>
                <w:rFonts w:cs="Arial"/>
                <w:color w:val="000000"/>
                <w:sz w:val="16"/>
                <w:szCs w:val="16"/>
              </w:rPr>
              <w:t>65281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</w:p>
        </w:tc>
      </w:tr>
      <w:tr w:rsidR="001F2A3B" w:rsidRPr="00DB7B7F" w:rsidTr="00344DA5"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Binarny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literą </w:t>
            </w:r>
            <w:r w:rsidR="000966B9" w:rsidRPr="00F42C3F">
              <w:rPr>
                <w:sz w:val="16"/>
                <w:szCs w:val="16"/>
              </w:rPr>
              <w:t>b</w:t>
            </w:r>
            <w:r w:rsidR="00533565" w:rsidRPr="00F42C3F">
              <w:rPr>
                <w:rStyle w:val="Odwoanieprzypisudolnego"/>
                <w:sz w:val="16"/>
                <w:szCs w:val="16"/>
              </w:rPr>
              <w:footnoteReference w:id="3"/>
            </w:r>
            <w:r w:rsidR="000966B9" w:rsidRPr="00F42C3F">
              <w:rPr>
                <w:sz w:val="16"/>
                <w:szCs w:val="16"/>
              </w:rPr>
              <w:t xml:space="preserve"> </w:t>
            </w:r>
            <w:r w:rsidRPr="00F42C3F">
              <w:rPr>
                <w:sz w:val="16"/>
                <w:szCs w:val="16"/>
              </w:rPr>
              <w:t>32 cyfry 0 lub</w:t>
            </w:r>
            <w:r w:rsidR="000966B9" w:rsidRPr="00F42C3F">
              <w:rPr>
                <w:sz w:val="16"/>
                <w:szCs w:val="16"/>
              </w:rPr>
              <w:t xml:space="preserve"> 1</w:t>
            </w:r>
            <w:r w:rsidRPr="00F42C3F">
              <w:rPr>
                <w:sz w:val="16"/>
                <w:szCs w:val="16"/>
              </w:rPr>
              <w:t>. Np.:</w:t>
            </w:r>
          </w:p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1111</w:t>
            </w:r>
            <w:r w:rsidR="0088659B" w:rsidRPr="00F42C3F">
              <w:rPr>
                <w:sz w:val="16"/>
                <w:szCs w:val="16"/>
              </w:rPr>
              <w:t>00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000</w:t>
            </w:r>
            <w:r w:rsidRPr="00F42C3F">
              <w:rPr>
                <w:sz w:val="16"/>
                <w:szCs w:val="16"/>
              </w:rPr>
              <w:t>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b000000000000000000000000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b111111111111111111111111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b000000001111111100000000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literą x 6 cyfr szesnastkowych czyli ze zbioru: 0,1,2,3,4,5,6,7,8,9,A,B,C,D,E,F. </w:t>
            </w:r>
            <w:r w:rsidR="007B2D12" w:rsidRPr="00F42C3F">
              <w:rPr>
                <w:sz w:val="16"/>
                <w:szCs w:val="16"/>
              </w:rPr>
              <w:t xml:space="preserve">Gdzie pierwsza para cyfr oznacza intensywność składowej R, druga składowej G, trzecia składowej B. </w:t>
            </w:r>
            <w:r w:rsidRPr="00F42C3F">
              <w:rPr>
                <w:sz w:val="16"/>
                <w:szCs w:val="16"/>
              </w:rPr>
              <w:t>Np.</w:t>
            </w:r>
          </w:p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xF</w:t>
            </w:r>
            <w:r w:rsidR="000966B9" w:rsidRPr="00F42C3F">
              <w:rPr>
                <w:sz w:val="16"/>
                <w:szCs w:val="16"/>
              </w:rPr>
              <w:t>F</w:t>
            </w:r>
            <w:r w:rsidRPr="00F42C3F">
              <w:rPr>
                <w:sz w:val="16"/>
                <w:szCs w:val="16"/>
              </w:rPr>
              <w:t>00</w:t>
            </w:r>
            <w:r w:rsidR="000966B9" w:rsidRPr="00F42C3F">
              <w:rPr>
                <w:sz w:val="16"/>
                <w:szCs w:val="16"/>
              </w:rPr>
              <w:t>FF</w:t>
            </w:r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x000000</w:t>
            </w:r>
          </w:p>
        </w:tc>
        <w:tc>
          <w:tcPr>
            <w:tcW w:w="1418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xFFFFFF</w:t>
            </w:r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x00FF00</w:t>
            </w:r>
          </w:p>
        </w:tc>
      </w:tr>
      <w:tr w:rsidR="0088659B" w:rsidRPr="00DB7B7F" w:rsidTr="00344DA5"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 C</w:t>
            </w:r>
          </w:p>
        </w:tc>
        <w:tc>
          <w:tcPr>
            <w:tcW w:w="3402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cyfrą 0 i literą x 6 cyfr szesnastkowych. </w:t>
            </w:r>
            <w:r w:rsidR="007B2D12" w:rsidRPr="00F42C3F">
              <w:rPr>
                <w:sz w:val="16"/>
                <w:szCs w:val="16"/>
              </w:rPr>
              <w:t xml:space="preserve">Reszta jak wyżej. </w:t>
            </w:r>
            <w:r w:rsidRPr="00F42C3F">
              <w:rPr>
                <w:sz w:val="16"/>
                <w:szCs w:val="16"/>
              </w:rPr>
              <w:t>Np.</w:t>
            </w:r>
          </w:p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0xFFAA00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0x000000</w:t>
            </w:r>
          </w:p>
        </w:tc>
        <w:tc>
          <w:tcPr>
            <w:tcW w:w="1418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0xFFFFFF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0x00FF00</w:t>
            </w:r>
          </w:p>
        </w:tc>
      </w:tr>
      <w:tr w:rsidR="0088659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HTML</w:t>
            </w:r>
          </w:p>
        </w:tc>
        <w:tc>
          <w:tcPr>
            <w:tcW w:w="3402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Napis w postaci rgb(NNN,NNN,NNN) gdzie NNN oznacza liczbę dziesiętną z zakresu 0..255 oznaczającą intensywność </w:t>
            </w:r>
            <w:r w:rsidR="00341F71" w:rsidRPr="00F42C3F">
              <w:rPr>
                <w:sz w:val="16"/>
                <w:szCs w:val="16"/>
              </w:rPr>
              <w:t xml:space="preserve">danej </w:t>
            </w:r>
            <w:r w:rsidRPr="00F42C3F">
              <w:rPr>
                <w:sz w:val="16"/>
                <w:szCs w:val="16"/>
              </w:rPr>
              <w:t>składowej. Pierwsza liczba oznacza intensywność składowej R, druga składowej G, trzecia składowej B. Np. rgb(111,255,0)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rgb(0,0,0)</w:t>
            </w:r>
          </w:p>
        </w:tc>
        <w:tc>
          <w:tcPr>
            <w:tcW w:w="1418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rgb(255,255,255)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rgb(0,255,0)</w:t>
            </w:r>
          </w:p>
        </w:tc>
      </w:tr>
    </w:tbl>
    <w:p w:rsidR="009E0F92" w:rsidRPr="00DB7B7F" w:rsidRDefault="007B369F" w:rsidP="00B27B23">
      <w:pPr>
        <w:pStyle w:val="Legenda"/>
        <w:jc w:val="both"/>
      </w:pPr>
      <w:r w:rsidRPr="00DB7B7F">
        <w:t>Tab. 1. Zapis kolorów w systemie RGB.</w:t>
      </w:r>
    </w:p>
    <w:p w:rsidR="0015366E" w:rsidRDefault="00866CB9" w:rsidP="00B27B23">
      <w:pPr>
        <w:pStyle w:val="Nagwek2"/>
        <w:jc w:val="both"/>
        <w:rPr>
          <w:rFonts w:asciiTheme="minorHAnsi" w:hAnsiTheme="minorHAnsi"/>
        </w:rPr>
      </w:pPr>
      <w:bookmarkStart w:id="5" w:name="_Toc309134801"/>
      <w:r w:rsidRPr="00DB7B7F">
        <w:rPr>
          <w:rFonts w:asciiTheme="minorHAnsi" w:hAnsiTheme="minorHAnsi"/>
        </w:rPr>
        <w:t>Możliwe parametry #config</w:t>
      </w:r>
      <w:bookmarkEnd w:id="5"/>
    </w:p>
    <w:p w:rsidR="00097B75" w:rsidRPr="00DB7B7F" w:rsidRDefault="009E0F92" w:rsidP="00B27B23">
      <w:pPr>
        <w:pStyle w:val="Tekstpodstawowy"/>
        <w:jc w:val="both"/>
      </w:pPr>
      <w:r w:rsidRPr="00DB7B7F">
        <w:t>Definiowanie „sceny</w:t>
      </w:r>
      <w:r w:rsidR="00097B75" w:rsidRPr="00DB7B7F">
        <w:t>” zaczynamy od określenia parametrów</w:t>
      </w:r>
      <w:r w:rsidR="00BD5ECF">
        <w:t xml:space="preserve"> </w:t>
      </w:r>
      <w:r w:rsidR="0045671A" w:rsidRPr="00DB7B7F">
        <w:t>–</w:t>
      </w:r>
      <w:r w:rsidR="00BD5ECF">
        <w:t xml:space="preserve"> wartości</w:t>
      </w:r>
      <w:r w:rsidR="0045671A" w:rsidRPr="00DB7B7F">
        <w:t xml:space="preserve"> </w:t>
      </w:r>
      <w:r w:rsidR="0045671A" w:rsidRPr="00DB7B7F">
        <w:rPr>
          <w:b/>
        </w:rPr>
        <w:t>takich, które wpływają na charakter działania całej sceny i dotyczą ustawień ogólnych</w:t>
      </w:r>
      <w:r w:rsidR="00097B75" w:rsidRPr="00DB7B7F">
        <w:t>. W tym celu na początku tabeli są umieszczone parametry konfiguracyjne.</w:t>
      </w:r>
    </w:p>
    <w:p w:rsidR="00E86FE1" w:rsidRPr="00DB7B7F" w:rsidRDefault="00E82963" w:rsidP="00B27B23">
      <w:pPr>
        <w:pStyle w:val="Tekstpodstawowy"/>
        <w:jc w:val="both"/>
      </w:pPr>
      <w:r w:rsidRPr="00DB7B7F">
        <w:t>Parametry konfiguracyjne mogą być przekazywane do modelu na dwa sposoby. Pierwszy to użycie parametrów wywołania programu,</w:t>
      </w:r>
      <w:r w:rsidR="004D3CBB" w:rsidRPr="00DB7B7F">
        <w:t xml:space="preserve"> z linii komend. D</w:t>
      </w:r>
      <w:r w:rsidRPr="00DB7B7F">
        <w:t>rugi to umieszczenie wierszy zaczynających się od #</w:t>
      </w:r>
      <w:r w:rsidRPr="00DB7B7F">
        <w:rPr>
          <w:b/>
        </w:rPr>
        <w:t>config</w:t>
      </w:r>
      <w:r w:rsidRPr="00DB7B7F">
        <w:t xml:space="preserve"> w pliku definicji. </w:t>
      </w:r>
    </w:p>
    <w:p w:rsidR="00657529" w:rsidRPr="00DB7B7F" w:rsidRDefault="00657529" w:rsidP="00B27B23">
      <w:pPr>
        <w:pStyle w:val="Tekstpodstawowy"/>
        <w:jc w:val="both"/>
      </w:pPr>
      <w:r w:rsidRPr="00DB7B7F">
        <w:rPr>
          <w:b/>
        </w:rPr>
        <w:t>Parametry z linii komend</w:t>
      </w:r>
      <w:r w:rsidR="004D3CBB" w:rsidRPr="00DB7B7F">
        <w:t>,</w:t>
      </w:r>
      <w:r w:rsidRPr="00DB7B7F">
        <w:t xml:space="preserve"> wczytywane są na samym początku działania programu,</w:t>
      </w:r>
      <w:r w:rsidR="00AE3435" w:rsidRPr="00DB7B7F">
        <w:t xml:space="preserve"> przy jego wyw</w:t>
      </w:r>
      <w:r w:rsidR="004D3CBB" w:rsidRPr="00DB7B7F">
        <w:t>oływawiu,</w:t>
      </w:r>
      <w:r w:rsidRPr="00DB7B7F">
        <w:t xml:space="preserve"> więc działają jeszcze zanim zostanie wczytany plik danych, co jest istotne zwłaszcza dla parametru </w:t>
      </w:r>
      <w:r w:rsidRPr="00DB7B7F">
        <w:rPr>
          <w:b/>
        </w:rPr>
        <w:t>Verbose</w:t>
      </w:r>
      <w:r w:rsidRPr="00DB7B7F">
        <w:t xml:space="preserve"> (patrz dalej). Parametry podane w pliku danych działają od momentu </w:t>
      </w:r>
      <w:r w:rsidR="0025293B" w:rsidRPr="00DB7B7F">
        <w:t>zanalizowania</w:t>
      </w:r>
      <w:r w:rsidRPr="00DB7B7F">
        <w:t xml:space="preserve"> odpowiedniego wiersza danych</w:t>
      </w:r>
      <w:r w:rsidR="0025293B" w:rsidRPr="00DB7B7F">
        <w:t xml:space="preserve"> (ale już po wc</w:t>
      </w:r>
      <w:r w:rsidR="00AE3435" w:rsidRPr="00DB7B7F">
        <w:t>zytaniu całego pliku do pamięci</w:t>
      </w:r>
      <w:r w:rsidR="0025293B" w:rsidRPr="00DB7B7F">
        <w:t xml:space="preserve">), więc lepiej żeby znajdowały się w pierwszych wierszach pliku danych. </w:t>
      </w:r>
      <w:r w:rsidR="00BC365F" w:rsidRPr="00DB7B7F">
        <w:t>Wynika z tego że p</w:t>
      </w:r>
      <w:r w:rsidR="0025293B" w:rsidRPr="00DB7B7F">
        <w:t xml:space="preserve">arametr </w:t>
      </w:r>
      <w:r w:rsidR="0025293B" w:rsidRPr="00DB7B7F">
        <w:rPr>
          <w:b/>
        </w:rPr>
        <w:t>Verbose</w:t>
      </w:r>
      <w:r w:rsidR="0025293B" w:rsidRPr="00DB7B7F">
        <w:t xml:space="preserve"> w odniesieniu do wczytywania danych jest nieskuteczny gdy się go </w:t>
      </w:r>
      <w:r w:rsidR="0025293B" w:rsidRPr="00DB7B7F">
        <w:lastRenderedPageBreak/>
        <w:t>umieści wewnątrz pliku danych</w:t>
      </w:r>
      <w:r w:rsidR="00BC365F" w:rsidRPr="00DB7B7F">
        <w:t>, a parametry umieszczone w pliku danych zmieniają wartości podane w linii wywołania programu.</w:t>
      </w:r>
    </w:p>
    <w:p w:rsidR="0025293B" w:rsidRPr="00DB7B7F" w:rsidRDefault="0025293B" w:rsidP="00B27B23">
      <w:pPr>
        <w:pStyle w:val="Tekstpodstawowy"/>
        <w:jc w:val="both"/>
      </w:pPr>
      <w:r w:rsidRPr="00DB7B7F">
        <w:t xml:space="preserve">Przekazywanie parametrów z linii komend polega na wpisaniu jako parametr wywołania nazwy parametru modelu, znaku </w:t>
      </w:r>
      <w:r w:rsidRPr="00DB7B7F">
        <w:rPr>
          <w:b/>
        </w:rPr>
        <w:t>=</w:t>
      </w:r>
      <w:r w:rsidRPr="00DB7B7F">
        <w:t xml:space="preserve"> i wartości parametru bez umieszczania odstępów wokół znaku </w:t>
      </w:r>
      <w:r w:rsidRPr="00DB7B7F">
        <w:rPr>
          <w:b/>
        </w:rPr>
        <w:t>=</w:t>
      </w:r>
      <w:r w:rsidRPr="00DB7B7F">
        <w:t xml:space="preserve">. Nazwa pliku danych jest jedynym parametrem który nie może zawierać znaku </w:t>
      </w:r>
      <w:r w:rsidRPr="00DB7B7F">
        <w:rPr>
          <w:b/>
        </w:rPr>
        <w:t>=</w:t>
      </w:r>
      <w:r w:rsidRPr="00DB7B7F">
        <w:t>.</w:t>
      </w:r>
      <w:r w:rsidR="00DA49A2">
        <w:t xml:space="preserve"> </w:t>
      </w:r>
    </w:p>
    <w:p w:rsidR="00B27B23" w:rsidRPr="00DB7B7F" w:rsidRDefault="0025293B" w:rsidP="00B27B23">
      <w:pPr>
        <w:pStyle w:val="Tekstpodstawowy"/>
        <w:jc w:val="both"/>
      </w:pPr>
      <w:r w:rsidRPr="00DB7B7F">
        <w:t>Przykładowe wywołanie programu z linii komend może wyglądać następująco:</w:t>
      </w:r>
    </w:p>
    <w:p w:rsidR="0025293B" w:rsidRPr="00DB7B7F" w:rsidRDefault="0025293B" w:rsidP="00B27B23">
      <w:pPr>
        <w:pStyle w:val="Tekstpodstawowy"/>
        <w:jc w:val="both"/>
        <w:rPr>
          <w:rStyle w:val="Wyrnienieintensywne"/>
          <w:b w:val="0"/>
          <w:bCs w:val="0"/>
          <w:i w:val="0"/>
          <w:iCs w:val="0"/>
          <w:color w:val="auto"/>
          <w:lang w:val="en-US"/>
        </w:rPr>
      </w:pPr>
      <w:r w:rsidRPr="00DB7B7F">
        <w:rPr>
          <w:rStyle w:val="Wyrnienieintensywne"/>
          <w:lang w:val="en-US"/>
        </w:rPr>
        <w:t>C:\test\&gt; Model.exe  Verbose=2  Vertical=800  test.dat</w:t>
      </w:r>
    </w:p>
    <w:p w:rsidR="00B27B23" w:rsidRPr="00DB7B7F" w:rsidRDefault="00BC365F" w:rsidP="00B27B23">
      <w:pPr>
        <w:pStyle w:val="Tekstpodstawowy"/>
        <w:jc w:val="both"/>
      </w:pPr>
      <w:r w:rsidRPr="00DB7B7F">
        <w:t>Przekazywanie parametrów w pliku danych polega na wstawieniu do pliku wierszy</w:t>
      </w:r>
      <w:r w:rsidR="00DA49A2">
        <w:t>,</w:t>
      </w:r>
      <w:r w:rsidRPr="00DB7B7F">
        <w:t xml:space="preserve"> </w:t>
      </w:r>
      <w:r w:rsidR="003639CD" w:rsidRPr="00DB7B7F">
        <w:t xml:space="preserve">w których pierwsza komórka zawiera napis </w:t>
      </w:r>
      <w:r w:rsidR="003639CD" w:rsidRPr="00DB7B7F">
        <w:rPr>
          <w:b/>
        </w:rPr>
        <w:t>#config</w:t>
      </w:r>
      <w:r w:rsidR="003639CD" w:rsidRPr="00DB7B7F">
        <w:t>, druga zawiera nazwę parametru, a trzecia jego wartość. Przykład pokazano poniżej:</w:t>
      </w:r>
    </w:p>
    <w:p w:rsidR="0040103F" w:rsidRPr="00DB7B7F" w:rsidRDefault="0040103F" w:rsidP="00B27B23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78500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7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23" w:rsidRPr="00DB7B7F" w:rsidRDefault="0040103F" w:rsidP="00B27B23">
      <w:pPr>
        <w:pStyle w:val="Legenda"/>
        <w:jc w:val="both"/>
      </w:pPr>
      <w:r w:rsidRPr="00DB7B7F">
        <w:t xml:space="preserve">Rysunek </w:t>
      </w:r>
      <w:r w:rsidR="008C524E" w:rsidRPr="00DB7B7F">
        <w:fldChar w:fldCharType="begin"/>
      </w:r>
      <w:r w:rsidR="001A0F49" w:rsidRPr="00DB7B7F">
        <w:instrText xml:space="preserve"> SEQ Rysunek \* ARABIC </w:instrText>
      </w:r>
      <w:r w:rsidR="008C524E" w:rsidRPr="00DB7B7F">
        <w:fldChar w:fldCharType="separate"/>
      </w:r>
      <w:r w:rsidR="00002029">
        <w:rPr>
          <w:noProof/>
        </w:rPr>
        <w:t>3</w:t>
      </w:r>
      <w:r w:rsidR="008C524E" w:rsidRPr="00DB7B7F">
        <w:fldChar w:fldCharType="end"/>
      </w:r>
      <w:r w:rsidRPr="00DB7B7F">
        <w:t>: Początkowy fragment przykładowego pliku danych zawierający linie konfigurujące wysokość, szerokość sceny i domyślny promień węzła.</w:t>
      </w:r>
    </w:p>
    <w:p w:rsidR="0015366E" w:rsidRDefault="00BC365F" w:rsidP="00B27B23">
      <w:pPr>
        <w:pStyle w:val="Nagwek3"/>
        <w:jc w:val="both"/>
        <w:rPr>
          <w:rFonts w:asciiTheme="minorHAnsi" w:hAnsiTheme="minorHAnsi" w:cs="Arial"/>
          <w:sz w:val="20"/>
        </w:rPr>
      </w:pPr>
      <w:bookmarkStart w:id="6" w:name="_Toc309134802"/>
      <w:r w:rsidRPr="00DB7B7F">
        <w:rPr>
          <w:rFonts w:asciiTheme="minorHAnsi" w:hAnsiTheme="minorHAnsi"/>
        </w:rPr>
        <w:t>Lista możliwych parametrów</w:t>
      </w:r>
      <w:bookmarkEnd w:id="6"/>
    </w:p>
    <w:p w:rsidR="00866CB9" w:rsidRPr="00DB7B7F" w:rsidRDefault="00866CB9" w:rsidP="00B27B23">
      <w:pPr>
        <w:pStyle w:val="Tekstpodstawowy"/>
        <w:jc w:val="both"/>
      </w:pPr>
      <w:r w:rsidRPr="00DB7B7F">
        <w:t>W tej chwili zdefiniowano nastę</w:t>
      </w:r>
      <w:r w:rsidR="00341F71" w:rsidRPr="00DB7B7F">
        <w:t>pujące parametry konfiguracyjne (wielkość liter w nazwach nie ma znaczenia):</w:t>
      </w:r>
    </w:p>
    <w:p w:rsidR="00866CB9" w:rsidRPr="00DB7B7F" w:rsidRDefault="003351A7" w:rsidP="00B27B23">
      <w:pPr>
        <w:tabs>
          <w:tab w:val="left" w:pos="1701"/>
        </w:tabs>
        <w:jc w:val="both"/>
      </w:pPr>
      <w:r w:rsidRPr="00DB7B7F">
        <w:rPr>
          <w:b/>
        </w:rPr>
        <w:t>Horizontal</w:t>
      </w:r>
      <w:r w:rsidR="004D3CBB" w:rsidRPr="00DB7B7F">
        <w:tab/>
      </w:r>
      <w:r w:rsidRPr="00DB7B7F">
        <w:t>Szerokość sceny. Domyślna wartość wynosi 800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jc w:val="both"/>
      </w:pPr>
      <w:r w:rsidRPr="00DB7B7F">
        <w:rPr>
          <w:b/>
        </w:rPr>
        <w:t>Vertical</w:t>
      </w:r>
      <w:r w:rsidR="00E82963" w:rsidRPr="00DB7B7F">
        <w:tab/>
      </w:r>
      <w:r w:rsidRPr="00DB7B7F">
        <w:t>Wysokość sceny. Domyślna wartość wynosi 600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ind w:left="1701" w:hanging="1701"/>
        <w:jc w:val="both"/>
      </w:pPr>
      <w:r w:rsidRPr="00DB7B7F">
        <w:rPr>
          <w:b/>
        </w:rPr>
        <w:t>Radius</w:t>
      </w:r>
      <w:r w:rsidRPr="00DB7B7F">
        <w:tab/>
        <w:t>Podstawowy promień węzła. Domyślna wartość wynosi 1% wartości Vertical</w:t>
      </w:r>
      <w:r w:rsidR="00B27B23" w:rsidRPr="00DB7B7F">
        <w:t>.</w:t>
      </w:r>
    </w:p>
    <w:p w:rsidR="0045671A" w:rsidRPr="00DB7B7F" w:rsidRDefault="00E82963" w:rsidP="00B27B23">
      <w:pPr>
        <w:tabs>
          <w:tab w:val="left" w:pos="1701"/>
        </w:tabs>
        <w:ind w:left="1695" w:hanging="1695"/>
        <w:jc w:val="both"/>
      </w:pPr>
      <w:r w:rsidRPr="00DB7B7F">
        <w:rPr>
          <w:b/>
        </w:rPr>
        <w:t>Verbose</w:t>
      </w:r>
      <w:r w:rsidRPr="00DB7B7F">
        <w:tab/>
      </w:r>
      <w:r w:rsidR="00AE3435" w:rsidRPr="00DB7B7F">
        <w:t>Ilość informacji zawartych w raportowaniu</w:t>
      </w:r>
      <w:r w:rsidR="00BC365F" w:rsidRPr="00DB7B7F">
        <w:t xml:space="preserve"> programu</w:t>
      </w:r>
      <w:r w:rsidRPr="00DB7B7F">
        <w:t xml:space="preserve"> przy wczytywani</w:t>
      </w:r>
      <w:r w:rsidR="00297DD1" w:rsidRPr="00DB7B7F">
        <w:t xml:space="preserve">u pliku danych. 0 oznacza brak </w:t>
      </w:r>
      <w:r w:rsidR="00AE3435" w:rsidRPr="00DB7B7F">
        <w:t>i</w:t>
      </w:r>
      <w:r w:rsidRPr="00DB7B7F">
        <w:t xml:space="preserve">nformacji, chyba że nastąpi błąd, </w:t>
      </w:r>
      <w:r w:rsidR="00341F71" w:rsidRPr="00DB7B7F">
        <w:t xml:space="preserve">natomiast </w:t>
      </w:r>
      <w:r w:rsidR="00BC365F" w:rsidRPr="00DB7B7F">
        <w:t xml:space="preserve">wartości </w:t>
      </w:r>
      <w:r w:rsidRPr="00DB7B7F">
        <w:t>3 i więcej oznacza</w:t>
      </w:r>
      <w:r w:rsidR="00BC365F" w:rsidRPr="00DB7B7F">
        <w:t>ją</w:t>
      </w:r>
      <w:r w:rsidRPr="00DB7B7F">
        <w:t xml:space="preserve"> bardzo </w:t>
      </w:r>
      <w:r w:rsidR="00297DD1" w:rsidRPr="00DB7B7F">
        <w:t>szczegółową</w:t>
      </w:r>
      <w:r w:rsidRPr="00DB7B7F">
        <w:t xml:space="preserve"> informacje, prz</w:t>
      </w:r>
      <w:r w:rsidR="00297DD1" w:rsidRPr="00DB7B7F">
        <w:t>ydatną przy znajdowaniu rzadkich</w:t>
      </w:r>
      <w:r w:rsidRPr="00DB7B7F">
        <w:t xml:space="preserve"> błędów w tabeli definicji. </w:t>
      </w:r>
      <w:r w:rsidR="004D3CBB" w:rsidRPr="00DB7B7F">
        <w:br/>
      </w:r>
      <w:r w:rsidR="004D3CBB" w:rsidRPr="00DB7B7F">
        <w:rPr>
          <w:b/>
        </w:rPr>
        <w:t>U</w:t>
      </w:r>
      <w:r w:rsidR="00BC365F" w:rsidRPr="00DB7B7F">
        <w:rPr>
          <w:b/>
        </w:rPr>
        <w:t>WAGA!</w:t>
      </w:r>
      <w:r w:rsidR="00BC365F" w:rsidRPr="00DB7B7F">
        <w:t xml:space="preserve"> </w:t>
      </w:r>
      <w:r w:rsidRPr="00DB7B7F">
        <w:t>Parametr ten nie działa jako element pliku danych</w:t>
      </w:r>
      <w:r w:rsidR="00BC365F" w:rsidRPr="00DB7B7F">
        <w:t>,</w:t>
      </w:r>
      <w:r w:rsidRPr="00DB7B7F">
        <w:t xml:space="preserve"> a jedynie z lini</w:t>
      </w:r>
      <w:r w:rsidR="00BC365F" w:rsidRPr="00DB7B7F">
        <w:t>i</w:t>
      </w:r>
      <w:r w:rsidR="00B27B23" w:rsidRPr="00DB7B7F">
        <w:t xml:space="preserve"> komend.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Maxmessgage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Parametr określający wielkość tablicy, czyli ilość miejsca na komunikaty. Można zwiększyć tablicę która przechowuje komunikaty, poprzez zwiększenie tego parametru (podstawowa wartość to 10000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718D" w:rsidP="00B27B23">
      <w:pPr>
        <w:tabs>
          <w:tab w:val="left" w:pos="1701"/>
        </w:tabs>
        <w:ind w:left="1701" w:hanging="1701"/>
        <w:jc w:val="both"/>
        <w:rPr>
          <w:rFonts w:cs="Arial"/>
          <w:color w:val="000000"/>
          <w:szCs w:val="18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Tolerant</w:t>
      </w:r>
      <w:r w:rsidR="00297DD1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Gdy wartość wynosi 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program akceptuje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pliki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danych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 błędn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ie zdefiniowanymi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obiektami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tylko informując które są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błędne i wyświetlając listę błędów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Można też w ten sposób łatwo na chwilę wyłączyć jakiś węzeł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lastRenderedPageBreak/>
        <w:t>i zobaczyć działanie tego samego modelu bez niego, nie ingerując w konstrukcje całe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j sceny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(nie zmieniając linków, procesów etc.)</w:t>
      </w:r>
      <w:r w:rsidR="00B27B23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Log.level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Wartość domyślna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wynosi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-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określa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poziom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zapisywania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zachowań obiektów do pliku _LastExpDetailedLog.log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oraz na konsole tekstową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Im wyższy poziom tym więcej komunikatów, mniej istotnych, pojawia się pliku zachowań.</w:t>
      </w:r>
    </w:p>
    <w:p w:rsidR="0015366E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Generic.leaks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Określa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współczynnik powtarzania się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plotek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komunikatów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przesyłanych w systemie po sieci społecznej.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UWAGA!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nie może być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 duży bo następuje eksplozja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komunikaty przeciążają pamięć programu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). Ten parametr w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pływa też na częstotliwość prezentacji wyników badań przez naukowców, choć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zależność ta jest nieliniowa, zależna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od zaawansowania projektu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z większą częstotliwością prezentacja następuje po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 koniec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trwania badań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45671A" w:rsidP="00B27B23">
      <w:pPr>
        <w:pStyle w:val="Nagwek2"/>
        <w:jc w:val="both"/>
        <w:rPr>
          <w:rFonts w:asciiTheme="minorHAnsi" w:hAnsiTheme="minorHAnsi"/>
        </w:rPr>
      </w:pPr>
      <w:bookmarkStart w:id="7" w:name="_Toc309134803"/>
      <w:r w:rsidRPr="00DB7B7F">
        <w:rPr>
          <w:rFonts w:asciiTheme="minorHAnsi" w:hAnsiTheme="minorHAnsi"/>
        </w:rPr>
        <w:t>Parametry</w:t>
      </w:r>
      <w:r w:rsidR="00097B75" w:rsidRPr="00DB7B7F">
        <w:rPr>
          <w:rFonts w:asciiTheme="minorHAnsi" w:hAnsiTheme="minorHAnsi"/>
        </w:rPr>
        <w:t xml:space="preserve"> węzłów</w:t>
      </w:r>
      <w:r w:rsidR="004D3CBB" w:rsidRPr="00DB7B7F">
        <w:rPr>
          <w:rFonts w:asciiTheme="minorHAnsi" w:hAnsiTheme="minorHAnsi"/>
        </w:rPr>
        <w:t xml:space="preserve"> (agentów)</w:t>
      </w:r>
      <w:bookmarkEnd w:id="7"/>
    </w:p>
    <w:p w:rsidR="00305F7A" w:rsidRPr="00305F7A" w:rsidRDefault="0045671A" w:rsidP="00B27B23">
      <w:pPr>
        <w:pStyle w:val="Tekstpodstawowy"/>
        <w:jc w:val="both"/>
        <w:rPr>
          <w:b/>
        </w:rPr>
      </w:pPr>
      <w:r w:rsidRPr="00DB7B7F">
        <w:t xml:space="preserve">Węzły występujące w modelu (pełniące funkcję </w:t>
      </w:r>
      <w:r w:rsidR="004D3CBB" w:rsidRPr="00DB7B7F">
        <w:t>agentów</w:t>
      </w:r>
      <w:r w:rsidRPr="00DB7B7F">
        <w:t xml:space="preserve"> w sieci powiązań) powinny być zdefiniowane ze względu na główne czynniki, które je charakteryzują.</w:t>
      </w:r>
      <w:r w:rsidRPr="00DB7B7F">
        <w:rPr>
          <w:b/>
        </w:rPr>
        <w:t xml:space="preserve"> </w:t>
      </w:r>
      <w:r w:rsidRPr="00DB7B7F">
        <w:t>Każdy węzeł sieci musi mieć zdefiniowane war</w:t>
      </w:r>
      <w:r w:rsidR="00DA49A2">
        <w:t>tości w co najmniej 8 kolumnach (dla zdefiniowanych dla konkretnego modelu typów wymagana liczba parametrów może być większa!).</w:t>
      </w:r>
      <w:r w:rsidRPr="00DB7B7F">
        <w:t xml:space="preserve"> Najważniejsze z nich, to oprócz typu węzła i nazwy</w:t>
      </w:r>
      <w:r w:rsidR="00DA49A2">
        <w:t>, to rodzaj kształtu widocznego</w:t>
      </w:r>
      <w:r w:rsidRPr="00DB7B7F">
        <w:t xml:space="preserve"> podczas symulacji w programie, </w:t>
      </w:r>
      <w:r w:rsidR="00DA49A2">
        <w:t>jak</w:t>
      </w:r>
      <w:r w:rsidRPr="00DB7B7F">
        <w:t xml:space="preserve"> również waga (istotność danego węzła), kolor (zdefiniowanie branży, do której należy), miejsce </w:t>
      </w:r>
      <w:r w:rsidR="003412E2">
        <w:t>położenia na scenie</w:t>
      </w:r>
      <w:r w:rsidRPr="00DB7B7F">
        <w:t xml:space="preserve"> (przedstawione za pomocą parametrów geometrii euklidesowej: szerokości – X i wysokości Y) a także wskaźnik Z</w:t>
      </w:r>
      <w:r w:rsidR="00A23FCB" w:rsidRPr="00DB7B7F">
        <w:rPr>
          <w:b/>
        </w:rPr>
        <w:t xml:space="preserve">, </w:t>
      </w:r>
      <w:r w:rsidR="00A23FCB" w:rsidRPr="00DB7B7F">
        <w:t xml:space="preserve">który oznacza kolejność wyświetlania </w:t>
      </w:r>
      <w:r w:rsidR="003412E2">
        <w:t xml:space="preserve">(zasłanianie) </w:t>
      </w:r>
      <w:r w:rsidR="00A23FCB" w:rsidRPr="00DB7B7F">
        <w:t xml:space="preserve">w wizualizacji, która jest </w:t>
      </w:r>
      <w:r w:rsidR="003412E2">
        <w:t xml:space="preserve">generalnie </w:t>
      </w:r>
      <w:r w:rsidR="00A23FCB" w:rsidRPr="00DB7B7F">
        <w:t>dwuwymiarowa.</w:t>
      </w:r>
      <w:r w:rsidRPr="00DB7B7F">
        <w:rPr>
          <w:b/>
        </w:rPr>
        <w:t xml:space="preserve"> </w:t>
      </w:r>
    </w:p>
    <w:p w:rsidR="0015366E" w:rsidRDefault="0045671A" w:rsidP="00B27B23">
      <w:pPr>
        <w:pStyle w:val="Nagwek5"/>
        <w:jc w:val="both"/>
        <w:rPr>
          <w:rFonts w:asciiTheme="minorHAnsi" w:hAnsiTheme="minorHAnsi"/>
        </w:rPr>
      </w:pPr>
      <w:r w:rsidRPr="00DB7B7F">
        <w:rPr>
          <w:rFonts w:asciiTheme="minorHAnsi" w:hAnsiTheme="minorHAnsi"/>
        </w:rPr>
        <w:t>Wspomniane elementy przedstawiono w tabeli poniżej:</w:t>
      </w:r>
    </w:p>
    <w:p w:rsidR="00CF559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372460" cy="1138687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05" r="6739" b="2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4. Podstawowe parametry węzłów.</w:t>
      </w:r>
    </w:p>
    <w:p w:rsidR="00A23FCB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węzła musi zawierać w nazwie typu rdzeń </w:t>
      </w:r>
      <w:r w:rsidRPr="00DB7B7F">
        <w:rPr>
          <w:b/>
        </w:rPr>
        <w:t>node</w:t>
      </w:r>
      <w:r w:rsidR="00A23FCB" w:rsidRPr="00DB7B7F">
        <w:t xml:space="preserve">. Dostępne typy </w:t>
      </w:r>
      <w:r w:rsidR="00947540" w:rsidRPr="00DB7B7F">
        <w:t>węzłów, wraz z charakterystycznym</w:t>
      </w:r>
      <w:r w:rsidR="00D72F02" w:rsidRPr="00DB7B7F">
        <w:t>i</w:t>
      </w:r>
      <w:r w:rsidR="00947540" w:rsidRPr="00DB7B7F">
        <w:t xml:space="preserve"> dla niego parametrami znajduje się poniżej.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2 (B) – zawiera </w:t>
      </w:r>
      <w:r w:rsidRPr="00DB7B7F">
        <w:rPr>
          <w:b/>
        </w:rPr>
        <w:t>indywidualną nazwę węzła</w:t>
      </w:r>
      <w:r w:rsidRPr="00DB7B7F">
        <w:t xml:space="preserve">, lepiej niezbyt długą, bo nazwy węzłów są też używane do definiowania połączeń. Wielkość liter w nazwie nie ma </w:t>
      </w:r>
      <w:r w:rsidRPr="00DB7B7F">
        <w:lastRenderedPageBreak/>
        <w:t xml:space="preserve">znaczenia, tzn. że </w:t>
      </w:r>
      <w:r w:rsidRPr="00DB7B7F">
        <w:rPr>
          <w:b/>
        </w:rPr>
        <w:t>tożsame są</w:t>
      </w:r>
      <w:r w:rsidRPr="00DB7B7F">
        <w:t xml:space="preserve"> następujące nazwy: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 itd.. Należy też zwrócić uwagę by nazwa nie zawierała odstępów na początku i na końcu bo może być to źródłem trudnych do wyplenienia błędów w definicji sieci. Także odstępy w środku nie są najlepszym pomysłem, bo ludzkiemu czytelnikowi często trudno odróżnić czy w danym miejscu jest jeden znak odstępu czy więcej.</w:t>
      </w:r>
    </w:p>
    <w:p w:rsidR="00097B75" w:rsidRPr="00DB7B7F" w:rsidRDefault="00297DD1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3 (C) </w:t>
      </w:r>
      <w:r w:rsidR="00097B75" w:rsidRPr="00DB7B7F">
        <w:t xml:space="preserve">– zawiera </w:t>
      </w:r>
      <w:r w:rsidR="00097B75" w:rsidRPr="00DB7B7F">
        <w:rPr>
          <w:b/>
        </w:rPr>
        <w:t>informacje o wizualizacji</w:t>
      </w:r>
      <w:r w:rsidR="00097B75" w:rsidRPr="00DB7B7F">
        <w:t xml:space="preserve">. W przypadku typu </w:t>
      </w:r>
      <w:r w:rsidR="00097B75" w:rsidRPr="00DB7B7F">
        <w:rPr>
          <w:b/>
        </w:rPr>
        <w:t>gennode</w:t>
      </w:r>
      <w:r w:rsidR="00097B75" w:rsidRPr="00DB7B7F">
        <w:t xml:space="preserve"> wizualizacja jest wielokątem, więc liczba w tej komórce oznacza liczbę boków wielokąta foremnego, a nazwa oznacza nazwany kształt z zestawu domyślnego lub z pliku o rozszerzeniu .</w:t>
      </w:r>
      <w:r w:rsidR="00097B75" w:rsidRPr="00DB7B7F">
        <w:rPr>
          <w:b/>
        </w:rPr>
        <w:t>plg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węzła</w:t>
      </w:r>
      <w:r w:rsidRPr="00DB7B7F">
        <w:t xml:space="preserve">, która wraz z globalnym parametrem domyślnego promienia węzła wpływa na jego wielkość. Waga węzła </w:t>
      </w:r>
      <w:r w:rsidRPr="00DB7B7F">
        <w:rPr>
          <w:b/>
        </w:rPr>
        <w:t>może być</w:t>
      </w:r>
      <w:r w:rsidRPr="00DB7B7F">
        <w:t xml:space="preserve"> większa niż 1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5 (E) – zawiera domyślny </w:t>
      </w:r>
      <w:r w:rsidRPr="00DB7B7F">
        <w:rPr>
          <w:b/>
        </w:rPr>
        <w:t>kolor węzła</w:t>
      </w:r>
      <w:r w:rsidRPr="00DB7B7F">
        <w:t xml:space="preserve"> definiowany ze składowych RGB. Kolor można zapisywać w kilku różnych formatach, w tym w zapożyczonym z HTML formacie </w:t>
      </w:r>
      <w:r w:rsidRPr="00DB7B7F">
        <w:rPr>
          <w:b/>
          <w:i/>
        </w:rPr>
        <w:t>RGB(255,255,255)</w:t>
      </w:r>
      <w:r w:rsidRPr="00DB7B7F">
        <w:t xml:space="preserve"> oraz zapożyczonym z języka C formacie heksadecymalnym </w:t>
      </w:r>
      <w:r w:rsidRPr="00DB7B7F">
        <w:rPr>
          <w:b/>
          <w:i/>
        </w:rPr>
        <w:t>0xFFFFFF</w:t>
      </w:r>
      <w:r w:rsidRPr="00DB7B7F">
        <w:t xml:space="preserve"> i w formacie binarnym </w:t>
      </w:r>
      <w:r w:rsidRPr="00DB7B7F">
        <w:rPr>
          <w:b/>
          <w:i/>
        </w:rPr>
        <w:t>b111111111111111111111111</w:t>
      </w:r>
      <w:r w:rsidRPr="00DB7B7F">
        <w:t xml:space="preserve">. 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6 (F) – zawiera współrzędną </w:t>
      </w:r>
      <w:r w:rsidRPr="00DB7B7F">
        <w:rPr>
          <w:b/>
        </w:rPr>
        <w:t>X</w:t>
      </w:r>
      <w:r w:rsidRPr="00DB7B7F">
        <w:t xml:space="preserve"> domyślnego położenia węzła jako dowolną liczbę dodatnią.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7 (G) – zawiera współrzędną </w:t>
      </w:r>
      <w:r w:rsidRPr="00DB7B7F">
        <w:rPr>
          <w:b/>
        </w:rPr>
        <w:t>Y</w:t>
      </w:r>
      <w:r w:rsidRPr="00DB7B7F">
        <w:t xml:space="preserve"> domyślnego położenia węzła jako dowolną liczbę dodatnią (&gt;0).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8 (H) – zawiera współrzędną </w:t>
      </w:r>
      <w:r w:rsidRPr="00DB7B7F">
        <w:rPr>
          <w:b/>
        </w:rPr>
        <w:t>Z</w:t>
      </w:r>
      <w:r w:rsidRPr="00DB7B7F">
        <w:t>, czyli wysokość domyślnego</w:t>
      </w:r>
      <w:r w:rsidR="00297DD1" w:rsidRPr="00DB7B7F">
        <w:t xml:space="preserve"> położenia węzła.</w:t>
      </w:r>
      <w:r w:rsidRPr="00DB7B7F">
        <w:t xml:space="preserve"> Może być dowolną liczbę, ale nie 0. Im większa liczba, tym bardziej na wierzchu rysowany jest węzeł. Zalecane jest stosowanie niewielkich liczb całkowitych – łatwiej się wtedy ludzkim czytelnikom danych sceny, w tym twórcy, znaleźć ewentualne błędy</w:t>
      </w:r>
      <w:r w:rsidR="00011A13" w:rsidRPr="00DB7B7F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Dalsze kolumny w dowolnej ilości stanowią dane, których znaczenie zależy od konkretnego </w:t>
      </w:r>
      <w:r w:rsidR="009D28A9" w:rsidRPr="00DB7B7F">
        <w:t>typu węzła</w:t>
      </w:r>
      <w:r w:rsidRPr="00DB7B7F">
        <w:t>.</w:t>
      </w:r>
      <w:r w:rsidR="00327796" w:rsidRPr="00DB7B7F">
        <w:t xml:space="preserve"> Opis parametrów </w:t>
      </w:r>
      <w:r w:rsidR="00947540" w:rsidRPr="00DB7B7F">
        <w:t>przyporządkowanych do danego typu węzła znajduje się poniżej.</w:t>
      </w:r>
      <w:r w:rsidR="00327796" w:rsidRPr="00DB7B7F">
        <w:t xml:space="preserve"> </w:t>
      </w:r>
      <w:r w:rsidRPr="00DB7B7F">
        <w:t>P</w:t>
      </w:r>
      <w:r w:rsidR="00327796" w:rsidRPr="00DB7B7F">
        <w:t xml:space="preserve">rogram może je </w:t>
      </w:r>
      <w:r w:rsidRPr="00DB7B7F">
        <w:t>wyświetlać zamiast, albo obok nazwy węzła.</w:t>
      </w:r>
    </w:p>
    <w:p w:rsidR="0015366E" w:rsidRDefault="009D28A9" w:rsidP="00B27B23">
      <w:pPr>
        <w:pStyle w:val="Nagwek2"/>
        <w:jc w:val="both"/>
        <w:rPr>
          <w:rFonts w:asciiTheme="minorHAnsi" w:hAnsiTheme="minorHAnsi"/>
        </w:rPr>
      </w:pPr>
      <w:bookmarkStart w:id="8" w:name="_Toc309134804"/>
      <w:r w:rsidRPr="00DB7B7F">
        <w:rPr>
          <w:rFonts w:asciiTheme="minorHAnsi" w:hAnsiTheme="minorHAnsi"/>
        </w:rPr>
        <w:t xml:space="preserve">Typy węzłów </w:t>
      </w:r>
      <w:r w:rsidR="003412E2">
        <w:rPr>
          <w:rFonts w:asciiTheme="minorHAnsi" w:hAnsiTheme="minorHAnsi"/>
        </w:rPr>
        <w:t xml:space="preserve">w modelu transferu technologii </w:t>
      </w:r>
      <w:r w:rsidRPr="00DB7B7F">
        <w:rPr>
          <w:rFonts w:asciiTheme="minorHAnsi" w:hAnsiTheme="minorHAnsi"/>
        </w:rPr>
        <w:t>i ich szczegółowe parametry</w:t>
      </w:r>
      <w:bookmarkEnd w:id="8"/>
    </w:p>
    <w:p w:rsidR="0015366E" w:rsidRDefault="00EC5639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 xml:space="preserve">Metawęzły </w:t>
      </w:r>
      <w:r w:rsidRPr="00DB7B7F">
        <w:t>– do metawęzłów w modelu TT należą: rynek, publikator i urząd patentowy</w:t>
      </w:r>
      <w:r w:rsidR="00BB49A4" w:rsidRPr="00DB7B7F">
        <w:t>. Są to</w:t>
      </w:r>
      <w:r w:rsidR="00D56222" w:rsidRPr="00DB7B7F">
        <w:t xml:space="preserve"> </w:t>
      </w:r>
      <w:r w:rsidR="00BB49A4" w:rsidRPr="00DB7B7F">
        <w:t>węzły, które różnią się znacznie od pozostałych agentów. Charakteryzują warunki środowiskowe działania systemu, w którym umieszczeni są agencji. Ich wizualizacja służy lepszemu zobrazowaniu procesu transferu technologii oraz u</w:t>
      </w:r>
      <w:r w:rsidR="00D56222" w:rsidRPr="00DB7B7F">
        <w:t>proszczeniu zapisu reguł w modelu.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>RYNEK</w:t>
      </w:r>
      <w:r w:rsidRPr="00DB7B7F">
        <w:t xml:space="preserve"> stanowi niezbędne tło dla działań właściwych agentów procesu transferu technologii. Złożony jest on z „nisz” odpowiadających konkretnym dziedzinom nauki, które w modelu są reprezentowane przez poszczególne kolory. Nisze, wypełniają się, jeśli powstał </w:t>
      </w:r>
      <w:r w:rsidRPr="00DB7B7F">
        <w:lastRenderedPageBreak/>
        <w:t xml:space="preserve">odpowiadający im produkt. Na rynku losowo pojawiają się też nowe nisze. Ich charakterystyka wynika z rekombinacji już istniejących nisz (zwłaszcza wypełnionych) oraz czynnika losowego. Jeśli pojawia się pomysł na innowacyjny produkt, jest on porównywany z zapotrzebowaniem rynku. Wszystkie firmy </w:t>
      </w:r>
      <w:r w:rsidRPr="00DB7B7F">
        <w:rPr>
          <w:i/>
        </w:rPr>
        <w:t>BusinessNode</w:t>
      </w:r>
      <w:r w:rsidRPr="00DB7B7F">
        <w:t xml:space="preserve"> i Biznesowe Ośrodki Transferu Technologii </w:t>
      </w:r>
      <w:r w:rsidRPr="00DB7B7F">
        <w:rPr>
          <w:i/>
        </w:rPr>
        <w:t>BOTTNode</w:t>
      </w:r>
      <w:r w:rsidRPr="00DB7B7F">
        <w:t xml:space="preserve"> mają połączenie z Rynkiem.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 xml:space="preserve">PUBLIKATOR </w:t>
      </w:r>
      <w:r w:rsidRPr="00DB7B7F">
        <w:t>to odwzorowanie publikacji w świecie rzeczywistym. Każdy pomysł naukowy, z pewnym prawdopodobieństwem, zależnym od charakterystyki agenta, może zostać opublikowany. Tą właśnie funkcję pełni przestrzeń publikacji w modelu.</w:t>
      </w:r>
    </w:p>
    <w:p w:rsidR="00EC5639" w:rsidRPr="00DB7B7F" w:rsidRDefault="00EC5639" w:rsidP="00B27B23">
      <w:pPr>
        <w:pStyle w:val="Tekstpodstawowy"/>
        <w:jc w:val="both"/>
      </w:pPr>
      <w:r w:rsidRPr="00DB7B7F">
        <w:rPr>
          <w:b/>
        </w:rPr>
        <w:t>UPATENTOWY</w:t>
      </w:r>
      <w:r w:rsidRPr="00DB7B7F">
        <w:t xml:space="preserve"> Urząd Patentowy (UP) to agent odpowiedzialny za rejestrowanie i prowadzenie ewidencji patentów, znaków towarowych, wzorów użytkowych, wzorów przemysłowych itp. chronionych w Polsce. </w:t>
      </w:r>
    </w:p>
    <w:p w:rsidR="00EC5639" w:rsidRPr="00DB7B7F" w:rsidRDefault="00011A13" w:rsidP="00B27B23">
      <w:pPr>
        <w:jc w:val="both"/>
      </w:pPr>
      <w:r w:rsidRPr="00DB7B7F">
        <w:t xml:space="preserve">Są one skonfigurowane w tabeli zaraz za wierszami #config. </w:t>
      </w:r>
    </w:p>
    <w:p w:rsidR="00EC5639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607040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5. Konfiguracja meta węzłów w scenie symulacji.</w:t>
      </w:r>
    </w:p>
    <w:p w:rsidR="00011A13" w:rsidRPr="00DB7B7F" w:rsidRDefault="00011A13" w:rsidP="00B27B23">
      <w:pPr>
        <w:jc w:val="both"/>
      </w:pPr>
      <w:r w:rsidRPr="00DB7B7F">
        <w:t>I tak: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 (A) zawiera odpowiedni </w:t>
      </w:r>
      <w:r w:rsidRPr="00DB7B7F">
        <w:rPr>
          <w:b/>
        </w:rPr>
        <w:t>typ metawęzła</w:t>
      </w:r>
      <w:r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2 (B) jego </w:t>
      </w:r>
      <w:r w:rsidR="005C017A" w:rsidRPr="00DB7B7F">
        <w:rPr>
          <w:b/>
        </w:rPr>
        <w:t>N</w:t>
      </w:r>
      <w:r w:rsidRPr="00DB7B7F">
        <w:rPr>
          <w:b/>
        </w:rPr>
        <w:t>azwę.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Kolumna 3 (C) –</w:t>
      </w:r>
      <w:r w:rsidRPr="00DB7B7F">
        <w:rPr>
          <w:b/>
        </w:rPr>
        <w:t>Wyświetlenie</w:t>
      </w:r>
      <w:r w:rsidRPr="00DB7B7F">
        <w:t xml:space="preserve"> – czyli typ wizualizacji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4 (D) – </w:t>
      </w:r>
      <w:r w:rsidRPr="00DB7B7F">
        <w:rPr>
          <w:b/>
        </w:rPr>
        <w:t>Waga</w:t>
      </w:r>
      <w:r w:rsidRPr="00DB7B7F">
        <w:t xml:space="preserve"> – określa wielkość węzła na scenie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5 (E) – </w:t>
      </w:r>
      <w:r w:rsidRPr="00DB7B7F">
        <w:rPr>
          <w:b/>
        </w:rPr>
        <w:t>Dziedzina</w:t>
      </w:r>
      <w:r w:rsidRPr="00DB7B7F">
        <w:t>, czyli kolor. Podstawowe ustawienie to 0xffffffff – czyli metawęzeł jest zainteresowany wsz</w:t>
      </w:r>
      <w:r w:rsidR="005C017A" w:rsidRPr="00DB7B7F">
        <w:t>ystkimi dziedzinami nauki.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</w:t>
      </w:r>
      <w:r w:rsidR="005C017A" w:rsidRPr="00DB7B7F">
        <w:t>y</w:t>
      </w:r>
      <w:r w:rsidRPr="00DB7B7F">
        <w:t xml:space="preserve"> </w:t>
      </w:r>
      <w:r w:rsidR="005C017A" w:rsidRPr="00DB7B7F">
        <w:t xml:space="preserve">6-8 </w:t>
      </w:r>
      <w:r w:rsidRPr="00DB7B7F">
        <w:t>(</w:t>
      </w:r>
      <w:r w:rsidR="005C017A" w:rsidRPr="00DB7B7F">
        <w:t xml:space="preserve">F-H) – to </w:t>
      </w:r>
      <w:r w:rsidR="005C017A" w:rsidRPr="00DB7B7F">
        <w:rPr>
          <w:b/>
        </w:rPr>
        <w:t>współrzędne X, Y, Z</w:t>
      </w:r>
      <w:r w:rsidR="005C017A" w:rsidRPr="00DB7B7F">
        <w:t xml:space="preserve"> położenia metawęzła.</w:t>
      </w:r>
    </w:p>
    <w:p w:rsidR="005C017A" w:rsidRPr="00DB7B7F" w:rsidRDefault="005C017A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9 (I) </w:t>
      </w:r>
      <w:r w:rsidR="009F7534" w:rsidRPr="00DB7B7F">
        <w:t>–</w:t>
      </w:r>
      <w:r w:rsidRPr="00DB7B7F">
        <w:t xml:space="preserve"> </w:t>
      </w:r>
      <w:r w:rsidR="009F7534" w:rsidRPr="00DB7B7F">
        <w:rPr>
          <w:b/>
        </w:rPr>
        <w:t>Szer</w:t>
      </w:r>
      <w:r w:rsidR="009F7534" w:rsidRPr="00DB7B7F">
        <w:t xml:space="preserve"> – szerokość wizualizacji metawęzła ( wyświetla się on jako prostokąt).</w:t>
      </w:r>
    </w:p>
    <w:p w:rsidR="009F7534" w:rsidRPr="00DB7B7F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10 (J) – </w:t>
      </w:r>
      <w:r w:rsidRPr="00DB7B7F">
        <w:rPr>
          <w:b/>
        </w:rPr>
        <w:t>Wys</w:t>
      </w:r>
      <w:r w:rsidRPr="00DB7B7F">
        <w:t xml:space="preserve"> – wysokość wizualizacji metawęzła.</w:t>
      </w:r>
    </w:p>
    <w:p w:rsidR="0015366E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11 (K) – </w:t>
      </w:r>
      <w:r w:rsidRPr="00DB7B7F">
        <w:rPr>
          <w:b/>
        </w:rPr>
        <w:t>RNDPar</w:t>
      </w:r>
      <w:r w:rsidRPr="00DB7B7F">
        <w:t xml:space="preserve"> – parametr określający według jakiego rozkładu odbywa się losowanie dziedzin zawartych w metawęźle. 0 określa brak losowania. 1 – losowanie z równym prawdopodobieństwem wszystkich parametrów. Wartość 3 zbliża rozkład losowania do rozkładu normalnego, gdzie średnia to dziedzina meta węzła.</w:t>
      </w:r>
    </w:p>
    <w:p w:rsidR="009D28A9" w:rsidRPr="00DB7B7F" w:rsidRDefault="00D72F02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 xml:space="preserve">ReaserchUNode </w:t>
      </w:r>
      <w:r w:rsidRPr="00DB7B7F">
        <w:t xml:space="preserve">- </w:t>
      </w:r>
      <w:r w:rsidR="009D28A9" w:rsidRPr="00DB7B7F">
        <w:t xml:space="preserve">Jednostka Naukowa </w:t>
      </w:r>
      <w:r w:rsidRPr="00DB7B7F">
        <w:t xml:space="preserve">(JN) </w:t>
      </w:r>
      <w:r w:rsidR="009D28A9" w:rsidRPr="00DB7B7F">
        <w:t xml:space="preserve">to twórca wyniku naukowego. Może być nim zespół badawczy ale też pojedynczy naukowiec. </w:t>
      </w:r>
    </w:p>
    <w:p w:rsidR="00F55CBB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085" cy="491490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2" b="7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6. Konfiguracja parametrów węzła ResearchUNode.</w:t>
      </w:r>
    </w:p>
    <w:p w:rsidR="009D28A9" w:rsidRPr="00DB7B7F" w:rsidRDefault="009D28A9" w:rsidP="00B27B23">
      <w:pPr>
        <w:pStyle w:val="Akapitzlist"/>
        <w:spacing w:after="0"/>
        <w:ind w:left="0"/>
        <w:jc w:val="both"/>
      </w:pPr>
      <w:r w:rsidRPr="00DB7B7F">
        <w:lastRenderedPageBreak/>
        <w:t>Parametry</w:t>
      </w:r>
      <w:r w:rsidR="00D72F02" w:rsidRPr="00DB7B7F">
        <w:t xml:space="preserve"> charakterystyczne</w:t>
      </w:r>
      <w:r w:rsidR="00564AA5" w:rsidRPr="00DB7B7F">
        <w:t xml:space="preserve">, zawarte w </w:t>
      </w:r>
      <w:r w:rsidR="00D72F02" w:rsidRPr="00DB7B7F">
        <w:t>kolum</w:t>
      </w:r>
      <w:r w:rsidR="00564AA5" w:rsidRPr="00DB7B7F">
        <w:t>nach</w:t>
      </w:r>
      <w:r w:rsidR="00D72F02" w:rsidRPr="00DB7B7F">
        <w:t xml:space="preserve"> 9-21</w:t>
      </w:r>
      <w:r w:rsidR="00564AA5" w:rsidRPr="00DB7B7F">
        <w:t xml:space="preserve"> (I-U) to: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="009D28A9" w:rsidRPr="00DB7B7F">
        <w:rPr>
          <w:b/>
        </w:rPr>
        <w:t xml:space="preserve">w </w:t>
      </w:r>
      <w:r w:rsidR="009D28A9" w:rsidRPr="00DB7B7F">
        <w:t>(unsigned)</w:t>
      </w:r>
      <w:r w:rsidRPr="00DB7B7F">
        <w:t xml:space="preserve">, </w:t>
      </w:r>
      <w:r w:rsidR="009D28A9" w:rsidRPr="00DB7B7F">
        <w:t>parametr określa jaką ilością os</w:t>
      </w:r>
      <w:r w:rsidR="00F74903" w:rsidRPr="00DB7B7F">
        <w:t>ób</w:t>
      </w:r>
      <w:r w:rsidR="009D28A9" w:rsidRPr="00DB7B7F">
        <w:t xml:space="preserve"> dysponuje agent. Jest to związane z ilością działań jakie agent może podjąć w każdym kroku.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10 (J) - </w:t>
      </w:r>
      <w:r w:rsidR="009F7534" w:rsidRPr="00DB7B7F">
        <w:rPr>
          <w:b/>
        </w:rPr>
        <w:t>Efektywność</w:t>
      </w:r>
      <w:r w:rsidR="009D28A9" w:rsidRPr="00DB7B7F">
        <w:rPr>
          <w:b/>
        </w:rPr>
        <w:t xml:space="preserve"> </w:t>
      </w:r>
      <w:r w:rsidR="009D28A9"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9F7534" w:rsidRPr="00DB7B7F">
        <w:rPr>
          <w:b/>
        </w:rPr>
        <w:t>Aktywność</w:t>
      </w:r>
      <w:r w:rsidR="009D28A9"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proaktyność, częste nawiązywanie nowych linków, podtrzymywanie utworzonych linków.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</w:t>
      </w:r>
      <w:r w:rsidR="00714BA9" w:rsidRPr="00DB7B7F">
        <w:t xml:space="preserve">- </w:t>
      </w:r>
      <w:r w:rsidR="009F7534" w:rsidRPr="00DB7B7F">
        <w:rPr>
          <w:b/>
        </w:rPr>
        <w:t>Centralność</w:t>
      </w:r>
      <w:r w:rsidR="009D28A9"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="009F7534" w:rsidRPr="00DB7B7F">
        <w:rPr>
          <w:b/>
        </w:rPr>
        <w:t>Probiznesowość</w:t>
      </w:r>
      <w:r w:rsidR="009D28A9" w:rsidRPr="00DB7B7F">
        <w:t xml:space="preserve"> (float) – orientacja motywacyjna związana z podejmowanymi działaniami. Parametr w zakresie od 0 do 1. 0 oznacza orientacja na osiągnięcia naukowe, oraz prestiż naukowy, z czym się wiążą wybory typu publikacja wyników, badania podstawowe. 0.5 to sytuacja, gdy agent woli patentować, licencjonować wyniki. 1 to orientacja biznesowa, gdzie agent podejmując decyzje kieruje się korzyściami finansowymi i jest nastawiony na komercjalizację wyników oraz samodzielne wdrażanie.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="009D28A9" w:rsidRPr="00DB7B7F">
        <w:rPr>
          <w:b/>
        </w:rPr>
        <w:t>Prolegalno</w:t>
      </w:r>
      <w:r w:rsidR="009F7534" w:rsidRPr="00DB7B7F">
        <w:rPr>
          <w:b/>
        </w:rPr>
        <w:t>ść</w:t>
      </w:r>
      <w:r w:rsidR="009D28A9" w:rsidRPr="00DB7B7F">
        <w:t xml:space="preserve"> (float) – parametr określający na ile agent podejmuje decyzje w oparciu o obowiązujące przepisy, w szczególności jeżeli chodzi o przepisy dotyczące własności intelektualnej (1), a na ile jest skłonny działać w „szarej strefie”, czyli współpracować z biznesem z wykluczeniem Administracji, np. Uniwersytetu, w ramach którego pracuje (0).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="009D28A9"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Innowacyjność</w:t>
      </w:r>
      <w:r w:rsidR="009D28A9" w:rsidRPr="00DB7B7F">
        <w:t xml:space="preserve"> (float) - Łatwość tworzenia nowych projektów bez inspiracji z zewnątrz, zaciekawienie projektami nieco odległymi od dotychczasowych zainteresowań. Parametr opisuje na ile dany agent realizuje nowatorskie projekty.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</w:t>
      </w:r>
      <w:r w:rsidR="00714BA9" w:rsidRPr="00DB7B7F">
        <w:t xml:space="preserve">- </w:t>
      </w:r>
      <w:r w:rsidR="005807F9" w:rsidRPr="00DB7B7F">
        <w:rPr>
          <w:b/>
        </w:rPr>
        <w:t xml:space="preserve">Finans. </w:t>
      </w:r>
      <w:r w:rsidR="009D28A9" w:rsidRPr="00DB7B7F">
        <w:rPr>
          <w:b/>
        </w:rPr>
        <w:t>Swobodne</w:t>
      </w:r>
      <w:r w:rsidR="009D28A9" w:rsidRPr="00DB7B7F">
        <w:t xml:space="preserve">(float) - Rezerwy finansowe agenta w skali roku.  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714BA9" w:rsidRPr="00DB7B7F">
        <w:t>1</w:t>
      </w:r>
      <w:r w:rsidR="005807F9" w:rsidRPr="00DB7B7F">
        <w:t>8 (R</w:t>
      </w:r>
      <w:r w:rsidRPr="00DB7B7F">
        <w:t>)</w:t>
      </w:r>
      <w:r w:rsidR="00714BA9" w:rsidRPr="00DB7B7F">
        <w:t xml:space="preserve"> </w:t>
      </w:r>
      <w:r w:rsidR="005807F9" w:rsidRPr="00DB7B7F">
        <w:t>–</w:t>
      </w:r>
      <w:r w:rsidRPr="00DB7B7F">
        <w:t xml:space="preserve"> </w:t>
      </w:r>
      <w:r w:rsidR="009D28A9" w:rsidRPr="00DB7B7F">
        <w:rPr>
          <w:b/>
        </w:rPr>
        <w:t>Finanse</w:t>
      </w:r>
      <w:r w:rsidR="005807F9" w:rsidRPr="00DB7B7F">
        <w:rPr>
          <w:b/>
        </w:rPr>
        <w:t xml:space="preserve"> zaplan.</w:t>
      </w:r>
      <w:r w:rsidR="009D28A9" w:rsidRPr="00DB7B7F">
        <w:rPr>
          <w:b/>
        </w:rPr>
        <w:t xml:space="preserve"> </w:t>
      </w:r>
      <w:r w:rsidR="009D28A9" w:rsidRPr="00DB7B7F">
        <w:t>(float) – Finanse zaplanowane do wydania w danym roku, ale być może jeszcze nie dostępne na koncie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</w:t>
      </w:r>
      <w:r w:rsidR="005807F9" w:rsidRPr="00DB7B7F">
        <w:t>19</w:t>
      </w:r>
      <w:r w:rsidR="00714BA9" w:rsidRPr="00DB7B7F">
        <w:t xml:space="preserve"> (</w:t>
      </w:r>
      <w:r w:rsidR="005807F9" w:rsidRPr="00DB7B7F">
        <w:t>S</w:t>
      </w:r>
      <w:r w:rsidR="00714BA9" w:rsidRPr="00DB7B7F">
        <w:t xml:space="preserve">) - </w:t>
      </w:r>
      <w:r w:rsidR="005807F9" w:rsidRPr="00DB7B7F">
        <w:rPr>
          <w:b/>
        </w:rPr>
        <w:t xml:space="preserve">Dług do nadrz. </w:t>
      </w:r>
      <w:r w:rsidR="009D28A9" w:rsidRPr="00DB7B7F">
        <w:t>(float) – Finanse zaległe, zobowiązania w stosunku do Administracji, bądź innych agentów. Możliwe jest posiadanie długów przez agenta tylko tymczasowo, do 30 kroków.</w:t>
      </w:r>
    </w:p>
    <w:p w:rsidR="00F27BA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</w:t>
      </w:r>
    </w:p>
    <w:p w:rsidR="00F27BA2" w:rsidRPr="00DB7B7F" w:rsidRDefault="00714BA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="009D28A9" w:rsidRPr="00DB7B7F">
        <w:t xml:space="preserve"> (float) </w:t>
      </w:r>
      <w:r w:rsidR="00F27BA2" w:rsidRPr="00DB7B7F">
        <w:t>–</w:t>
      </w:r>
      <w:r w:rsidR="00CD5A89" w:rsidRPr="00DB7B7F">
        <w:t xml:space="preserve"> Dodatkowy współczynnik skuteczności TT wynikający z doświadczeń.</w:t>
      </w:r>
    </w:p>
    <w:p w:rsidR="009D28A9" w:rsidRPr="00DB7B7F" w:rsidRDefault="00714BA9" w:rsidP="00B27B23">
      <w:pPr>
        <w:pStyle w:val="Tekstpodstawowy"/>
        <w:numPr>
          <w:ilvl w:val="0"/>
          <w:numId w:val="6"/>
        </w:numPr>
        <w:jc w:val="both"/>
      </w:pPr>
      <w:r w:rsidRPr="00DB7B7F">
        <w:rPr>
          <w:b/>
        </w:rPr>
        <w:t>ResAdminNode</w:t>
      </w:r>
      <w:r w:rsidRPr="00DB7B7F">
        <w:t xml:space="preserve"> - </w:t>
      </w:r>
      <w:r w:rsidR="009D28A9" w:rsidRPr="00DB7B7F">
        <w:t>Administracja uczelniana</w:t>
      </w:r>
      <w:r w:rsidRPr="00DB7B7F">
        <w:t xml:space="preserve"> </w:t>
      </w:r>
      <w:r w:rsidR="009D28A9" w:rsidRPr="00DB7B7F">
        <w:t xml:space="preserve">składa się z dwóch szczebli: wyższego i bezpośredniego. Agenci wyższego rzędu grupują wydziały lub instytuty. Pełnią rolę dystrybutorów podstawowych środków finansowych dla swoich podjednostek; kształtują też motywacje środowiska naukowego. </w:t>
      </w:r>
      <w:r w:rsidRPr="00DB7B7F">
        <w:t>W</w:t>
      </w:r>
      <w:r w:rsidR="009D28A9" w:rsidRPr="00DB7B7F">
        <w:t>ydziały i instytuty</w:t>
      </w:r>
      <w:r w:rsidRPr="00DB7B7F">
        <w:t xml:space="preserve"> są agentami</w:t>
      </w:r>
      <w:r w:rsidR="009D28A9" w:rsidRPr="00DB7B7F">
        <w:t xml:space="preserve">- bezpośredniego poziomu, grupujący JN w ściślej powiązane </w:t>
      </w:r>
      <w:r w:rsidR="005807F9" w:rsidRPr="00DB7B7F">
        <w:t xml:space="preserve">grupy, </w:t>
      </w:r>
      <w:r w:rsidR="009D28A9" w:rsidRPr="00DB7B7F">
        <w:t xml:space="preserve">klastry. Pełnią rolę redystrybutorów podstawowych środków finansowych dla badaczy; utrwalają motywacje środowiska naukowego. </w:t>
      </w:r>
    </w:p>
    <w:p w:rsidR="00F55CBB" w:rsidRPr="00DB7B7F" w:rsidRDefault="005807F9" w:rsidP="00B27B23">
      <w:pPr>
        <w:spacing w:after="0"/>
        <w:jc w:val="both"/>
      </w:pPr>
      <w:r w:rsidRPr="00DB7B7F">
        <w:rPr>
          <w:iCs/>
          <w:noProof/>
          <w:lang w:eastAsia="pl-PL"/>
        </w:rPr>
        <w:drawing>
          <wp:inline distT="0" distB="0" distL="0" distR="0">
            <wp:extent cx="5760648" cy="923026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765" b="6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7. Konfiguracja parametrów węzła ResAdminNode.</w:t>
      </w:r>
    </w:p>
    <w:p w:rsidR="005807F9" w:rsidRPr="00DB7B7F" w:rsidRDefault="005807F9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>(unsigned), parametr określa jaką ilością os</w:t>
      </w:r>
      <w:r w:rsidR="00F74903" w:rsidRPr="00DB7B7F">
        <w:t>ób</w:t>
      </w:r>
      <w:r w:rsidRPr="00DB7B7F">
        <w:t xml:space="preserve"> dysponuje agent. Jest to związane z ilością działań jakie agent może podjąć w każdym kroku.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F74903" w:rsidRPr="00DB7B7F">
        <w:rPr>
          <w:b/>
        </w:rPr>
        <w:t>Aktywność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</w:t>
      </w:r>
      <w:r w:rsidR="009F7534" w:rsidRPr="00DB7B7F">
        <w:t>w</w:t>
      </w:r>
      <w:r w:rsidRPr="00DB7B7F">
        <w:t>ność, częste nawiązywanie nowych linków, podtrzymywanie utworzonych linków.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F74903"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13 (M) - </w:t>
      </w:r>
      <w:r w:rsidR="00F74903" w:rsidRPr="00DB7B7F">
        <w:rPr>
          <w:b/>
        </w:rPr>
        <w:t>Probiznesowość</w:t>
      </w:r>
      <w:r w:rsidRPr="00DB7B7F">
        <w:t xml:space="preserve"> (float) – </w:t>
      </w:r>
      <w:r w:rsidR="007F29C2" w:rsidRPr="00DB7B7F">
        <w:t>orientacja motywacyjna związana z podejmowanymi działaniami i stosunkiem względem środowiska biznesowego. Parametr  mówi o prawdopodobieństwie podjęcia inicjatyw z współudziałem biznesu.</w:t>
      </w:r>
    </w:p>
    <w:p w:rsidR="007F29C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</w:t>
      </w:r>
      <w:r w:rsidR="00F74903" w:rsidRPr="00DB7B7F">
        <w:rPr>
          <w:b/>
        </w:rPr>
        <w:t>ść</w:t>
      </w:r>
      <w:r w:rsidRPr="00DB7B7F">
        <w:t xml:space="preserve"> (float) – </w:t>
      </w:r>
      <w:r w:rsidR="007F29C2" w:rsidRPr="00DB7B7F">
        <w:t>parametr określający na ile agent podejmuje decyzje w oparciu o obowiązujące przepisy (1), a na ile jest skłonny działać elastycznie, omijając bariery biurokratyczne (0).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7F29C2" w:rsidRPr="00DB7B7F">
        <w:rPr>
          <w:b/>
        </w:rPr>
        <w:t>Skłonności TT</w:t>
      </w:r>
      <w:r w:rsidR="007F29C2" w:rsidRPr="00DB7B7F">
        <w:t xml:space="preserve"> (float) – parametr opisujący skłonność inwestowania wolnych środków w rozwój związany z Transferem technologii. 0 – brak takich decyzji. 1- inwestowanie wszystkich wolnych środków w działania związane z transferem technologii</w:t>
      </w:r>
      <w:r w:rsidRPr="00DB7B7F">
        <w:t>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 xml:space="preserve">Finans. </w:t>
      </w:r>
      <w:r w:rsidR="00743883" w:rsidRPr="00DB7B7F">
        <w:rPr>
          <w:b/>
        </w:rPr>
        <w:t>s</w:t>
      </w:r>
      <w:r w:rsidRPr="00DB7B7F">
        <w:rPr>
          <w:b/>
        </w:rPr>
        <w:t>wobodne</w:t>
      </w:r>
      <w:r w:rsidRPr="00DB7B7F">
        <w:t xml:space="preserve">(float) - Rezerwy finansowe agenta w skali roku.  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agenta.</w:t>
      </w:r>
    </w:p>
    <w:p w:rsidR="00743883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743883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 xml:space="preserve">(float) – </w:t>
      </w:r>
      <w:r w:rsidR="00743883" w:rsidRPr="00DB7B7F">
        <w:t>Finanse zaległe, zobowiązania w stosunku do Administracji, bądź innych agentów. Możliwe jest posiadanie długów przez agenta tylko w granicach prawnie określonych limitów.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</w:t>
      </w:r>
      <w:r w:rsidR="00743883" w:rsidRPr="00DB7B7F">
        <w:t xml:space="preserve"> Reszta zysków jest kierowana do agentów niżej w hierarchii (do jednostki naukowej).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Pr="00DB7B7F">
        <w:t xml:space="preserve"> (float) -</w:t>
      </w:r>
      <w:r w:rsidR="00CD5A89" w:rsidRPr="00DB7B7F">
        <w:t xml:space="preserve"> Dodatkowy współczynnik skuteczności TT wynikający z doświadczeń.</w:t>
      </w:r>
    </w:p>
    <w:p w:rsidR="0015366E" w:rsidRDefault="00743883" w:rsidP="00B27B23">
      <w:pPr>
        <w:pStyle w:val="Nagwek6"/>
        <w:numPr>
          <w:ilvl w:val="0"/>
          <w:numId w:val="6"/>
        </w:numPr>
        <w:jc w:val="both"/>
        <w:rPr>
          <w:rFonts w:asciiTheme="minorHAnsi" w:hAnsiTheme="minorHAnsi"/>
          <w:i w:val="0"/>
          <w:color w:val="auto"/>
        </w:rPr>
      </w:pPr>
      <w:r w:rsidRPr="00DB7B7F">
        <w:rPr>
          <w:rFonts w:asciiTheme="minorHAnsi" w:hAnsiTheme="minorHAnsi"/>
          <w:b/>
          <w:i w:val="0"/>
          <w:color w:val="auto"/>
        </w:rPr>
        <w:t>BusinessNode</w:t>
      </w:r>
      <w:r w:rsidRPr="00DB7B7F">
        <w:rPr>
          <w:rFonts w:asciiTheme="minorHAnsi" w:hAnsiTheme="minorHAnsi"/>
          <w:i w:val="0"/>
          <w:color w:val="auto"/>
        </w:rPr>
        <w:t xml:space="preserve"> – </w:t>
      </w:r>
      <w:r w:rsidR="009D28A9" w:rsidRPr="00DB7B7F">
        <w:rPr>
          <w:rFonts w:asciiTheme="minorHAnsi" w:hAnsiTheme="minorHAnsi"/>
          <w:i w:val="0"/>
          <w:color w:val="auto"/>
        </w:rPr>
        <w:t>Firmy</w:t>
      </w:r>
      <w:r w:rsidRPr="00DB7B7F">
        <w:rPr>
          <w:rFonts w:asciiTheme="minorHAnsi" w:hAnsiTheme="minorHAnsi"/>
          <w:i w:val="0"/>
          <w:color w:val="auto"/>
        </w:rPr>
        <w:t xml:space="preserve"> </w:t>
      </w:r>
      <w:r w:rsidR="009D28A9" w:rsidRPr="00DB7B7F">
        <w:rPr>
          <w:rFonts w:asciiTheme="minorHAnsi" w:hAnsiTheme="minorHAnsi"/>
          <w:i w:val="0"/>
          <w:color w:val="auto"/>
        </w:rPr>
        <w:t xml:space="preserve">są to jednostki komercyjne zajmujące się tworzeniem produktów bezpośrednio wypełniających nisze rynkowe lub wytwarzaniem produktów, które są fragmentarycznymi rozwiązaniami potrzeb rynkowych wymagającymi np. połączenia z konkretnymi produktami uzyskanymi od innych Firm. </w:t>
      </w:r>
    </w:p>
    <w:p w:rsidR="00F55CBB" w:rsidRPr="00DB7B7F" w:rsidRDefault="005D2A4E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672861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020" b="6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67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8. Konfiguracja parametrów węzła BusinessNode i BOTTNode.</w:t>
      </w:r>
    </w:p>
    <w:p w:rsidR="00743883" w:rsidRPr="00DB7B7F" w:rsidRDefault="00743883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>(unsigned), p</w:t>
      </w:r>
      <w:r w:rsidR="00F74903" w:rsidRPr="00DB7B7F">
        <w:t>arametr określa jaką ilością osó</w:t>
      </w:r>
      <w:r w:rsidRPr="00DB7B7F">
        <w:t>b dysponuje agent. Jest to związane z ilością działań jakie agent może podjąć w każdym kroku.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</w:t>
      </w:r>
      <w:r w:rsidR="00F74903" w:rsidRPr="00DB7B7F">
        <w:rPr>
          <w:b/>
        </w:rPr>
        <w:t>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proaktyność, częste nawiązywanie nowych linków, podtrzymywanie utworzonych linków.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</w:t>
      </w:r>
      <w:r w:rsidR="00F74903" w:rsidRPr="00DB7B7F">
        <w:rPr>
          <w:b/>
        </w:rPr>
        <w:t>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Pronaukowo</w:t>
      </w:r>
      <w:r w:rsidR="00F74903" w:rsidRPr="00DB7B7F">
        <w:rPr>
          <w:b/>
        </w:rPr>
        <w:t>ść</w:t>
      </w:r>
      <w:r w:rsidRPr="00DB7B7F">
        <w:t xml:space="preserve"> (float) – orientacja motywacyjna związana ze współpracą ze środowiskiem naukowym. Zakres od 0 – brak zainteresowania kontaktami z uczelniami i naukowcami do 1 – chęć nawiązywania kontaktów z badaczami i uniwersytetami.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</w:t>
      </w:r>
      <w:r w:rsidR="00F74903" w:rsidRPr="00DB7B7F">
        <w:rPr>
          <w:b/>
        </w:rPr>
        <w:t>ść</w:t>
      </w:r>
      <w:r w:rsidRPr="00DB7B7F">
        <w:t xml:space="preserve"> (float) – 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Pr="00DB7B7F">
        <w:rPr>
          <w:b/>
        </w:rPr>
        <w:t>Czasochlonn</w:t>
      </w:r>
      <w:r w:rsidR="00F74903" w:rsidRPr="00DB7B7F">
        <w:rPr>
          <w:b/>
        </w:rPr>
        <w:t>ość</w:t>
      </w:r>
      <w:r w:rsidRPr="00DB7B7F">
        <w:t xml:space="preserve"> (float)- parametr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Proinnowacyjność</w:t>
      </w:r>
      <w:r w:rsidR="005D2A4E" w:rsidRPr="00DB7B7F">
        <w:rPr>
          <w:b/>
        </w:rPr>
        <w:t xml:space="preserve"> </w:t>
      </w:r>
      <w:r w:rsidR="005D2A4E" w:rsidRPr="00DB7B7F">
        <w:t>(float) – 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="005D2A4E" w:rsidRPr="00DB7B7F">
        <w:rPr>
          <w:b/>
        </w:rPr>
        <w:t>Finans. bieżące</w:t>
      </w:r>
      <w:r w:rsidR="005D2A4E" w:rsidRPr="00DB7B7F">
        <w:t xml:space="preserve"> (float) – aktualny budżet agenta.</w:t>
      </w:r>
      <w:r w:rsidRPr="00DB7B7F">
        <w:t xml:space="preserve"> 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 xml:space="preserve">(float) – </w:t>
      </w:r>
      <w:r w:rsidR="005D2A4E" w:rsidRPr="00DB7B7F">
        <w:t>finanse zaplanowane do wydania w danym roku, ale być może jeszcze nie dostępne na koncie agenta, np. obiecane środki kredytowe, albo granty.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5D2A4E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 xml:space="preserve">(float) – </w:t>
      </w:r>
      <w:r w:rsidR="005D2A4E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20 (T) – </w:t>
      </w:r>
      <w:r w:rsidR="005D2A4E" w:rsidRPr="00DB7B7F">
        <w:rPr>
          <w:b/>
        </w:rPr>
        <w:t>Limit TT</w:t>
      </w:r>
      <w:r w:rsidR="005D2A4E" w:rsidRPr="00DB7B7F">
        <w:t xml:space="preserve"> (float)- Parametr opisujący jaki procent środków finansowych z posiadanych, dany agent jest gotów przeznaczyć na inwestycje w zakresie transferu technologii.</w:t>
      </w:r>
    </w:p>
    <w:p w:rsidR="00B27B2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Pr="00DB7B7F">
        <w:rPr>
          <w:b/>
        </w:rPr>
        <w:t>Ekspercko</w:t>
      </w:r>
      <w:r w:rsidR="00F74903" w:rsidRPr="00DB7B7F">
        <w:rPr>
          <w:b/>
        </w:rPr>
        <w:t>ść</w:t>
      </w:r>
      <w:r w:rsidRPr="00DB7B7F">
        <w:t xml:space="preserve"> (float) -</w:t>
      </w:r>
      <w:r w:rsidR="005D2A4E" w:rsidRPr="00DB7B7F">
        <w:t xml:space="preserve"> Dodatkowy współczynnik skuteczności TT wynikający z doświadczeń.</w:t>
      </w:r>
    </w:p>
    <w:p w:rsidR="009D28A9" w:rsidRPr="00DB7B7F" w:rsidRDefault="005D2A4E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>BOTTNode</w:t>
      </w:r>
      <w:r w:rsidRPr="00DB7B7F">
        <w:t xml:space="preserve"> – </w:t>
      </w:r>
      <w:r w:rsidR="009D28A9" w:rsidRPr="00DB7B7F">
        <w:t>BOTT</w:t>
      </w:r>
      <w:r w:rsidRPr="00DB7B7F">
        <w:t xml:space="preserve"> - </w:t>
      </w:r>
      <w:r w:rsidR="009D28A9" w:rsidRPr="00DB7B7F">
        <w:t>Biznesowy Ośrodek Transferu Technologii (BOTT) pośredniczy pomiędzy JN</w:t>
      </w:r>
      <w:r w:rsidRPr="00DB7B7F">
        <w:t xml:space="preserve"> bądź Administracją uczelnianą </w:t>
      </w:r>
      <w:r w:rsidR="009D28A9" w:rsidRPr="00DB7B7F">
        <w:t xml:space="preserve">a Firmami, aniołami biznesu lub innymi aktorami posiadającymi kapitał inwestycyjny w procesie TT. BOTT pomaga sprzedawać gotowy efekty pracy badawczej - wynik naukowy - na różnych etapach zaawansowania, ale najchętniej w fazie finalnej, gdy produkt jest gotowy do produkcji/wdrożenia na Rynek, co z perspektywy biznesu oznacza pewniejszą inwestycję. </w:t>
      </w:r>
    </w:p>
    <w:p w:rsidR="005D2A4E" w:rsidRPr="00DB7B7F" w:rsidRDefault="005D2A4E" w:rsidP="00B27B23">
      <w:pPr>
        <w:pStyle w:val="Tekstpodstawowy"/>
        <w:jc w:val="both"/>
      </w:pPr>
      <w:r w:rsidRPr="00DB7B7F">
        <w:t>Parametry charakterystyczne</w:t>
      </w:r>
      <w:r w:rsidR="00F55CBB" w:rsidRPr="00DB7B7F">
        <w:t xml:space="preserve"> (Rys. 9.)</w:t>
      </w:r>
      <w:r w:rsidRPr="00DB7B7F">
        <w:t>, zawarte w kolumnach 9-21 (I-U) to: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 xml:space="preserve">(unsigned), parametr określa jaką ilością </w:t>
      </w:r>
      <w:r w:rsidR="00F74903" w:rsidRPr="00DB7B7F">
        <w:t>osób</w:t>
      </w:r>
      <w:r w:rsidRPr="00DB7B7F">
        <w:t xml:space="preserve"> dysponuje agent. Jest to związane z ilością działań jakie agent może podjąć w każdym kroku.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4576C3" w:rsidRPr="00DB7B7F">
        <w:rPr>
          <w:b/>
        </w:rPr>
        <w:t>Aktywność</w:t>
      </w:r>
      <w:r w:rsidRPr="00DB7B7F">
        <w:t xml:space="preserve"> (float) – </w:t>
      </w:r>
      <w:r w:rsidR="00EA06CB" w:rsidRPr="00DB7B7F">
        <w:t>parametr określający aktywność w zakresie tworzenia linków przez agenta. Zakres parametru: 0-brak proaktywności, brak działań związanych z wysyłaniem informacji do innych, tworzeniem nowych linków; do 1- wysoka proakty</w:t>
      </w:r>
      <w:r w:rsidR="009F7534" w:rsidRPr="00DB7B7F">
        <w:t>w</w:t>
      </w:r>
      <w:r w:rsidR="00EA06CB" w:rsidRPr="00DB7B7F">
        <w:t>ność, częste nawiązywanie nowych linków, podtrzymywanie utworzonych linków.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4576C3"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</w:t>
      </w:r>
      <w:r w:rsidR="004576C3" w:rsidRPr="00DB7B7F">
        <w:rPr>
          <w:b/>
        </w:rPr>
        <w:t>naukowość</w:t>
      </w:r>
      <w:r w:rsidRPr="00DB7B7F">
        <w:t xml:space="preserve"> (float) – </w:t>
      </w:r>
      <w:r w:rsidR="00EA06CB" w:rsidRPr="00DB7B7F">
        <w:t>orientacja motywacyjna związana ze współpracą ze środowiskiem naukowym. Zakres od 0 – brak zainteresowania kontaktami z uczelniami i naukowcami do 1 – chęć nawiązywania kontaktów z badaczami i uniwersytetami.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="004576C3" w:rsidRPr="00DB7B7F">
        <w:rPr>
          <w:b/>
        </w:rPr>
        <w:t>Prolegalność</w:t>
      </w:r>
      <w:r w:rsidRPr="00DB7B7F">
        <w:t xml:space="preserve"> (float) – </w:t>
      </w:r>
      <w:r w:rsidR="00EA06CB" w:rsidRPr="00DB7B7F">
        <w:t>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4576C3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16 (P) - </w:t>
      </w:r>
      <w:r w:rsidRPr="00DB7B7F">
        <w:rPr>
          <w:b/>
        </w:rPr>
        <w:t>Proinnowacyjno</w:t>
      </w:r>
      <w:r w:rsidR="004576C3" w:rsidRPr="00DB7B7F">
        <w:rPr>
          <w:b/>
        </w:rPr>
        <w:t>ść</w:t>
      </w:r>
      <w:r w:rsidRPr="00DB7B7F">
        <w:rPr>
          <w:b/>
        </w:rPr>
        <w:t xml:space="preserve"> </w:t>
      </w:r>
      <w:r w:rsidRPr="00DB7B7F">
        <w:t xml:space="preserve">(float) – </w:t>
      </w:r>
      <w:r w:rsidR="00EA06CB" w:rsidRPr="00DB7B7F">
        <w:t>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>Finans. bieżące</w:t>
      </w:r>
      <w:r w:rsidRPr="00DB7B7F">
        <w:t xml:space="preserve"> (float) – aktualny budżet agenta. 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agenta, np. obiecane środki kredytowe, albo granty.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 xml:space="preserve">Długi </w:t>
      </w:r>
      <w:r w:rsidRPr="00DB7B7F">
        <w:t xml:space="preserve">(float) – </w:t>
      </w:r>
      <w:r w:rsidR="00EA06CB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EA06CB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Pr="00DB7B7F">
        <w:rPr>
          <w:b/>
        </w:rPr>
        <w:t>Limit</w:t>
      </w:r>
      <w:r w:rsidR="00EA06CB" w:rsidRPr="00DB7B7F">
        <w:rPr>
          <w:b/>
        </w:rPr>
        <w:t xml:space="preserve"> ryzyk.</w:t>
      </w:r>
      <w:r w:rsidRPr="00DB7B7F">
        <w:rPr>
          <w:b/>
        </w:rPr>
        <w:t xml:space="preserve"> TT</w:t>
      </w:r>
      <w:r w:rsidRPr="00DB7B7F">
        <w:t xml:space="preserve"> (float)- Parametr opisujący jaki procent środków finansowych z posiadanych, dany agent jest gotów przeznaczyć na </w:t>
      </w:r>
      <w:r w:rsidR="00EA06CB" w:rsidRPr="00DB7B7F">
        <w:t>RYZYKOWNE inwestycje w transfer technologii. Zakres procentowy od 0 do 1.</w:t>
      </w:r>
    </w:p>
    <w:p w:rsidR="00F27BA2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</w:t>
      </w:r>
      <w:r w:rsidR="00EA06CB" w:rsidRPr="00DB7B7F">
        <w:t>–</w:t>
      </w:r>
      <w:r w:rsidRPr="00DB7B7F">
        <w:t xml:space="preserve"> </w:t>
      </w:r>
      <w:r w:rsidR="004576C3" w:rsidRPr="00DB7B7F">
        <w:rPr>
          <w:b/>
        </w:rPr>
        <w:t>Eksperckość</w:t>
      </w:r>
      <w:r w:rsidRPr="00DB7B7F">
        <w:t xml:space="preserve"> (float) - Dodatkowy współczynnik skuteczności TT wynikający z doświadczeń.</w:t>
      </w:r>
    </w:p>
    <w:p w:rsidR="00F27BA2" w:rsidRPr="00DB7B7F" w:rsidRDefault="009D28A9" w:rsidP="00B27B23">
      <w:pPr>
        <w:pStyle w:val="Tekstpodstawowy"/>
        <w:numPr>
          <w:ilvl w:val="0"/>
          <w:numId w:val="6"/>
        </w:numPr>
        <w:jc w:val="both"/>
      </w:pPr>
      <w:r w:rsidRPr="00DB7B7F">
        <w:rPr>
          <w:b/>
        </w:rPr>
        <w:t>UOTT</w:t>
      </w:r>
      <w:r w:rsidR="00F27BA2" w:rsidRPr="00DB7B7F">
        <w:rPr>
          <w:b/>
        </w:rPr>
        <w:t xml:space="preserve">Node </w:t>
      </w:r>
      <w:r w:rsidR="00F27BA2" w:rsidRPr="00DB7B7F">
        <w:t xml:space="preserve">- </w:t>
      </w:r>
      <w:r w:rsidRPr="00DB7B7F">
        <w:t xml:space="preserve">UOTT jest zlokalizowane w centralnych strukturach uczelni i może pełnić różne rolę, od mało sprawnych pośredników informacji, poprzez pośredników w zdobywaniu funduszy i patentowaniu aż po odpowiedniki BOTT. </w:t>
      </w:r>
    </w:p>
    <w:p w:rsidR="00F55CBB" w:rsidRPr="00DB7B7F" w:rsidRDefault="00F27BA2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508958"/>
            <wp:effectExtent l="19050" t="0" r="0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021" b="7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50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A9" w:rsidRPr="00DB7B7F" w:rsidRDefault="00F55CBB" w:rsidP="00B27B23">
      <w:pPr>
        <w:pStyle w:val="Legenda"/>
        <w:jc w:val="both"/>
      </w:pPr>
      <w:r w:rsidRPr="00DB7B7F">
        <w:t xml:space="preserve"> Rys. 9. Konfiguracja parametrów węzła UOTTNode.</w:t>
      </w:r>
    </w:p>
    <w:p w:rsidR="00F27BA2" w:rsidRPr="00DB7B7F" w:rsidRDefault="00F27BA2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7B369F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 xml:space="preserve">(unsigned), parametr określa jaką ilością </w:t>
      </w:r>
      <w:r w:rsidR="00F74903" w:rsidRPr="00DB7B7F">
        <w:t>osób</w:t>
      </w:r>
      <w:r w:rsidRPr="00DB7B7F">
        <w:t xml:space="preserve"> dysponuje agent. Jest to związane z ilością działań jakie agent może podjąć w każdym kroku.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</w:t>
      </w:r>
      <w:r w:rsidR="007B369F" w:rsidRPr="00DB7B7F">
        <w:t>w</w:t>
      </w:r>
      <w:r w:rsidRPr="00DB7B7F">
        <w:t>ność, częste nawiązywanie nowych linków, podtrzymywanie utworzonych linków.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12 (L) - </w:t>
      </w:r>
      <w:r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Probiznesowość</w:t>
      </w:r>
      <w:r w:rsidRPr="00DB7B7F">
        <w:t xml:space="preserve"> (float) – orientacja motywacyjna związana z podejmowanymi działaniami. Parametr w zakresie od 0 do 1. 0 oznacza ogólne niskie zainteresowanie współpracą z biznesem. 0.3 - 0.7  to sytuacja, gdy agent woli patentować wyniki. 1 to orientacja biznesowa, gdzie agent podejmując decyzje kieruje się korzyściami finansowymi i jest nastawiony na komercjalizację wyników oraz ich wdrażanie.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Prolegalność</w:t>
      </w:r>
      <w:r w:rsidRPr="00DB7B7F">
        <w:t xml:space="preserve"> (float) – parametr określający na ile agent podejmuje decyzje w oparciu o obowiązujące przepisy, w szczególności jeżeli chodzi o przepisy dotyczące własności intelektualnej (1), a na ile jest skłonny działać w „szarej strefie”, czyli współpracować z biznesem z ominięciem uciążliwej biurokracji (0).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7B369F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Skłonności TT</w:t>
      </w:r>
      <w:r w:rsidRPr="00DB7B7F">
        <w:t xml:space="preserve"> (float) – parametr opisujący skłonność inwestowania wolnych środków w rozwój związany z Transferem technologii. 0 – brak takich decyzji. 1- inwestowanie wszystkich wolnych środków w działania związane z transferem technologii.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>Finans. swobodne</w:t>
      </w:r>
      <w:r w:rsidRPr="00DB7B7F">
        <w:t xml:space="preserve">(float) - Rezerwy finansowe agenta w skali roku.  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– </w:t>
      </w:r>
      <w:r w:rsidRPr="00DB7B7F">
        <w:rPr>
          <w:b/>
        </w:rPr>
        <w:t xml:space="preserve">Dług do nadrz. </w:t>
      </w:r>
      <w:r w:rsidRPr="00DB7B7F">
        <w:t>(float) – Finanse zaległe, zobowiązania w stosunku do Administracji, bądź innych agentów. Możliwe jest posiadanie długów przez agenta tylko w granicach prawnie określonych limitów.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4576C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 Reszta zysków jest kierowana do agentów niżej w hierarchii (do jednostki naukowej).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4576C3" w:rsidRPr="00DB7B7F">
        <w:rPr>
          <w:b/>
        </w:rPr>
        <w:t>Eksperckość</w:t>
      </w:r>
      <w:r w:rsidRPr="00DB7B7F">
        <w:t xml:space="preserve"> (float) -</w:t>
      </w:r>
      <w:r w:rsidR="00CD5A89" w:rsidRPr="00DB7B7F">
        <w:t xml:space="preserve"> Dodatkowy współczynnik skuteczności TT wynikający z doświadczeń.</w:t>
      </w:r>
    </w:p>
    <w:p w:rsidR="0015366E" w:rsidRDefault="003B0797" w:rsidP="00B27B23">
      <w:pPr>
        <w:pStyle w:val="Nagwek2"/>
        <w:jc w:val="both"/>
        <w:rPr>
          <w:rFonts w:asciiTheme="minorHAnsi" w:hAnsiTheme="minorHAnsi"/>
        </w:rPr>
      </w:pPr>
      <w:bookmarkStart w:id="9" w:name="_Toc309134805"/>
      <w:r>
        <w:rPr>
          <w:rFonts w:asciiTheme="minorHAnsi" w:hAnsiTheme="minorHAnsi"/>
        </w:rPr>
        <w:t>Powiązania czyli „l</w:t>
      </w:r>
      <w:r w:rsidR="00327796" w:rsidRPr="00DB7B7F">
        <w:rPr>
          <w:rFonts w:asciiTheme="minorHAnsi" w:hAnsiTheme="minorHAnsi"/>
        </w:rPr>
        <w:t>inki</w:t>
      </w:r>
      <w:r>
        <w:rPr>
          <w:rFonts w:asciiTheme="minorHAnsi" w:hAnsiTheme="minorHAnsi"/>
        </w:rPr>
        <w:t>”</w:t>
      </w:r>
      <w:bookmarkEnd w:id="9"/>
    </w:p>
    <w:p w:rsidR="0045671A" w:rsidRPr="00DB7B7F" w:rsidRDefault="0045671A" w:rsidP="00B27B23">
      <w:pPr>
        <w:pStyle w:val="Tekstpodstawowy"/>
        <w:jc w:val="both"/>
      </w:pPr>
      <w:r w:rsidRPr="00DB7B7F">
        <w:t xml:space="preserve">Oprócz węzłów, w modelowanej scenie kluczowe są również powiązania między nimi. Aby je zdefiniować należy przypisać do nich szereg wartości: określić typ linku, węzeł źródłowy oraz </w:t>
      </w:r>
      <w:r w:rsidRPr="00DB7B7F">
        <w:lastRenderedPageBreak/>
        <w:t>cel, jego wagę, kolor</w:t>
      </w:r>
      <w:r w:rsidR="003B0797">
        <w:t xml:space="preserve"> (w sposób analogiczny jak dla węzłów)</w:t>
      </w:r>
      <w:r w:rsidRPr="00DB7B7F">
        <w:t>, a także parametr Z. Sposób definiowania linków przedstawia poniższa tabela:</w:t>
      </w:r>
    </w:p>
    <w:p w:rsidR="00F55CB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6910" cy="502920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10. Parametry linków.</w:t>
      </w:r>
    </w:p>
    <w:p w:rsidR="00CF559B" w:rsidRPr="00DB7B7F" w:rsidRDefault="00CF559B" w:rsidP="00B27B23">
      <w:pPr>
        <w:jc w:val="both"/>
      </w:pPr>
      <w:r w:rsidRPr="00DB7B7F">
        <w:t xml:space="preserve">W modelu </w:t>
      </w:r>
      <w:r w:rsidR="003B0797">
        <w:t xml:space="preserve">transferu technologii </w:t>
      </w:r>
      <w:r w:rsidRPr="00DB7B7F">
        <w:t xml:space="preserve">wprowadzono różne </w:t>
      </w:r>
      <w:r w:rsidR="003B0797">
        <w:t>typy</w:t>
      </w:r>
      <w:r w:rsidRPr="00DB7B7F">
        <w:t xml:space="preserve"> linków. </w:t>
      </w:r>
      <w:r w:rsidR="008122CC" w:rsidRPr="00DB7B7F">
        <w:t>Dla czarno-szarych powiązań zarówno szerokość linii jak i intensywność są proporcjonalne do wagi. Dla linków kolorowych proporcjonalna do wagi powiązania jest szerokość linii oraz proporcja zadanego koloru w formule mieszającej go z kolorem tła.</w:t>
      </w:r>
    </w:p>
    <w:p w:rsidR="00327796" w:rsidRPr="00DB7B7F" w:rsidRDefault="00327796" w:rsidP="00B27B23">
      <w:pPr>
        <w:pStyle w:val="Tekstpodstawowy"/>
        <w:jc w:val="both"/>
      </w:pPr>
      <w:r w:rsidRPr="00DB7B7F">
        <w:t xml:space="preserve">Każdy link (powiązanie) sieci musi mieć zdefiniowane wartości w co najmniej 6 kolumnach.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powiązania musi zawierać w nazwie typu rdzeń </w:t>
      </w:r>
      <w:r w:rsidRPr="00DB7B7F">
        <w:rPr>
          <w:b/>
        </w:rPr>
        <w:t>link</w:t>
      </w:r>
      <w:r w:rsidR="00CF559B" w:rsidRPr="00DB7B7F">
        <w:t>. Nazwa definiuje typ linku, połączenia.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2 (B) – zawiera </w:t>
      </w:r>
      <w:r w:rsidRPr="00DB7B7F">
        <w:rPr>
          <w:b/>
        </w:rPr>
        <w:t>nazwę pierwszego z połączonych węzłów</w:t>
      </w:r>
      <w:r w:rsidRPr="00DB7B7F">
        <w:t>. W przypadku interpretacji linku jako linku skierowanego jest to źródło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3 </w:t>
      </w:r>
      <w:r w:rsidR="00EC5639" w:rsidRPr="00DB7B7F">
        <w:t>(C)</w:t>
      </w:r>
      <w:r w:rsidRPr="00DB7B7F">
        <w:t xml:space="preserve"> – zawiera </w:t>
      </w:r>
      <w:r w:rsidRPr="00DB7B7F">
        <w:rPr>
          <w:b/>
        </w:rPr>
        <w:t>nazwę drugiego z połączonych węzłów</w:t>
      </w:r>
      <w:r w:rsidRPr="00DB7B7F">
        <w:t>. W przypadku interpretacji linku jako linku skierowanego jest to cel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powiązania</w:t>
      </w:r>
      <w:r w:rsidRPr="00DB7B7F">
        <w:t xml:space="preserve">, która powinna być ułamkiem dziesiętnym w zakresie </w:t>
      </w:r>
      <w:r w:rsidRPr="00DB7B7F">
        <w:rPr>
          <w:b/>
        </w:rPr>
        <w:t>(0..1&gt;</w:t>
      </w:r>
      <w:r w:rsidRPr="00DB7B7F">
        <w:t>.</w:t>
      </w:r>
      <w:r w:rsidR="00D96093">
        <w:t xml:space="preserve"> </w:t>
      </w:r>
      <w:r w:rsidRPr="00DB7B7F">
        <w:t>Wartości ujemne i równe 0 są traktowane jako błędne, wartości większe niż 1 mogą powodować błędy w wizualizacji</w:t>
      </w:r>
      <w:r w:rsidR="00CF559B" w:rsidRPr="00DB7B7F">
        <w:t>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5 (E) – zawiera </w:t>
      </w:r>
      <w:r w:rsidRPr="00DB7B7F">
        <w:rPr>
          <w:b/>
        </w:rPr>
        <w:t>domyślny kolor</w:t>
      </w:r>
      <w:r w:rsidRPr="00DB7B7F">
        <w:t xml:space="preserve"> powiązania definiowany ze składowych RGB. Wartość 0 w tym polu oznacza, że kolor będzie definiowany odcieniami szarości zależnymi od wagi linku. Przy innych kolorach waga linku oznacza proporcje pomiędzy kolorem zdefiniowanym a kolorem tła (im mniejsza waga tym kolor bardziej zbliżony do tła.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6 (F) – zawiera wartość </w:t>
      </w:r>
      <w:r w:rsidRPr="00DB7B7F">
        <w:rPr>
          <w:b/>
        </w:rPr>
        <w:t>Z</w:t>
      </w:r>
      <w:r w:rsidRPr="00DB7B7F">
        <w:t xml:space="preserve"> czyli „wysokość” powiązania względem innych powiązań. Im większa wartość tym powiązanie rysowane bardziej na wierzchu.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>Dalsze kolumny w dowolnej ilości stanowią dane o znaczeniu ważnym tylko dla konkretnego modelu. Parametry linków są opisane w głównej części raportu</w:t>
      </w:r>
      <w:r w:rsidR="007B369F" w:rsidRPr="00DB7B7F">
        <w:t>.</w:t>
      </w:r>
    </w:p>
    <w:p w:rsidR="0015366E" w:rsidRDefault="00BC718D" w:rsidP="00B27B23">
      <w:pPr>
        <w:pStyle w:val="Nagwek2"/>
        <w:jc w:val="both"/>
        <w:rPr>
          <w:rFonts w:asciiTheme="minorHAnsi" w:hAnsiTheme="minorHAnsi"/>
        </w:rPr>
      </w:pPr>
      <w:bookmarkStart w:id="10" w:name="_Toc309134806"/>
      <w:r w:rsidRPr="00DB7B7F">
        <w:rPr>
          <w:rFonts w:asciiTheme="minorHAnsi" w:hAnsiTheme="minorHAnsi"/>
        </w:rPr>
        <w:t>Typy Linków</w:t>
      </w:r>
      <w:bookmarkEnd w:id="10"/>
    </w:p>
    <w:p w:rsidR="003B0797" w:rsidRPr="003B0797" w:rsidRDefault="003B0797" w:rsidP="003B0797">
      <w:r>
        <w:t>W modelu transferu technologii używane są następujące typy linków: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 xml:space="preserve">GenLink </w:t>
      </w:r>
      <w:r w:rsidRPr="00DB7B7F">
        <w:t>– podstawowe połączenia</w:t>
      </w:r>
      <w:r w:rsidR="00A238A3">
        <w:t xml:space="preserve"> zdefiniowane w bibliotece SPS</w:t>
      </w:r>
      <w:r w:rsidRPr="00DB7B7F">
        <w:t>. Służą do połączenia np. firm z rynkiem. Jest to</w:t>
      </w:r>
      <w:r w:rsidR="00A238A3">
        <w:t xml:space="preserve"> niesprecyzowany</w:t>
      </w:r>
      <w:r w:rsidRPr="00DB7B7F">
        <w:t xml:space="preserve"> kanał wymiany </w:t>
      </w:r>
      <w:r w:rsidR="00A238A3">
        <w:t xml:space="preserve">dowolnych typów </w:t>
      </w:r>
      <w:r w:rsidRPr="00DB7B7F">
        <w:t>informacji pomiędzy agentami.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 xml:space="preserve">AdminLink </w:t>
      </w:r>
      <w:r w:rsidRPr="00DB7B7F">
        <w:t xml:space="preserve">– sieć zależności formalnych, administracyjnych. </w:t>
      </w:r>
      <w:r w:rsidR="00D96093">
        <w:t>Jest połą</w:t>
      </w:r>
      <w:r w:rsidR="00A238A3">
        <w:t xml:space="preserve">czeniem skierowanym (od podległego do nadrzędnego węzła) i selekcjonującym informacje. </w:t>
      </w:r>
      <w:r w:rsidRPr="00DB7B7F">
        <w:t xml:space="preserve">Służy do ustalenia zależności w strukturach uniwersyteckich, czy administracji </w:t>
      </w:r>
      <w:r w:rsidRPr="00DB7B7F">
        <w:lastRenderedPageBreak/>
        <w:t xml:space="preserve">publicznej. Np. jednostka naukowa </w:t>
      </w:r>
      <w:r w:rsidRPr="00DB7B7F">
        <w:rPr>
          <w:i/>
        </w:rPr>
        <w:t>ResearchUNode</w:t>
      </w:r>
      <w:r w:rsidRPr="00DB7B7F">
        <w:t xml:space="preserve"> jest podległa z Wydziałem </w:t>
      </w:r>
      <w:r w:rsidRPr="00DB7B7F">
        <w:rPr>
          <w:i/>
        </w:rPr>
        <w:t>AdminNode</w:t>
      </w:r>
      <w:r w:rsidRPr="00DB7B7F">
        <w:t xml:space="preserve">, który jest podległy uniwersytetowi </w:t>
      </w:r>
      <w:r w:rsidRPr="00DB7B7F">
        <w:rPr>
          <w:i/>
        </w:rPr>
        <w:t>AdminNode.</w:t>
      </w:r>
    </w:p>
    <w:p w:rsidR="003B0797" w:rsidRPr="00DB7B7F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>SocialLink</w:t>
      </w:r>
      <w:r w:rsidRPr="00DB7B7F">
        <w:t xml:space="preserve"> – sieć społeczna tworzona pomiędzy agentami. Odwzorowuje połączenia nieformalne, np. znajomości, kontakty towarzyskie etc. pomiędzy agentami.</w:t>
      </w:r>
      <w:r w:rsidR="00A238A3">
        <w:t xml:space="preserve"> Jest linkiem skierowanym, a jego waga symbolizuje w modelu poziom zaufania.</w:t>
      </w:r>
    </w:p>
    <w:p w:rsidR="00F55CBB" w:rsidRPr="00DB7B7F" w:rsidRDefault="007B369F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514975" cy="1295400"/>
            <wp:effectExtent l="19050" t="0" r="9525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9" t="13277" r="1818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9F" w:rsidRPr="00DB7B7F" w:rsidRDefault="00F55CBB" w:rsidP="00B27B23">
      <w:pPr>
        <w:pStyle w:val="Legenda"/>
        <w:jc w:val="both"/>
      </w:pPr>
      <w:r w:rsidRPr="00DB7B7F">
        <w:t xml:space="preserve"> Rys. 11. Parametry linków w tabeli programu.</w:t>
      </w:r>
    </w:p>
    <w:p w:rsidR="00926CCA" w:rsidRDefault="00BC718D" w:rsidP="00926CCA">
      <w:pPr>
        <w:pStyle w:val="Akapitzlist"/>
        <w:numPr>
          <w:ilvl w:val="0"/>
          <w:numId w:val="11"/>
        </w:numPr>
        <w:jc w:val="both"/>
      </w:pPr>
      <w:r w:rsidRPr="00DB7B7F">
        <w:rPr>
          <w:b/>
        </w:rPr>
        <w:t xml:space="preserve">CoopLink </w:t>
      </w:r>
      <w:r w:rsidRPr="00DB7B7F">
        <w:t>– sieć współpracy pomiędzy agentami. Definiuje który agent oficjaln</w:t>
      </w:r>
      <w:r w:rsidR="00822F5D" w:rsidRPr="00DB7B7F">
        <w:t>ie współpracuje z jakim agentem, czyli trwające kontrakty, umowy, czy np. przekazanie licencji przez Jednostkę Naukową dla Firmy.</w:t>
      </w:r>
      <w:r w:rsidR="00926CCA" w:rsidRPr="00926CCA">
        <w:t xml:space="preserve"> </w:t>
      </w:r>
    </w:p>
    <w:p w:rsidR="00926CCA" w:rsidRPr="00DB7B7F" w:rsidRDefault="00926CCA" w:rsidP="00926CCA">
      <w:pPr>
        <w:ind w:left="720"/>
        <w:jc w:val="both"/>
      </w:pPr>
      <w:r w:rsidRPr="00DB7B7F">
        <w:t>Dodatkow</w:t>
      </w:r>
      <w:r w:rsidR="00DB034C">
        <w:t>e</w:t>
      </w:r>
      <w:r w:rsidRPr="00DB7B7F">
        <w:t xml:space="preserve"> parametr</w:t>
      </w:r>
      <w:r w:rsidR="00DB034C">
        <w:t>y</w:t>
      </w:r>
      <w:r w:rsidRPr="00DB7B7F">
        <w:t>:</w:t>
      </w:r>
    </w:p>
    <w:p w:rsidR="00DB034C" w:rsidRDefault="00926CCA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Pr="00DB7B7F">
        <w:rPr>
          <w:b/>
        </w:rPr>
        <w:t>Wygięcie</w:t>
      </w:r>
      <w:r w:rsidRPr="00DB7B7F">
        <w:t xml:space="preserve"> </w:t>
      </w:r>
      <w:r>
        <w:t>istnieje dla linków społecznych i kooperacyjnych. J</w:t>
      </w:r>
      <w:r w:rsidRPr="00DB7B7F">
        <w:t xml:space="preserve">est też skorelowane z tempem zanikania </w:t>
      </w:r>
      <w:r>
        <w:t>zrealizowanego łącza kooperacyjnego (łącze bliskie terminu zakończenia zaczyna się „wyginać”)</w:t>
      </w:r>
      <w:r w:rsidRPr="00DB7B7F">
        <w:t xml:space="preserve">. </w:t>
      </w:r>
      <w:r>
        <w:t>Bezpieczny z</w:t>
      </w:r>
      <w:r w:rsidRPr="00DB7B7F">
        <w:t>akres  parametr</w:t>
      </w:r>
      <w:r>
        <w:t>u to</w:t>
      </w:r>
      <w:r w:rsidRPr="00DB7B7F">
        <w:t xml:space="preserve"> (-1,1).</w:t>
      </w:r>
    </w:p>
    <w:p w:rsidR="0015366E" w:rsidRDefault="00822F5D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="005045CD" w:rsidRPr="00DB034C">
        <w:rPr>
          <w:b/>
        </w:rPr>
        <w:t>Zrealizowany</w:t>
      </w:r>
      <w:r w:rsidR="005045CD" w:rsidRPr="00DB7B7F">
        <w:t xml:space="preserve"> - Jeśli </w:t>
      </w:r>
      <w:r w:rsidRPr="00DB7B7F">
        <w:t xml:space="preserve">parametr </w:t>
      </w:r>
      <w:r w:rsidR="005045CD" w:rsidRPr="00DB7B7F">
        <w:t>&lt;&gt;</w:t>
      </w:r>
      <w:r w:rsidRPr="00DB7B7F">
        <w:t xml:space="preserve"> </w:t>
      </w:r>
      <w:r w:rsidR="005045CD" w:rsidRPr="00DB7B7F">
        <w:t xml:space="preserve">0 to link </w:t>
      </w:r>
      <w:r w:rsidR="00DB034C">
        <w:t xml:space="preserve">kooperacyjny </w:t>
      </w:r>
      <w:r w:rsidR="005045CD" w:rsidRPr="00DB7B7F">
        <w:t xml:space="preserve">służy już tylko do przekazu </w:t>
      </w:r>
      <w:r w:rsidRPr="00DB7B7F">
        <w:t>honorarium (pieniędzy) za licencję. Może mimo to zostać odnowiony, co odwzorowuje k</w:t>
      </w:r>
      <w:r w:rsidR="009745DC" w:rsidRPr="00DB7B7F">
        <w:t>olejny kontakt, albo współpracę.</w:t>
      </w:r>
    </w:p>
    <w:p w:rsidR="000B0A14" w:rsidRPr="0015366E" w:rsidRDefault="000B0A14" w:rsidP="0015366E">
      <w:pPr>
        <w:pStyle w:val="Nagwek2"/>
        <w:jc w:val="both"/>
        <w:rPr>
          <w:rFonts w:asciiTheme="minorHAnsi" w:hAnsiTheme="minorHAnsi"/>
        </w:rPr>
      </w:pPr>
      <w:bookmarkStart w:id="11" w:name="_Toc309134807"/>
      <w:r w:rsidRPr="00DB7B7F">
        <w:rPr>
          <w:rFonts w:asciiTheme="minorHAnsi" w:hAnsiTheme="minorHAnsi"/>
        </w:rPr>
        <w:t>Procesy</w:t>
      </w:r>
      <w:bookmarkEnd w:id="11"/>
    </w:p>
    <w:p w:rsidR="000B0A14" w:rsidRPr="00DB7B7F" w:rsidRDefault="000B0A14" w:rsidP="000B0A14">
      <w:pPr>
        <w:pStyle w:val="Tekstpodstawowy"/>
        <w:jc w:val="both"/>
      </w:pPr>
      <w:r w:rsidRPr="00DB7B7F">
        <w:t>W modelu uwzględniono również poszczególne działania węzłów – czyli procesy. Procesy mogą mieć różny charakter. Mogą dotyczyć działań związanych z realizowaniem formalności i tworzeniem raportów, mogą być bezpośrednio powiązane z transferem technologii. Każdy z nich w różny sposób przyczynia się do działania modelu. Niektóre z ich są naturalnym „obciążeniem” węzłów – tak, jak na przykład działaln</w:t>
      </w:r>
      <w:r w:rsidR="00054876">
        <w:t xml:space="preserve">ość </w:t>
      </w:r>
      <w:r w:rsidRPr="00DB7B7F">
        <w:t xml:space="preserve">dydaktyczna Jednostek </w:t>
      </w:r>
      <w:r w:rsidR="00054876">
        <w:t xml:space="preserve">Naukowych </w:t>
      </w:r>
      <w:r w:rsidRPr="00DB7B7F">
        <w:t xml:space="preserve">- niezbędna, jednak nie powiązana bezpośrednio z tworzeniem innowacji, inne są poszczególnymi etapami rozwoju bądź transferu nowych technologii. W modelu zaimplementowano proces związany z realizowaniem zadań bieżących (GenProc); tworzeniem nowych powiązań (SocialProc); produkowaniem głównego produktu rynkowego (ProductProc); tworzeniem raportów (ReportProc); poszukiwaniem inspiracji do tworzenia produktu opartego o innowacji (TTSearchProc) oraz dofinansowaniem (FinSourceProc). Dokładny opis procesów przedstawiono w głównej części raportu. </w:t>
      </w:r>
    </w:p>
    <w:p w:rsidR="000B0A14" w:rsidRPr="00DB7B7F" w:rsidRDefault="000B0A14" w:rsidP="000B0A14">
      <w:pPr>
        <w:pStyle w:val="Tekstpodstawowy"/>
        <w:jc w:val="both"/>
      </w:pPr>
      <w:r w:rsidRPr="00DB7B7F">
        <w:lastRenderedPageBreak/>
        <w:t>Procesy, podobnie jak agenci oraz powiązania między nimi, również są definiowane pr</w:t>
      </w:r>
      <w:r w:rsidR="00054876">
        <w:t>zez użytkownika modelu w scenie, choć niektóre typy agentów mogą generować pewne procesy spontanicznie.</w:t>
      </w:r>
    </w:p>
    <w:p w:rsidR="000B0A14" w:rsidRPr="00DB7B7F" w:rsidRDefault="000B0A14" w:rsidP="000B0A14">
      <w:pPr>
        <w:pStyle w:val="Tekstpodstawowy"/>
        <w:jc w:val="both"/>
      </w:pPr>
      <w:r w:rsidRPr="00DB7B7F">
        <w:t>Przykładowy, uzupełniony fragment sceny opisujący procesy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procesów w scenie symulacji.</w:t>
      </w:r>
    </w:p>
    <w:p w:rsidR="000B0A14" w:rsidRPr="00DB7B7F" w:rsidRDefault="000B0A14" w:rsidP="000B0A14">
      <w:pPr>
        <w:pStyle w:val="Tekstpodstawowy"/>
        <w:jc w:val="both"/>
      </w:pPr>
      <w:r w:rsidRPr="00DB7B7F">
        <w:t xml:space="preserve">Każdy proces odbywa się na danym węźle (węzeł realizujący) i musi mieć zdefiniowane wartości, w co najmniej 9 kolumnach. Poszczególne typy procesów różnią się nieznacznie od siebie i wymagają uzupełnienia wartości w kolumnach. Poniżej przedstawione zostaną wartości charakterystyczne dla kolejnych procesów. 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2" w:name="_Toc309134808"/>
      <w:r w:rsidRPr="00DB7B7F">
        <w:rPr>
          <w:rFonts w:asciiTheme="minorHAnsi" w:hAnsiTheme="minorHAnsi"/>
        </w:rPr>
        <w:t>GenProc</w:t>
      </w:r>
      <w:bookmarkEnd w:id="12"/>
    </w:p>
    <w:p w:rsidR="000B0A14" w:rsidRPr="00DB7B7F" w:rsidRDefault="000B0A14" w:rsidP="000B0A14">
      <w:pPr>
        <w:pStyle w:val="Tekstpodstawowy"/>
        <w:jc w:val="both"/>
      </w:pPr>
      <w:r w:rsidRPr="00DB7B7F">
        <w:t>GenProc to proces związany z dociążeniem węzła zadaniami statutowymi nie związanymi bezpośrednio z procesem transferu technologii. Część tabeli związana ze zdefiniowaniem tego procesu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870932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procesu GenProc.</w:t>
      </w:r>
    </w:p>
    <w:p w:rsidR="000B0A14" w:rsidRPr="00DB7B7F" w:rsidRDefault="000B0A14" w:rsidP="000B0A14">
      <w:pPr>
        <w:pStyle w:val="Tekstpodstawowy"/>
        <w:numPr>
          <w:ilvl w:val="0"/>
          <w:numId w:val="11"/>
        </w:numPr>
        <w:ind w:left="709"/>
        <w:jc w:val="both"/>
      </w:pPr>
      <w:r w:rsidRPr="00DB7B7F">
        <w:t>Kolumna 1 (A) - zawierać musi nazwę typu. Nazwa definiuje typ procesu. W tym przypadku jest to „</w:t>
      </w:r>
      <w:r w:rsidRPr="00DB7B7F">
        <w:rPr>
          <w:b/>
        </w:rPr>
        <w:t xml:space="preserve">genproc”.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2 (B) – zawiera opisową </w:t>
      </w:r>
      <w:r w:rsidRPr="00DB7B7F">
        <w:rPr>
          <w:b/>
        </w:rPr>
        <w:t>nazwę procesu.</w:t>
      </w:r>
      <w:r w:rsidRPr="00DB7B7F">
        <w:t xml:space="preserve">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 dla danego procesu</w:t>
      </w:r>
      <w:r w:rsidRPr="00DB7B7F">
        <w:t>. Jest to mała liczba naturalna. Wartości ujemne i równe 0 są traktowane jako błędne, wartości niecałkowite mogą powodować błędy w wizualizacji.</w:t>
      </w:r>
      <w:r w:rsidR="00054876">
        <w:t xml:space="preserve"> Parametr ten jest ważny tylko na początku symulacji, potem priorytety są przeliczane na bieżąco przez algorytmy przydziału zasobów działające na węzłach.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lastRenderedPageBreak/>
        <w:t xml:space="preserve">Kolumna 7 (G) – zawiera parametr opisujący </w:t>
      </w:r>
      <w:r w:rsidRPr="00DB7B7F">
        <w:rPr>
          <w:b/>
        </w:rPr>
        <w:t>ile „osobodni” jest wymagane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054876">
        <w:rPr>
          <w:b/>
        </w:rPr>
        <w:t xml:space="preserve"> (dni)</w:t>
      </w:r>
      <w:r w:rsidRPr="00DB7B7F">
        <w:t xml:space="preserve">, jaka pozostała jeszcze </w:t>
      </w:r>
      <w:r w:rsidR="00054876">
        <w:t xml:space="preserve">wymaganego terminu </w:t>
      </w:r>
      <w:r w:rsidRPr="00DB7B7F">
        <w:t>ukończenia danego procesu w momencie startu modelu.</w:t>
      </w:r>
      <w:r w:rsidR="00054876">
        <w:t xml:space="preserve"> Odległość do deadlin</w:t>
      </w:r>
      <w:r w:rsidR="0038672D">
        <w:t>e’</w:t>
      </w:r>
      <w:r w:rsidR="00054876">
        <w:t>u wpływa na priorytet procesu</w:t>
      </w:r>
      <w:r w:rsidR="0038672D">
        <w:t>, j</w:t>
      </w:r>
      <w:r w:rsidR="00054876">
        <w:t xml:space="preserve">ednak proces </w:t>
      </w:r>
      <w:r w:rsidR="0038672D">
        <w:t>sam „decyduje”, czy jest już zakończony.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9 (I) – została zarezerwowana do dalszych wartości ewentualnie potrzebnych w implementacji.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 xml:space="preserve">komentarze </w:t>
      </w:r>
      <w:r w:rsidRPr="00DB7B7F">
        <w:t>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3" w:name="_Toc309134809"/>
      <w:r w:rsidRPr="00DB7B7F">
        <w:rPr>
          <w:rFonts w:asciiTheme="minorHAnsi" w:hAnsiTheme="minorHAnsi"/>
        </w:rPr>
        <w:t>SocialProc</w:t>
      </w:r>
      <w:bookmarkEnd w:id="13"/>
    </w:p>
    <w:p w:rsidR="000B0A14" w:rsidRPr="00DB7B7F" w:rsidRDefault="001F04A2" w:rsidP="000B0A14">
      <w:pPr>
        <w:pStyle w:val="Tekstpodstawowy"/>
        <w:jc w:val="both"/>
      </w:pPr>
      <w:r w:rsidRPr="00DB7B7F">
        <w:t>SocialProc</w:t>
      </w:r>
      <w:r w:rsidRPr="001F04A2">
        <w:t xml:space="preserve"> </w:t>
      </w:r>
      <w:r>
        <w:t>(</w:t>
      </w:r>
      <w:r w:rsidRPr="001F04A2">
        <w:t>Aktywność społeczna</w:t>
      </w:r>
      <w:r>
        <w:t>)</w:t>
      </w:r>
      <w:r w:rsidRPr="001F04A2">
        <w:t xml:space="preserve"> - procesy związane z tworzeniem się bądź zanikaniem poszczególnych linków pomiędzy agentami. Wymiana różnych informacji, służących zdobywaniu “wiedzy o świecie”, a także odbieranie zapytań typu pull/ push.</w:t>
      </w:r>
      <w:r w:rsidR="000B0A14" w:rsidRPr="00DB7B7F">
        <w:t xml:space="preserve"> Fragment tabeli definiujący tę część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14. Definiowanie procesu SocialProc.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typu.</w:t>
      </w:r>
      <w:r w:rsidRPr="00DB7B7F">
        <w:t xml:space="preserve"> Nazwa definiuje typ procesu. W tym przypadku jest to „</w:t>
      </w:r>
      <w:r w:rsidRPr="00DB7B7F">
        <w:rPr>
          <w:b/>
        </w:rPr>
        <w:t xml:space="preserve">SocialProc”.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na </w:t>
      </w:r>
      <w:r w:rsidRPr="00DB7B7F">
        <w:rPr>
          <w:b/>
        </w:rPr>
        <w:t>ile zaawansowany jest dany</w:t>
      </w:r>
      <w:r w:rsidRPr="00DB7B7F">
        <w:t xml:space="preserve">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wymaga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ile procent czasu</w:t>
      </w:r>
      <w:r w:rsidRPr="00DB7B7F">
        <w:t xml:space="preserve"> dany węzeł poświęca na realizację tego procesu.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4" w:name="_Toc309134810"/>
      <w:r w:rsidRPr="00DB7B7F">
        <w:rPr>
          <w:rFonts w:asciiTheme="minorHAnsi" w:hAnsiTheme="minorHAnsi"/>
        </w:rPr>
        <w:t>ProductProc</w:t>
      </w:r>
      <w:bookmarkEnd w:id="14"/>
    </w:p>
    <w:p w:rsidR="000B0A14" w:rsidRPr="00DB7B7F" w:rsidRDefault="000B0A14" w:rsidP="000B0A14">
      <w:pPr>
        <w:pStyle w:val="Tekstpodstawowy"/>
        <w:jc w:val="both"/>
      </w:pPr>
      <w:r w:rsidRPr="00DB7B7F">
        <w:t xml:space="preserve">ProductProc </w:t>
      </w:r>
      <w:r w:rsidR="001F04A2">
        <w:t>(</w:t>
      </w:r>
      <w:r w:rsidR="001F04A2" w:rsidRPr="001F04A2">
        <w:t>Produkcja</w:t>
      </w:r>
      <w:r w:rsidR="001F04A2">
        <w:t>)</w:t>
      </w:r>
      <w:r w:rsidR="001F04A2" w:rsidRPr="001F04A2">
        <w:t xml:space="preserve"> - proces podczas którego firma wykorzystuje uzyskaną innowację do produkcji, której efekty wysyła na rynek po określonej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767715"/>
            <wp:effectExtent l="19050" t="0" r="0" b="0"/>
            <wp:docPr id="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15. Definiowanie procesu ProductProc.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r w:rsidRPr="00DB7B7F">
        <w:rPr>
          <w:b/>
        </w:rPr>
        <w:t xml:space="preserve">ProductProc”.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2 (B) – zawiera </w:t>
      </w:r>
      <w:r w:rsidRPr="00DB7B7F">
        <w:rPr>
          <w:b/>
        </w:rPr>
        <w:t>opisową nazwę</w:t>
      </w:r>
      <w:r w:rsidRPr="00DB7B7F">
        <w:t xml:space="preserve">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</w:t>
      </w:r>
      <w:r w:rsidRPr="00DB7B7F">
        <w:t xml:space="preserve"> proces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4 (D) – zawiera </w:t>
      </w:r>
      <w:r w:rsidRPr="00DB7B7F">
        <w:rPr>
          <w:b/>
        </w:rPr>
        <w:t xml:space="preserve">priorytet </w:t>
      </w:r>
      <w:r w:rsidRPr="00DB7B7F">
        <w:t>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9 (I) – określa </w:t>
      </w:r>
      <w:r w:rsidRPr="00DB7B7F">
        <w:rPr>
          <w:b/>
        </w:rPr>
        <w:t xml:space="preserve">odbiorcę </w:t>
      </w:r>
      <w:r w:rsidRPr="00DB7B7F">
        <w:t>wyniku tego procesu – węzeł, który otrzyma produkt końcowy.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5" w:name="_Toc309134811"/>
      <w:r w:rsidRPr="00DB7B7F">
        <w:rPr>
          <w:rFonts w:asciiTheme="minorHAnsi" w:hAnsiTheme="minorHAnsi"/>
        </w:rPr>
        <w:t>ReportProc</w:t>
      </w:r>
      <w:bookmarkEnd w:id="15"/>
    </w:p>
    <w:p w:rsidR="000B0A14" w:rsidRPr="00DB7B7F" w:rsidRDefault="000B0A14" w:rsidP="000B0A14">
      <w:pPr>
        <w:pStyle w:val="Tekstpodstawowy"/>
        <w:jc w:val="both"/>
      </w:pPr>
      <w:r w:rsidRPr="00DB7B7F">
        <w:t xml:space="preserve">ReportProc </w:t>
      </w:r>
      <w:r w:rsidR="001F04A2">
        <w:t>(</w:t>
      </w:r>
      <w:r w:rsidR="001F04A2" w:rsidRPr="001F04A2">
        <w:t>Realizacja zadań bieżących i raportowanie</w:t>
      </w:r>
      <w:r w:rsidR="001F04A2">
        <w:t>)</w:t>
      </w:r>
      <w:r w:rsidR="001F04A2" w:rsidRPr="001F04A2">
        <w:t xml:space="preserve"> - procesy bieżące agentów. W przypadku JN raportowanie wiąże się z uzyskaniem finansów na bieżącą działalność</w:t>
      </w:r>
      <w:r w:rsidR="001F04A2">
        <w:t>.</w:t>
      </w:r>
      <w:r w:rsidRPr="00DB7B7F">
        <w:t xml:space="preserve"> Część tabeli definiująca ten proces wygląda następująco:</w:t>
      </w:r>
    </w:p>
    <w:p w:rsidR="000B0A14" w:rsidRPr="00DB7B7F" w:rsidRDefault="000B0A14" w:rsidP="00B32AB2">
      <w:pPr>
        <w:keepNext/>
        <w:spacing w:after="0"/>
        <w:jc w:val="both"/>
      </w:pPr>
      <w:r w:rsidRPr="00DB7B7F">
        <w:rPr>
          <w:noProof/>
          <w:lang w:eastAsia="pl-PL"/>
        </w:rPr>
        <w:lastRenderedPageBreak/>
        <w:drawing>
          <wp:inline distT="0" distB="0" distL="0" distR="0">
            <wp:extent cx="5753735" cy="1138555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16. Definiowanie procesu ReportProc.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r w:rsidRPr="00DB7B7F">
        <w:rPr>
          <w:b/>
        </w:rPr>
        <w:t xml:space="preserve">ReportProc”.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odbiorcę wyniku tego procesu</w:t>
      </w:r>
      <w:r w:rsidRPr="00DB7B7F">
        <w:t xml:space="preserve"> – węzeł, do którego wysyłany jest raport.  </w:t>
      </w:r>
    </w:p>
    <w:p w:rsidR="009745DC" w:rsidRPr="00DB7B7F" w:rsidRDefault="000B0A14" w:rsidP="009745DC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6" w:name="_Toc309134812"/>
      <w:r w:rsidRPr="00DB7B7F">
        <w:rPr>
          <w:rFonts w:asciiTheme="minorHAnsi" w:hAnsiTheme="minorHAnsi"/>
        </w:rPr>
        <w:t>TTSearchProc</w:t>
      </w:r>
      <w:bookmarkEnd w:id="16"/>
    </w:p>
    <w:p w:rsidR="000B0A14" w:rsidRPr="00DB7B7F" w:rsidRDefault="000B0A14" w:rsidP="000B0A14">
      <w:pPr>
        <w:pStyle w:val="Tekstpodstawowy"/>
        <w:jc w:val="both"/>
        <w:rPr>
          <w:b/>
        </w:rPr>
      </w:pPr>
      <w:r w:rsidRPr="00DB7B7F">
        <w:t>TTSearchProc</w:t>
      </w:r>
      <w:r w:rsidR="00D96093">
        <w:t xml:space="preserve"> (Transfer Technologii)</w:t>
      </w:r>
      <w:r w:rsidRPr="00DB7B7F">
        <w:t xml:space="preserve"> </w:t>
      </w:r>
      <w:r w:rsidR="001F04A2">
        <w:t xml:space="preserve">to </w:t>
      </w:r>
      <w:r w:rsidR="001F04A2" w:rsidRPr="001F04A2">
        <w:t>etap związany z poszukiwaniem i skompletowaniem partnerów do komercjalizacji danej technologii/wyniku naukowego; wykonywany przez właściciela procesu TT.</w:t>
      </w:r>
      <w:r w:rsidRPr="00DB7B7F">
        <w:t xml:space="preserve">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672877"/>
            <wp:effectExtent l="19050" t="0" r="0" b="0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17. Definiowanie procesu TTSearchProc.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r w:rsidRPr="00DB7B7F">
        <w:rPr>
          <w:b/>
        </w:rPr>
        <w:t xml:space="preserve">TTSearchProc”.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</w:t>
      </w:r>
      <w:r w:rsidRPr="00DB7B7F">
        <w:rPr>
          <w:b/>
        </w:rPr>
        <w:t xml:space="preserve">parametr </w:t>
      </w:r>
      <w:r w:rsidRPr="00DB7B7F">
        <w:t xml:space="preserve">opisujący na ile zaawansowany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Kolumna 8 (H) – zawiera</w:t>
      </w:r>
      <w:r w:rsidRPr="00DB7B7F">
        <w:rPr>
          <w:b/>
        </w:rPr>
        <w:t xml:space="preserve"> 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>Kolumna 9 (I) – została zarezerwowana do dalszych wartości ewentualnie potrzebnych w implementacji.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 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7" w:name="_Toc309134813"/>
      <w:r w:rsidRPr="00DB7B7F">
        <w:rPr>
          <w:rFonts w:asciiTheme="minorHAnsi" w:hAnsiTheme="minorHAnsi"/>
        </w:rPr>
        <w:t>FinSourceProc</w:t>
      </w:r>
      <w:bookmarkEnd w:id="17"/>
    </w:p>
    <w:p w:rsidR="000B0A14" w:rsidRPr="00DB7B7F" w:rsidRDefault="000B0A14" w:rsidP="000B0A14">
      <w:pPr>
        <w:pStyle w:val="Tekstpodstawowy"/>
        <w:jc w:val="both"/>
        <w:rPr>
          <w:b/>
        </w:rPr>
      </w:pPr>
      <w:r w:rsidRPr="00DB7B7F">
        <w:t xml:space="preserve">FinSourceProc </w:t>
      </w:r>
      <w:r w:rsidR="001F04A2">
        <w:t>(</w:t>
      </w:r>
      <w:r w:rsidR="001F04A2" w:rsidRPr="001F04A2">
        <w:t>Poszukiwanie finansowania</w:t>
      </w:r>
      <w:r w:rsidR="001F04A2">
        <w:t xml:space="preserve">) to </w:t>
      </w:r>
      <w:r w:rsidR="001F04A2" w:rsidRPr="001F04A2">
        <w:t>aktywność mająca na celu pozyskanie funduszy potrzebnych do TT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681355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18. Definiowanie procesu FinSourceProc.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r w:rsidRPr="00DB7B7F">
        <w:rPr>
          <w:b/>
        </w:rPr>
        <w:t xml:space="preserve">FinSourceProc”.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jest wymagane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rPr>
          <w:rStyle w:val="Odwoaniedokomentarza"/>
          <w:sz w:val="18"/>
        </w:rPr>
        <w:t>K</w:t>
      </w:r>
      <w:r w:rsidRPr="00DB7B7F">
        <w:t xml:space="preserve">olumna 9 (I) – oznacza </w:t>
      </w:r>
      <w:r w:rsidRPr="00DB7B7F">
        <w:rPr>
          <w:b/>
        </w:rPr>
        <w:t>oczekiwany zwrot z inwestycji</w:t>
      </w:r>
      <w:r w:rsidRPr="00DB7B7F">
        <w:t xml:space="preserve">. </w:t>
      </w:r>
    </w:p>
    <w:p w:rsidR="009745DC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>Kolejne kolumny zawierają komentarze oraz ewentualne dodatkowe parametry implementowane dla poszczególnych modelów.</w:t>
      </w:r>
    </w:p>
    <w:p w:rsidR="0038672D" w:rsidRPr="00DB7B7F" w:rsidRDefault="0038672D" w:rsidP="00D96093">
      <w:pPr>
        <w:ind w:left="349"/>
        <w:jc w:val="both"/>
      </w:pPr>
      <w:r>
        <w:t xml:space="preserve">W modelu transferu istnieją jeszcze procesy typu </w:t>
      </w:r>
      <w:r w:rsidRPr="00D96093">
        <w:rPr>
          <w:b/>
          <w:color w:val="4F81BD" w:themeColor="accent1"/>
        </w:rPr>
        <w:t>ResearchProc</w:t>
      </w:r>
      <w:r>
        <w:t xml:space="preserve"> i </w:t>
      </w:r>
      <w:r w:rsidRPr="00D96093">
        <w:rPr>
          <w:b/>
          <w:color w:val="4F81BD" w:themeColor="accent1"/>
        </w:rPr>
        <w:t>TransferProc</w:t>
      </w:r>
      <w:r>
        <w:t xml:space="preserve">, ale są one uruchamiane automatycznie odpowiednio przez węzły reprezentujące jednostki badawcze oraz węzły posiadające proces </w:t>
      </w:r>
      <w:r w:rsidRPr="00D96093">
        <w:rPr>
          <w:b/>
          <w:color w:val="4F81BD" w:themeColor="accent1"/>
        </w:rPr>
        <w:t>TTSearchProc</w:t>
      </w:r>
    </w:p>
    <w:p w:rsidR="0015366E" w:rsidRDefault="006804C5" w:rsidP="00B27B23">
      <w:pPr>
        <w:pStyle w:val="Nagwek2"/>
        <w:jc w:val="both"/>
        <w:rPr>
          <w:rFonts w:asciiTheme="minorHAnsi" w:hAnsiTheme="minorHAnsi"/>
        </w:rPr>
      </w:pPr>
      <w:bookmarkStart w:id="18" w:name="_Toc309134814"/>
      <w:r w:rsidRPr="00DB7B7F">
        <w:rPr>
          <w:rFonts w:asciiTheme="minorHAnsi" w:hAnsiTheme="minorHAnsi"/>
        </w:rPr>
        <w:t>Eksport pliku definicji</w:t>
      </w:r>
      <w:bookmarkEnd w:id="18"/>
    </w:p>
    <w:p w:rsidR="006804C5" w:rsidRPr="00DB7B7F" w:rsidRDefault="006804C5" w:rsidP="00B27B23">
      <w:pPr>
        <w:pStyle w:val="Tekstpodstawowy"/>
        <w:jc w:val="both"/>
      </w:pPr>
      <w:r w:rsidRPr="00DB7B7F">
        <w:t xml:space="preserve">Gotowy plik definicji należy wyeksportować z </w:t>
      </w:r>
      <w:r w:rsidRPr="00DB7B7F">
        <w:rPr>
          <w:b/>
          <w:i/>
        </w:rPr>
        <w:t>MS Excela</w:t>
      </w:r>
      <w:r w:rsidRPr="00DB7B7F">
        <w:t xml:space="preserve"> lub </w:t>
      </w:r>
      <w:r w:rsidRPr="00DB7B7F">
        <w:rPr>
          <w:b/>
          <w:i/>
        </w:rPr>
        <w:t>OO Calca</w:t>
      </w:r>
      <w:r w:rsidRPr="00DB7B7F">
        <w:t xml:space="preserve"> lub innego arkusza kalkulacyjnego jako </w:t>
      </w:r>
      <w:r w:rsidR="00B366AB" w:rsidRPr="00DB7B7F">
        <w:t>„</w:t>
      </w:r>
      <w:r w:rsidRPr="00DB7B7F">
        <w:t xml:space="preserve">plik tekstowy rozdzielany znakami tabulacji”. </w:t>
      </w:r>
      <w:r w:rsidR="00B366AB" w:rsidRPr="00DB7B7F">
        <w:t>Procedura wczytywania definicji</w:t>
      </w:r>
      <w:r w:rsidRPr="00DB7B7F">
        <w:t xml:space="preserve"> nie wymaga żadnego konkretnego rozszerzenia nazwy</w:t>
      </w:r>
      <w:r w:rsidR="00B366AB" w:rsidRPr="00DB7B7F">
        <w:t>,</w:t>
      </w:r>
      <w:r w:rsidRPr="00DB7B7F">
        <w:t xml:space="preserve"> więc rozszerzenia mogą być kodem modelu</w:t>
      </w:r>
      <w:r w:rsidR="00B366AB" w:rsidRPr="00DB7B7F">
        <w:t xml:space="preserve">. Np. pliki danych dla modelu transferu innowacji mogą mieć rozszerzenie </w:t>
      </w:r>
      <w:r w:rsidR="00B366AB" w:rsidRPr="00DB7B7F">
        <w:rPr>
          <w:b/>
        </w:rPr>
        <w:t>.opi</w:t>
      </w:r>
      <w:r w:rsidR="00B366AB" w:rsidRPr="00DB7B7F">
        <w:t xml:space="preserve">. Pozwala to przypisać odpowiedni plik </w:t>
      </w:r>
      <w:r w:rsidR="00B366AB" w:rsidRPr="00DB7B7F">
        <w:rPr>
          <w:b/>
        </w:rPr>
        <w:t>.exe</w:t>
      </w:r>
      <w:r w:rsidR="00B366AB" w:rsidRPr="00DB7B7F">
        <w:t xml:space="preserve"> zawierający implementacje modelu do właściwych mu plików danych i uruchamiać właściwy model przez podwójne kliknięcie pliku danych, tak jak </w:t>
      </w:r>
      <w:r w:rsidR="003351A7" w:rsidRPr="00DB7B7F">
        <w:t>otwiera się normalnie dokumenty, zdjęcia, filmy itp. w każdym</w:t>
      </w:r>
      <w:r w:rsidR="00B366AB" w:rsidRPr="00DB7B7F">
        <w:t xml:space="preserve"> </w:t>
      </w:r>
      <w:r w:rsidR="003351A7" w:rsidRPr="00DB7B7F">
        <w:t>nowoczesnym systemie operacyjnym.</w:t>
      </w:r>
    </w:p>
    <w:p w:rsidR="00C239C0" w:rsidRPr="00DB7B7F" w:rsidRDefault="00A00FED" w:rsidP="00C239C0">
      <w:pPr>
        <w:pStyle w:val="Tekstpodstawowy"/>
        <w:jc w:val="both"/>
      </w:pPr>
      <w:r w:rsidRPr="00DB7B7F">
        <w:t>Rezultaty wczytywania pliku pojawiają się na konsoli tekstowej programu. Jeśli wszystko przebiegło pomyślnie to wynik powinien wyglądać podobnie jak na zrzucie poniżej.</w:t>
      </w:r>
    </w:p>
    <w:p w:rsidR="00A00FED" w:rsidRPr="00DB7B7F" w:rsidRDefault="00A00FED" w:rsidP="00C239C0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4629207" cy="310055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1" cy="3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ED" w:rsidRPr="00DB7B7F" w:rsidRDefault="00A00FED" w:rsidP="00B27B23">
      <w:pPr>
        <w:pStyle w:val="Legenda"/>
        <w:jc w:val="both"/>
      </w:pPr>
      <w:r w:rsidRPr="00DB7B7F">
        <w:t>Rys</w:t>
      </w:r>
      <w:r w:rsidR="00085E5E" w:rsidRPr="00DB7B7F">
        <w:t>. 19.</w:t>
      </w:r>
      <w:r w:rsidRPr="00DB7B7F">
        <w:t xml:space="preserve"> Poprawne wczytanie </w:t>
      </w:r>
      <w:r w:rsidR="009D5FBD" w:rsidRPr="00DB7B7F">
        <w:t xml:space="preserve">pokazanego wcześniej </w:t>
      </w:r>
      <w:r w:rsidRPr="00DB7B7F">
        <w:t xml:space="preserve">przykładowego pliku </w:t>
      </w:r>
      <w:r w:rsidR="009D5FBD" w:rsidRPr="00DB7B7F">
        <w:t>ModelDefaults.dat z katalogu o poziom wyższego niż aktualny.</w:t>
      </w:r>
      <w:r w:rsidRPr="00DB7B7F">
        <w:t xml:space="preserve"> Wykryto 17 kolumn i 19 wierszy. </w:t>
      </w:r>
      <w:r w:rsidR="009D5FBD" w:rsidRPr="00DB7B7F">
        <w:t>I wykonano już 3648 kroków modelu.</w:t>
      </w:r>
    </w:p>
    <w:p w:rsidR="006438E7" w:rsidRPr="00DB7B7F" w:rsidRDefault="00342717" w:rsidP="00B27B23">
      <w:pPr>
        <w:pStyle w:val="Tekstpodstawowy"/>
        <w:jc w:val="both"/>
      </w:pPr>
      <w:r w:rsidRPr="00DB7B7F">
        <w:t>W przypadku niepoprawnego formatu pliku – np. błędów formatu danych w trakcie ich interpretacji następuje przerwanie czytania z odpowiednim komunikatem błędu. Jeśli to jest możliwe zostaje wskazane miejsce w arkuszu, które zawiera błąd. Należy plik poprawić i ponownie wyeksportować.</w:t>
      </w:r>
      <w:r w:rsidR="001B0C1B" w:rsidRPr="00DB7B7F">
        <w:t xml:space="preserve"> Natomiast n</w:t>
      </w:r>
      <w:r w:rsidR="006438E7" w:rsidRPr="00DB7B7F">
        <w:t>admiar kolumn oraz puste linie i nieznane typy są tylko monitowane, ale nie przerywają wczytywania pliku.</w:t>
      </w:r>
    </w:p>
    <w:p w:rsidR="005B76B0" w:rsidRPr="00DB7B7F" w:rsidRDefault="00E65D71" w:rsidP="00B27B23">
      <w:pPr>
        <w:pStyle w:val="Tekstpodstawowy"/>
        <w:jc w:val="both"/>
      </w:pPr>
      <w:r w:rsidRPr="00DB7B7F">
        <w:lastRenderedPageBreak/>
        <w:t>W przypadku wystąpienia nadmiaru kolumn lub wierszy należy w Excelu lub Calcu ustalić gdzie znajduje się prawy dolny róg danych (</w:t>
      </w:r>
      <w:r w:rsidR="00A73275" w:rsidRPr="00DB7B7F">
        <w:t xml:space="preserve">najprościej  wciskając </w:t>
      </w:r>
      <w:r w:rsidRPr="00DB7B7F">
        <w:t xml:space="preserve">Ctrl-End) i usunąć zbędne kolumny i/lub wiersze. </w:t>
      </w:r>
      <w:r w:rsidR="00503454" w:rsidRPr="00DB7B7F">
        <w:t>Pozostawienie nadmiar pustych kolumn powoduje zbędne obciążenie pamięci, co przy bardzo dużych plikach może powodować spowolnienie działania symulacji.</w:t>
      </w:r>
    </w:p>
    <w:p w:rsidR="00342717" w:rsidRPr="00DB7B7F" w:rsidRDefault="00342717" w:rsidP="00B27B23">
      <w:pPr>
        <w:pStyle w:val="Tekstpodstawowy"/>
        <w:jc w:val="both"/>
      </w:pPr>
      <w:r w:rsidRPr="00DB7B7F">
        <w:t xml:space="preserve">Większość komunikatów </w:t>
      </w:r>
      <w:r w:rsidR="00E65D71" w:rsidRPr="00DB7B7F">
        <w:t xml:space="preserve">o błędach </w:t>
      </w:r>
      <w:r w:rsidRPr="00DB7B7F">
        <w:t>powinna być zrozumiała. Poniżej znajdują się przykłady z głównych kategorii.</w:t>
      </w:r>
    </w:p>
    <w:p w:rsidR="0015366E" w:rsidRDefault="00FA0001" w:rsidP="00CC4608">
      <w:pPr>
        <w:pStyle w:val="Nagwek3"/>
        <w:jc w:val="both"/>
        <w:rPr>
          <w:rFonts w:asciiTheme="minorHAnsi" w:hAnsiTheme="minorHAnsi"/>
        </w:rPr>
      </w:pPr>
      <w:bookmarkStart w:id="19" w:name="_Toc309134815"/>
      <w:r w:rsidRPr="00DB7B7F">
        <w:rPr>
          <w:rFonts w:asciiTheme="minorHAnsi" w:hAnsiTheme="minorHAnsi"/>
        </w:rPr>
        <w:t>Brak pliku, katalogu, plik zablokowany itp.</w:t>
      </w:r>
      <w:bookmarkEnd w:id="19"/>
    </w:p>
    <w:p w:rsidR="00FA0001" w:rsidRPr="00DB7B7F" w:rsidRDefault="00FA0001" w:rsidP="00B27B23">
      <w:pPr>
        <w:pStyle w:val="Tekstpodstawowy"/>
        <w:jc w:val="both"/>
      </w:pPr>
      <w:r w:rsidRPr="00DB7B7F">
        <w:t>Błędy związane z systemem plików są raportowane z angielskojęzycznym komunikatem błędu zgodnym ze standardem języka C</w:t>
      </w:r>
      <w:r w:rsidR="005B51AB">
        <w:t xml:space="preserve"> lub polskojęzycznym komunikatem systemu operacyjnego</w:t>
      </w:r>
      <w:r w:rsidRPr="00DB7B7F">
        <w:t>. Np. gdy plik nie został odnaleziony z p</w:t>
      </w:r>
      <w:r w:rsidR="00A73275" w:rsidRPr="00DB7B7F">
        <w:t>o</w:t>
      </w:r>
      <w:r w:rsidRPr="00DB7B7F">
        <w:t>wodu niepoprawnej nazwy lub ścieżki dostępu to komunikat brzmi:</w:t>
      </w:r>
    </w:p>
    <w:p w:rsidR="00FA0001" w:rsidRPr="00DB7B7F" w:rsidRDefault="00FA0001" w:rsidP="00B27B23">
      <w:pPr>
        <w:pStyle w:val="Akapitzlist"/>
        <w:jc w:val="both"/>
        <w:rPr>
          <w:b/>
          <w:lang w:val="en-US"/>
        </w:rPr>
      </w:pPr>
      <w:r w:rsidRPr="00DB7B7F">
        <w:rPr>
          <w:b/>
          <w:lang w:val="en-US"/>
        </w:rPr>
        <w:t>Kod: -1 ../ModelDefaults.dat: No such file or directory</w:t>
      </w:r>
    </w:p>
    <w:p w:rsidR="00FA0001" w:rsidRPr="00DB7B7F" w:rsidRDefault="00FA0001" w:rsidP="00B27B23">
      <w:pPr>
        <w:pStyle w:val="Akapitzlist"/>
        <w:jc w:val="both"/>
        <w:rPr>
          <w:b/>
        </w:rPr>
      </w:pPr>
      <w:r w:rsidRPr="00DB7B7F">
        <w:rPr>
          <w:b/>
        </w:rPr>
        <w:t>Nieudane otwarcie pliku.</w:t>
      </w:r>
    </w:p>
    <w:p w:rsidR="00B27B23" w:rsidRPr="00DB7B7F" w:rsidRDefault="00FA0001" w:rsidP="009745DC">
      <w:pPr>
        <w:pStyle w:val="Akapitzlist"/>
        <w:jc w:val="both"/>
        <w:rPr>
          <w:b/>
        </w:rPr>
      </w:pPr>
      <w:r w:rsidRPr="00DB7B7F">
        <w:rPr>
          <w:b/>
        </w:rPr>
        <w:t>Nieudane wczytywanie z pliku ../ModelDefaults.dat</w:t>
      </w:r>
    </w:p>
    <w:p w:rsidR="0015366E" w:rsidRDefault="00741DF4" w:rsidP="00B27B23">
      <w:pPr>
        <w:pStyle w:val="Nagwek3"/>
        <w:jc w:val="both"/>
        <w:rPr>
          <w:rFonts w:asciiTheme="minorHAnsi" w:hAnsiTheme="minorHAnsi"/>
        </w:rPr>
      </w:pPr>
      <w:bookmarkStart w:id="20" w:name="_Toc309134816"/>
      <w:r w:rsidRPr="00DB7B7F">
        <w:rPr>
          <w:rFonts w:asciiTheme="minorHAnsi" w:hAnsiTheme="minorHAnsi"/>
        </w:rPr>
        <w:t>Błąd formatu komórki:</w:t>
      </w:r>
      <w:bookmarkEnd w:id="20"/>
    </w:p>
    <w:p w:rsidR="00342717" w:rsidRPr="00DB7B7F" w:rsidRDefault="00085E5E" w:rsidP="00B27B23">
      <w:pPr>
        <w:pStyle w:val="Tekstpodstawowy"/>
        <w:jc w:val="both"/>
      </w:pPr>
      <w:r w:rsidRPr="00DB7B7F">
        <w:rPr>
          <w:rFonts w:cs="Arial"/>
          <w:b/>
        </w:rPr>
        <w:t>„Niepoprawna komó</w:t>
      </w:r>
      <w:r w:rsidR="00741DF4" w:rsidRPr="00DB7B7F">
        <w:rPr>
          <w:rFonts w:cs="Arial"/>
          <w:b/>
        </w:rPr>
        <w:t>rka danych: wiersz:3 kolumna:</w:t>
      </w:r>
      <w:r w:rsidRPr="00DB7B7F">
        <w:rPr>
          <w:rFonts w:cs="Arial"/>
          <w:b/>
        </w:rPr>
        <w:t xml:space="preserve"> </w:t>
      </w:r>
      <w:r w:rsidR="00741DF4" w:rsidRPr="00DB7B7F">
        <w:rPr>
          <w:rFonts w:cs="Arial"/>
          <w:b/>
        </w:rPr>
        <w:t>D”</w:t>
      </w:r>
      <w:r w:rsidR="00741DF4" w:rsidRPr="00DB7B7F">
        <w:t xml:space="preserve"> </w:t>
      </w:r>
      <w:r w:rsidR="002E5595" w:rsidRPr="00DB7B7F">
        <w:t xml:space="preserve">a poniżej zawartość podejrzanej komórki </w:t>
      </w:r>
      <w:r w:rsidR="00741DF4" w:rsidRPr="00DB7B7F">
        <w:t xml:space="preserve">– należy sprawdzić czy komórka D3 zawiera daną liczbową w poprawnym formacie. Najczęstszym powodem może być użycie przecinka zamiast anglosaskiej kropki w zapisie liczb rzeczywistych </w:t>
      </w:r>
      <w:r w:rsidR="005B51AB">
        <w:t xml:space="preserve">(chociaż większość pól pozwala Ana użycie obu formatów) </w:t>
      </w:r>
      <w:r w:rsidR="00741DF4" w:rsidRPr="00DB7B7F">
        <w:t>albo błędny zapis RGB.</w:t>
      </w:r>
    </w:p>
    <w:p w:rsidR="002E5595" w:rsidRPr="00DB7B7F" w:rsidRDefault="002E5595" w:rsidP="00B27B23">
      <w:pPr>
        <w:pStyle w:val="Tekstpodstawowy"/>
        <w:jc w:val="both"/>
      </w:pPr>
      <w:r w:rsidRPr="00DB7B7F">
        <w:t xml:space="preserve">Innym powodem może być błąd w nazwie węzła przy definiowaniu linku lub komunikatu. Trzeba sprawdzić wtedy możliwe literówki oraz </w:t>
      </w:r>
      <w:r w:rsidRPr="005B51AB">
        <w:rPr>
          <w:b/>
        </w:rPr>
        <w:t>obecność zbędnych odstępów</w:t>
      </w:r>
      <w:r w:rsidR="005B51AB">
        <w:t xml:space="preserve"> przed lub po nazwie.</w:t>
      </w:r>
    </w:p>
    <w:p w:rsidR="00B32AB2" w:rsidRDefault="00B32AB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B0F4E" w:rsidRPr="00DB7B7F" w:rsidRDefault="00EB0F4E" w:rsidP="00EB0F4E">
      <w:pPr>
        <w:pStyle w:val="Nagwek1"/>
        <w:rPr>
          <w:rFonts w:asciiTheme="minorHAnsi" w:hAnsiTheme="minorHAnsi"/>
        </w:rPr>
      </w:pPr>
      <w:bookmarkStart w:id="21" w:name="_Toc309134817"/>
      <w:r w:rsidRPr="00DB7B7F">
        <w:rPr>
          <w:rFonts w:asciiTheme="minorHAnsi" w:hAnsiTheme="minorHAnsi"/>
        </w:rPr>
        <w:lastRenderedPageBreak/>
        <w:t>Obsługa programu</w:t>
      </w:r>
      <w:bookmarkEnd w:id="21"/>
    </w:p>
    <w:p w:rsidR="0015366E" w:rsidRDefault="00EB0F4E" w:rsidP="00C93795">
      <w:pPr>
        <w:pStyle w:val="Nagwek2"/>
        <w:rPr>
          <w:rFonts w:asciiTheme="minorHAnsi" w:hAnsiTheme="minorHAnsi"/>
        </w:rPr>
      </w:pPr>
      <w:bookmarkStart w:id="22" w:name="_Toc309134818"/>
      <w:r w:rsidRPr="00DB7B7F">
        <w:rPr>
          <w:rFonts w:asciiTheme="minorHAnsi" w:hAnsiTheme="minorHAnsi"/>
        </w:rPr>
        <w:t>Uruchamianie programu</w:t>
      </w:r>
      <w:bookmarkEnd w:id="22"/>
    </w:p>
    <w:p w:rsidR="00C93795" w:rsidRPr="00DB7B7F" w:rsidRDefault="00C93795" w:rsidP="00C93795">
      <w:pPr>
        <w:rPr>
          <w:szCs w:val="24"/>
        </w:rPr>
      </w:pPr>
      <w:r w:rsidRPr="00DB7B7F">
        <w:rPr>
          <w:szCs w:val="24"/>
        </w:rPr>
        <w:t>Aby uruchomić symulacje należy uruchomić aplikację opiTransfer.exe a następnie wybrać odpowiedni plik danych, „scenę” symulacji. „Scena” symulacji musi być zapisana w odpowiednim formacie, jako plik tekstowy rozdzielany znakami tabulacji. Szczegóły na temat przygotowania plik sceny symulacji znajdują się w poprzednim rozdziale.</w:t>
      </w:r>
    </w:p>
    <w:p w:rsidR="0015366E" w:rsidRDefault="00EB0F4E" w:rsidP="00413E55">
      <w:pPr>
        <w:pStyle w:val="Nagwek2"/>
        <w:rPr>
          <w:rFonts w:asciiTheme="minorHAnsi" w:hAnsiTheme="minorHAnsi"/>
        </w:rPr>
      </w:pPr>
      <w:bookmarkStart w:id="23" w:name="_Toc309134819"/>
      <w:r w:rsidRPr="00DB7B7F">
        <w:rPr>
          <w:rFonts w:asciiTheme="minorHAnsi" w:hAnsiTheme="minorHAnsi"/>
        </w:rPr>
        <w:t>Podstawowa obsługa symulacji</w:t>
      </w:r>
      <w:bookmarkEnd w:id="23"/>
    </w:p>
    <w:p w:rsidR="006E3C31" w:rsidRPr="00DB7B7F" w:rsidRDefault="006E3C31" w:rsidP="00EB0F4E">
      <w:r w:rsidRPr="00DB7B7F">
        <w:t>Po załadowaniu pliku „sceny” symulacji program uruchomi dwa okna. Pierwsze z nic</w:t>
      </w:r>
      <w:r w:rsidR="009745DC" w:rsidRPr="00DB7B7F">
        <w:t>h to okno konsoli programu. Wyświ</w:t>
      </w:r>
      <w:r w:rsidRPr="00DB7B7F">
        <w:t>etlają s</w:t>
      </w:r>
      <w:r w:rsidR="00E45EF0" w:rsidRPr="00DB7B7F">
        <w:t>ię w nim komunikaty programu. Na początku wyświetlają się informacje o parametrach logowania systemu oraz podstawowe informacje o obsłudze programu.</w:t>
      </w:r>
    </w:p>
    <w:p w:rsidR="0086215A" w:rsidRPr="00DB7B7F" w:rsidRDefault="006E3C31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44610" cy="3009900"/>
            <wp:effectExtent l="19050" t="0" r="849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11" cy="30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6E" w:rsidRDefault="0086215A" w:rsidP="0086215A">
      <w:pPr>
        <w:pStyle w:val="Legenda"/>
        <w:spacing w:after="0"/>
      </w:pPr>
      <w:r w:rsidRPr="00DB7B7F">
        <w:t>Rys. 20. Konsola programu</w:t>
      </w:r>
    </w:p>
    <w:p w:rsidR="00E45EF0" w:rsidRPr="00DB7B7F" w:rsidRDefault="00E45EF0" w:rsidP="00EB0F4E">
      <w:r w:rsidRPr="00DB7B7F">
        <w:t xml:space="preserve">W czasie trwania symulacji w oknie konsoli </w:t>
      </w:r>
      <w:r w:rsidR="00512714" w:rsidRPr="00DB7B7F">
        <w:t>wyświetlają się komunikaty na temat zdarzeń generowanych przez poszczególnych agentów</w:t>
      </w:r>
      <w:r w:rsidR="00E16986" w:rsidRPr="00E16986">
        <w:t xml:space="preserve"> </w:t>
      </w:r>
      <w:r w:rsidR="00E16986" w:rsidRPr="00DB7B7F">
        <w:t>i procesy</w:t>
      </w:r>
      <w:r w:rsidR="00E16986">
        <w:t>, w szczególności informacje o podjętych transferach technologii, ich sukcesach i porażkach, oraz ewentualne komunikaty o błędach wykonania programu.</w:t>
      </w:r>
    </w:p>
    <w:p w:rsidR="00613F76" w:rsidRDefault="00E45EF0" w:rsidP="00B32AB2">
      <w:pPr>
        <w:keepNext/>
        <w:spacing w:after="210"/>
      </w:pPr>
      <w:r w:rsidRPr="00DB7B7F">
        <w:lastRenderedPageBreak/>
        <w:t>Drugie okno</w:t>
      </w:r>
      <w:r w:rsidR="003D4DDE">
        <w:t xml:space="preserve"> zawiera wizualizację symulacji. Mogą być na nim widoczne węzły, powiązania, oraz procesy i komunikaty</w:t>
      </w:r>
      <w:r w:rsidR="00613F76">
        <w:t xml:space="preserve">. 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448300" cy="5941649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613F76" w:rsidP="0086215A">
      <w:pPr>
        <w:pStyle w:val="Legenda"/>
        <w:spacing w:after="0"/>
      </w:pPr>
      <w:r>
        <w:t xml:space="preserve">Rys. 21. Okno wizualizujące prostą scenę testową przed uruchomieniem symulacji. Widoczne są węzły, powiązaniami między nimi oraz procesy (poziome linie na węzłach). </w:t>
      </w:r>
    </w:p>
    <w:p w:rsidR="00E45EF0" w:rsidRPr="00DB7B7F" w:rsidRDefault="00613F76" w:rsidP="00613F76">
      <w:pPr>
        <w:keepNext/>
        <w:spacing w:after="210"/>
      </w:pPr>
      <w:r>
        <w:t>Podstawowa obsługa symulacji znajduje się w menu „Pliki”, ale można się też posłużyć skrótami klawiszowymi: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a</w:t>
      </w:r>
      <w:r w:rsidRPr="00DB7B7F">
        <w:t xml:space="preserve"> – start symulacji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p</w:t>
      </w:r>
      <w:r w:rsidRPr="00DB7B7F">
        <w:t xml:space="preserve"> – pauza symu</w:t>
      </w:r>
      <w:r w:rsidR="009745DC" w:rsidRPr="00DB7B7F">
        <w:t>l</w:t>
      </w:r>
      <w:r w:rsidRPr="00DB7B7F">
        <w:t>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q</w:t>
      </w:r>
      <w:r w:rsidRPr="00DB7B7F">
        <w:t xml:space="preserve"> – zatrzymanie sym</w:t>
      </w:r>
      <w:r w:rsidR="009745DC" w:rsidRPr="00DB7B7F">
        <w:t>ul</w:t>
      </w:r>
      <w:r w:rsidRPr="00DB7B7F">
        <w:t>acji</w:t>
      </w:r>
      <w:r w:rsidR="009745DC" w:rsidRPr="00DB7B7F">
        <w:t>;</w:t>
      </w:r>
    </w:p>
    <w:p w:rsidR="0015366E" w:rsidRDefault="00E45EF0" w:rsidP="00CC4608">
      <w:pPr>
        <w:pStyle w:val="Akapitzlist"/>
        <w:numPr>
          <w:ilvl w:val="0"/>
          <w:numId w:val="20"/>
        </w:numPr>
      </w:pPr>
      <w:r w:rsidRPr="00DB7B7F">
        <w:rPr>
          <w:b/>
        </w:rPr>
        <w:t>ESC</w:t>
      </w:r>
      <w:r w:rsidRPr="00DB7B7F">
        <w:t xml:space="preserve"> – służy do uruchomienia i zatrzymania symulacji</w:t>
      </w:r>
      <w:r w:rsidR="009745DC" w:rsidRPr="00DB7B7F">
        <w:t>.</w:t>
      </w:r>
    </w:p>
    <w:p w:rsidR="00EB0F4E" w:rsidRPr="00DB7B7F" w:rsidRDefault="00EB0F4E" w:rsidP="00E45EF0">
      <w:pPr>
        <w:pStyle w:val="Nagwek2"/>
        <w:rPr>
          <w:rFonts w:asciiTheme="minorHAnsi" w:hAnsiTheme="minorHAnsi"/>
        </w:rPr>
      </w:pPr>
      <w:bookmarkStart w:id="24" w:name="_Toc309134820"/>
      <w:r w:rsidRPr="00DB7B7F">
        <w:rPr>
          <w:rFonts w:asciiTheme="minorHAnsi" w:hAnsiTheme="minorHAnsi"/>
        </w:rPr>
        <w:lastRenderedPageBreak/>
        <w:t>Menu programu</w:t>
      </w:r>
      <w:bookmarkEnd w:id="24"/>
    </w:p>
    <w:p w:rsidR="009745DC" w:rsidRPr="00DB7B7F" w:rsidRDefault="00E45EF0" w:rsidP="009745DC">
      <w:pPr>
        <w:pStyle w:val="Nagwek3"/>
        <w:spacing w:after="240"/>
        <w:rPr>
          <w:rFonts w:asciiTheme="minorHAnsi" w:hAnsiTheme="minorHAnsi"/>
        </w:rPr>
      </w:pPr>
      <w:bookmarkStart w:id="25" w:name="_Toc309134821"/>
      <w:r w:rsidRPr="00DB7B7F">
        <w:rPr>
          <w:rFonts w:asciiTheme="minorHAnsi" w:hAnsiTheme="minorHAnsi"/>
        </w:rPr>
        <w:t>Plik</w:t>
      </w:r>
      <w:r w:rsidR="00B32AB2">
        <w:rPr>
          <w:rFonts w:asciiTheme="minorHAnsi" w:hAnsiTheme="minorHAnsi"/>
        </w:rPr>
        <w:t>i</w:t>
      </w:r>
      <w:bookmarkEnd w:id="25"/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4904820" cy="5295900"/>
            <wp:effectExtent l="19050" t="0" r="0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3223" t="3955" r="37025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4" cy="53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 xml:space="preserve">Rys. 22. </w:t>
      </w:r>
      <w:r w:rsidR="00A11C9E" w:rsidRPr="00DB7B7F">
        <w:t>Okno symulacji</w:t>
      </w:r>
      <w:r w:rsidRPr="00DB7B7F">
        <w:t xml:space="preserve"> – menu plik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Ruszaj ‘a’</w:t>
      </w:r>
      <w:r w:rsidR="00B32AB2">
        <w:t xml:space="preserve"> – uruchomienie symulacj</w:t>
      </w:r>
      <w:r w:rsidRPr="00DB7B7F">
        <w:t>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Pauzuj ‘p’</w:t>
      </w:r>
      <w:r w:rsidRPr="00DB7B7F">
        <w:t xml:space="preserve"> – zatrzymanie symulacji.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Prędzej ‘f’ </w:t>
      </w:r>
      <w:r w:rsidRPr="00DB7B7F">
        <w:t>– przyspieszenie działania symulacji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Wolniej</w:t>
      </w:r>
      <w:r w:rsidR="00DB7B7F">
        <w:rPr>
          <w:b/>
        </w:rPr>
        <w:t xml:space="preserve"> </w:t>
      </w:r>
      <w:r w:rsidRPr="00DB7B7F">
        <w:rPr>
          <w:b/>
        </w:rPr>
        <w:t>’s’</w:t>
      </w:r>
      <w:r w:rsidRPr="00DB7B7F">
        <w:t xml:space="preserve"> – zwolnienie działania symulacji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Logowanie dokładniejsze</w:t>
      </w:r>
      <w:r w:rsidRPr="00DB7B7F">
        <w:t xml:space="preserve"> – zwiększa dokładność informacji wyświetlanych w konsoli programu, co oznacza wyświetlanie</w:t>
      </w:r>
      <w:r w:rsidR="00DB7B7F">
        <w:t xml:space="preserve"> </w:t>
      </w:r>
      <w:r w:rsidRPr="00DB7B7F">
        <w:t xml:space="preserve">bardziej szczegółowych komunikatów. 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Mniej dokładne logowani </w:t>
      </w:r>
      <w:r w:rsidRPr="00DB7B7F">
        <w:t>– zmniejsza dokładność informacji wyświetlanych w konsoli programu, co oznacza wyświetlanie tylko najważniejszych informacjach.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Zakończ Ctrl+Q </w:t>
      </w:r>
      <w:r w:rsidRPr="00DB7B7F">
        <w:t>– zakończenie programu.</w:t>
      </w:r>
    </w:p>
    <w:p w:rsidR="00512714" w:rsidRPr="00DB7B7F" w:rsidRDefault="00512714" w:rsidP="00512714">
      <w:pPr>
        <w:pStyle w:val="Nagwek3"/>
        <w:rPr>
          <w:rFonts w:asciiTheme="minorHAnsi" w:hAnsiTheme="minorHAnsi"/>
        </w:rPr>
      </w:pPr>
      <w:bookmarkStart w:id="26" w:name="_Toc309134822"/>
      <w:r w:rsidRPr="00DB7B7F">
        <w:rPr>
          <w:rFonts w:asciiTheme="minorHAnsi" w:hAnsiTheme="minorHAnsi"/>
        </w:rPr>
        <w:lastRenderedPageBreak/>
        <w:t>Czyść ‘c’</w:t>
      </w:r>
      <w:bookmarkEnd w:id="26"/>
    </w:p>
    <w:p w:rsidR="00512714" w:rsidRPr="00DB7B7F" w:rsidRDefault="00512714" w:rsidP="00512714">
      <w:r w:rsidRPr="00DB7B7F">
        <w:t xml:space="preserve">Przełącza wizualizację z czyszczeniem ekranu na tryb bez czyszczenia i odwrotnie. W trybie bez czyszczenia ekranu wizualizacja następnego kroku symulacji jest narysowana na wizualizację poprzedniego kroku – zostaje ślad po poprzednich zdarzeniach. W trybie z czyszczeniem </w:t>
      </w:r>
      <w:r w:rsidR="00AA2641" w:rsidRPr="00DB7B7F">
        <w:t>e</w:t>
      </w:r>
      <w:r w:rsidR="00B32AB2">
        <w:t xml:space="preserve">kranu (podstawowy tryb) całość </w:t>
      </w:r>
      <w:r w:rsidR="00AA2641" w:rsidRPr="00DB7B7F">
        <w:t>ekranu jest odrysowywana od początku w każdym kroku.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7" w:name="_Toc309134823"/>
      <w:r w:rsidRPr="00DB7B7F">
        <w:rPr>
          <w:rFonts w:asciiTheme="minorHAnsi" w:hAnsiTheme="minorHAnsi"/>
        </w:rPr>
        <w:t>Grubsze łącza</w:t>
      </w:r>
      <w:bookmarkEnd w:id="27"/>
    </w:p>
    <w:p w:rsidR="00AA2641" w:rsidRPr="00DB7B7F" w:rsidRDefault="00AA2641" w:rsidP="00EB0F4E">
      <w:r w:rsidRPr="00DB7B7F">
        <w:t>Opcja zwiększa grubość linków (wizualnie) pomiędzy węzłami w symulacji.</w:t>
      </w:r>
    </w:p>
    <w:p w:rsidR="00AA2641" w:rsidRPr="00DB7B7F" w:rsidRDefault="00AA2641" w:rsidP="00AA2641">
      <w:pPr>
        <w:pStyle w:val="Nagwek3"/>
        <w:rPr>
          <w:rFonts w:asciiTheme="minorHAnsi" w:hAnsiTheme="minorHAnsi"/>
        </w:rPr>
      </w:pPr>
      <w:bookmarkStart w:id="28" w:name="_Toc309134824"/>
      <w:r w:rsidRPr="00DB7B7F">
        <w:rPr>
          <w:rFonts w:asciiTheme="minorHAnsi" w:hAnsiTheme="minorHAnsi"/>
        </w:rPr>
        <w:t>Cieńsze łącza</w:t>
      </w:r>
      <w:bookmarkEnd w:id="28"/>
    </w:p>
    <w:p w:rsidR="009745DC" w:rsidRPr="00DB7B7F" w:rsidRDefault="00AA2641" w:rsidP="00AA2641">
      <w:r w:rsidRPr="00DB7B7F">
        <w:t>Opcja zmniejsza grubość linków (wizualnie) pomiędzy węzłami w symulacji.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9" w:name="_Toc309134825"/>
      <w:r w:rsidRPr="00DB7B7F">
        <w:rPr>
          <w:rFonts w:asciiTheme="minorHAnsi" w:hAnsiTheme="minorHAnsi"/>
        </w:rPr>
        <w:t>Wizualizacja</w:t>
      </w:r>
      <w:bookmarkEnd w:id="29"/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 xml:space="preserve">Odświeżaj </w:t>
      </w:r>
      <w:r w:rsidR="006D2CA2" w:rsidRPr="00DB7B7F">
        <w:rPr>
          <w:b/>
        </w:rPr>
        <w:t>komunikaty</w:t>
      </w:r>
      <w:r w:rsidRPr="00DB7B7F">
        <w:rPr>
          <w:b/>
        </w:rPr>
        <w:t xml:space="preserve"> ‘m’</w:t>
      </w:r>
      <w:r w:rsidR="006D2CA2" w:rsidRPr="00DB7B7F">
        <w:rPr>
          <w:b/>
        </w:rPr>
        <w:t xml:space="preserve"> </w:t>
      </w:r>
      <w:r w:rsidR="006D2CA2" w:rsidRPr="00DB7B7F">
        <w:t>– wyłącza/włącza wizualizację komunikatów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</w:pPr>
      <w:r w:rsidRPr="00DB7B7F">
        <w:rPr>
          <w:b/>
        </w:rPr>
        <w:t>Odświeżaj linki ‘l’</w:t>
      </w:r>
      <w:r w:rsidR="006D2CA2" w:rsidRPr="00DB7B7F">
        <w:rPr>
          <w:b/>
        </w:rPr>
        <w:t xml:space="preserve"> </w:t>
      </w:r>
      <w:r w:rsidR="006D2CA2" w:rsidRPr="00DB7B7F">
        <w:rPr>
          <w:b/>
        </w:rPr>
        <w:softHyphen/>
      </w:r>
      <w:r w:rsidR="006D2CA2" w:rsidRPr="00DB7B7F">
        <w:t>– wyłącza/włącza wizualizację linków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procesy ‘r’</w:t>
      </w:r>
      <w:r w:rsidR="006D2CA2" w:rsidRPr="00DB7B7F">
        <w:rPr>
          <w:b/>
        </w:rPr>
        <w:t xml:space="preserve"> </w:t>
      </w:r>
      <w:r w:rsidR="006D2CA2" w:rsidRPr="00DB7B7F">
        <w:t>- – wyłącza/włącza wizualizację procesów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węzły ‘n’</w:t>
      </w:r>
      <w:r w:rsidR="006D2CA2" w:rsidRPr="00DB7B7F">
        <w:t>– wyłącza/włącza wizualizację węzłów w oknie symulacji</w:t>
      </w:r>
    </w:p>
    <w:p w:rsidR="0015366E" w:rsidRDefault="0086215A" w:rsidP="00A436B1">
      <w:pPr>
        <w:pStyle w:val="Legenda"/>
      </w:pPr>
      <w:r w:rsidRPr="00DB7B7F">
        <w:rPr>
          <w:noProof/>
          <w:lang w:eastAsia="pl-PL"/>
        </w:rPr>
        <w:drawing>
          <wp:inline distT="0" distB="0" distL="0" distR="0">
            <wp:extent cx="5819648" cy="3409950"/>
            <wp:effectExtent l="19050" t="0" r="0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4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Rys. 23. Okno symulacji – menu wizualizacja.</w:t>
      </w:r>
    </w:p>
    <w:p w:rsidR="006D2CA2" w:rsidRPr="00DB7B7F" w:rsidRDefault="006D2CA2" w:rsidP="006D2CA2">
      <w:r w:rsidRPr="00DB7B7F">
        <w:t>Pozostałe pozycje w menu Wizualizacja pozwalają na wyłącznie/włączenie wizualizacji szczegółowych typów obiektów w symulacji.</w:t>
      </w:r>
    </w:p>
    <w:p w:rsidR="00EB0F4E" w:rsidRPr="00DB7B7F" w:rsidRDefault="006D2CA2" w:rsidP="006D2CA2">
      <w:pPr>
        <w:pStyle w:val="Nagwek2"/>
        <w:rPr>
          <w:rFonts w:asciiTheme="minorHAnsi" w:hAnsiTheme="minorHAnsi"/>
        </w:rPr>
      </w:pPr>
      <w:bookmarkStart w:id="30" w:name="_Toc309134826"/>
      <w:r w:rsidRPr="00DB7B7F">
        <w:rPr>
          <w:rFonts w:asciiTheme="minorHAnsi" w:hAnsiTheme="minorHAnsi"/>
        </w:rPr>
        <w:lastRenderedPageBreak/>
        <w:t>Inspekcja</w:t>
      </w:r>
      <w:r w:rsidR="00EB0F4E" w:rsidRPr="00DB7B7F">
        <w:rPr>
          <w:rFonts w:asciiTheme="minorHAnsi" w:hAnsiTheme="minorHAnsi"/>
        </w:rPr>
        <w:t xml:space="preserve"> wę</w:t>
      </w:r>
      <w:r w:rsidR="00C93795" w:rsidRPr="00DB7B7F">
        <w:rPr>
          <w:rFonts w:asciiTheme="minorHAnsi" w:hAnsiTheme="minorHAnsi"/>
        </w:rPr>
        <w:t>złów</w:t>
      </w:r>
      <w:bookmarkEnd w:id="30"/>
    </w:p>
    <w:p w:rsidR="006D2CA2" w:rsidRPr="00DB7B7F" w:rsidRDefault="006D2CA2" w:rsidP="006D2CA2">
      <w:r w:rsidRPr="00DB7B7F">
        <w:t>Po kliknięciu na węzeł na „scenie” symulacji otwiera się podgląd statystyk dla danego węzła, jednocześnie symulacja się zatrzymuje. Jest możliwe podejrzenie wtedy dokładn</w:t>
      </w:r>
      <w:r w:rsidR="002B346B">
        <w:t xml:space="preserve">ych parametrów dla danego węzła, a także inspekcja kolejnych węzłów. </w:t>
      </w:r>
      <w:r w:rsidR="00961C2D">
        <w:t xml:space="preserve">Klawisz ENTER czyści dotychczasowe inspekcje bez uruchamiania symulacji. </w:t>
      </w:r>
      <w:r w:rsidR="002B346B">
        <w:t xml:space="preserve">Wyjście z trybu inspekcji uzyskuje się za pomocą klawisza ESC, albo ‘r’. </w:t>
      </w:r>
    </w:p>
    <w:p w:rsidR="00A11C9E" w:rsidRPr="00DB7B7F" w:rsidRDefault="0086215A" w:rsidP="00A11C9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3467444" cy="3781425"/>
            <wp:effectExtent l="19050" t="0" r="0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4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</w:t>
      </w:r>
    </w:p>
    <w:p w:rsidR="00A11C9E" w:rsidRPr="00DB7B7F" w:rsidRDefault="00A11C9E" w:rsidP="00A11C9E">
      <w:pPr>
        <w:pStyle w:val="Legenda"/>
        <w:spacing w:after="0"/>
      </w:pPr>
      <w:r w:rsidRPr="00DB7B7F">
        <w:t>Rys. 24. Okno symulacji  - inspekcja węzła.</w:t>
      </w:r>
    </w:p>
    <w:p w:rsidR="00A65A80" w:rsidRDefault="00A65A80" w:rsidP="00706315">
      <w:pPr>
        <w:pStyle w:val="Nagwek2"/>
      </w:pPr>
      <w:bookmarkStart w:id="31" w:name="_Toc309134827"/>
      <w:r>
        <w:t>Składowe wizualizacji</w:t>
      </w:r>
      <w:bookmarkEnd w:id="31"/>
    </w:p>
    <w:p w:rsidR="00A65A80" w:rsidRDefault="00A65A80" w:rsidP="00A65A80">
      <w:r>
        <w:t xml:space="preserve">Ponieważ modele sieciowe, zwłaszcza w wersji agentowej mogą być skomplikowane, a model transferu technologii </w:t>
      </w:r>
      <w:r w:rsidR="00540C67">
        <w:t xml:space="preserve">nie </w:t>
      </w:r>
      <w:r>
        <w:t xml:space="preserve">jest </w:t>
      </w:r>
      <w:r w:rsidR="00540C67">
        <w:t>t</w:t>
      </w:r>
      <w:r>
        <w:t xml:space="preserve">u wyjątkiem, właściwe zrozumienie </w:t>
      </w:r>
      <w:r w:rsidR="00540C67">
        <w:t xml:space="preserve">co jest widoczne w oknie wizualizacji jest krytyczne dla zrozumienia dynamiki modelu. Na rysunku poniżej widać wizualizację średnio skomplikowanej sceny po </w:t>
      </w:r>
      <w:r w:rsidR="002B346B">
        <w:t>3765</w:t>
      </w:r>
      <w:r w:rsidR="009A727C">
        <w:t xml:space="preserve"> krokach symulacji, i mimo zminimalizowania do</w:t>
      </w:r>
      <w:r w:rsidR="00706315">
        <w:t xml:space="preserve"> </w:t>
      </w:r>
      <w:r w:rsidR="009A727C">
        <w:t xml:space="preserve">postaci pojedynczych pikseli najliczniej występującego typu komunikatów – komunikatów nieformalnych </w:t>
      </w:r>
      <w:r w:rsidR="00706315">
        <w:t>w dalszym ciągu liczba wizualizowanych elementów może być na pierwszy rzut oka przytłaczająca.</w:t>
      </w:r>
    </w:p>
    <w:p w:rsidR="00706315" w:rsidRDefault="00706315" w:rsidP="00A65A80">
      <w:r>
        <w:t>Możliwości selekcji obserwowanych aspektów dynamiki sceny służy właśnie menu „Wizualizacja” pozwalające selektywnie wyłączać wizualizacje poszczególnych typów obiektów.</w:t>
      </w:r>
    </w:p>
    <w:p w:rsidR="002B346B" w:rsidRDefault="002B346B" w:rsidP="005D2143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024948" cy="4521200"/>
            <wp:effectExtent l="19050" t="0" r="0" b="0"/>
            <wp:docPr id="6" name="Obraz 3" descr="S:\SYMULACJE\opi\doc\Ilustr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SYMULACJE\opi\doc\Ilustracj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00" cy="45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AF9" w:rsidRDefault="002B346B" w:rsidP="002B346B">
      <w:pPr>
        <w:pStyle w:val="Legenda"/>
      </w:pPr>
      <w:r>
        <w:t>Rys. 25: Średnio skomplikowana scena z niemal pełną wizualizacją. Dla uzyskania czytelności zminimalizowano tylko komunikaty nieformalne, które w tej sytuacji widoczne są jedynie w postaci drobnych kropek. Opis elementów w tekście.</w:t>
      </w:r>
    </w:p>
    <w:p w:rsidR="002B346B" w:rsidRDefault="00961C2D" w:rsidP="002B346B">
      <w:r>
        <w:t>Literami na rysunk</w:t>
      </w:r>
      <w:r w:rsidR="005D2143">
        <w:t>ach</w:t>
      </w:r>
      <w:r>
        <w:t xml:space="preserve"> nr 25 </w:t>
      </w:r>
      <w:r w:rsidR="005D2143">
        <w:t xml:space="preserve">i 26 </w:t>
      </w:r>
      <w:r>
        <w:t>oznaczono poszczególne typy obiektów, i tak: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A – powiązania kooperacyjne - zagięte bez oznaczenia kierunku, szare lub kolorowe. Grubość może oznaczać stopień udziału w projekcie lub być </w:t>
      </w:r>
      <w:r w:rsidR="00F048A5" w:rsidRPr="001D327F">
        <w:rPr>
          <w:sz w:val="22"/>
        </w:rPr>
        <w:t>domyślna</w:t>
      </w:r>
      <w:r w:rsidRPr="001D327F">
        <w:rPr>
          <w:sz w:val="22"/>
        </w:rPr>
        <w:t>, gdy chodzi o ślad pozostały po procesie publikacji lub patentowania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B – powiązania ogólne - proste bez oznaczenia kierunku, szare lub kolorowe.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C – powiązania administracyjne - proste, domyślnie szare, z kierunkiem do jednostki nadrzędnej</w:t>
      </w:r>
    </w:p>
    <w:p w:rsidR="00F048A5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D – powiązania nieformalne – zagięte, z oznaczeniem kierunku i bardzo zróżnicowaną grubością zależną od stopnia zaufania</w:t>
      </w:r>
      <w:r w:rsidR="00F048A5" w:rsidRPr="001D327F">
        <w:rPr>
          <w:sz w:val="22"/>
        </w:rPr>
        <w:t>. Cienkie są często tworzone, ale szybko znikają</w:t>
      </w:r>
    </w:p>
    <w:p w:rsidR="00F048A5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>E – raporty z działalności przekazywane na skutek procesu raportowania po powiązaniach administracyjnych</w:t>
      </w:r>
    </w:p>
    <w:p w:rsidR="009A727C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F – raporty </w:t>
      </w:r>
      <w:r w:rsidR="009A727C" w:rsidRPr="001D327F">
        <w:rPr>
          <w:sz w:val="22"/>
        </w:rPr>
        <w:t>z</w:t>
      </w:r>
      <w:r w:rsidRPr="001D327F">
        <w:rPr>
          <w:sz w:val="22"/>
        </w:rPr>
        <w:t xml:space="preserve"> działalności badawczej przekazywane po powiązaniach administracyjnych lub kooperacyjnych w zależności od ustalonego celu badań</w:t>
      </w:r>
      <w:r w:rsidR="00961C2D" w:rsidRPr="001D327F">
        <w:rPr>
          <w:sz w:val="22"/>
        </w:rPr>
        <w:t xml:space="preserve"> </w:t>
      </w:r>
      <w:r w:rsidR="009A727C" w:rsidRPr="001D327F">
        <w:rPr>
          <w:sz w:val="22"/>
        </w:rPr>
        <w:t>oraz badania rynkowe przekazywane rynkowi po powiązaniach ogólnych</w:t>
      </w:r>
    </w:p>
    <w:p w:rsidR="009A727C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G – przepływy finansowe. Wielkość zależy od logarytmu dziesiętnego z przekazywanej sumy</w:t>
      </w:r>
    </w:p>
    <w:p w:rsidR="00120786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H – produkty wysyłane na rynek i odsyłane do producenta, jeśli nie uda się ich sprzedać. Mogą być następnie dzielone na mniejsze partie i przeceniane.</w:t>
      </w:r>
    </w:p>
    <w:p w:rsidR="005D2143" w:rsidRDefault="005D2143" w:rsidP="001D327F">
      <w:pPr>
        <w:keepNext/>
        <w:spacing w:before="45" w:after="45" w:line="240" w:lineRule="auto"/>
        <w:jc w:val="center"/>
      </w:pPr>
      <w:r>
        <w:rPr>
          <w:noProof/>
          <w:sz w:val="20"/>
          <w:lang w:eastAsia="pl-PL"/>
        </w:rPr>
        <w:lastRenderedPageBreak/>
        <w:drawing>
          <wp:inline distT="0" distB="0" distL="0" distR="0">
            <wp:extent cx="4056580" cy="2205567"/>
            <wp:effectExtent l="19050" t="0" r="1070" b="0"/>
            <wp:docPr id="7" name="Obraz 4" descr="S:\SYMULACJE\opi\doc\Ilustracj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SYMULACJE\opi\doc\Ilustracja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22" cy="22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7C" w:rsidRDefault="005D2143" w:rsidP="005D2143">
      <w:pPr>
        <w:pStyle w:val="Legenda"/>
      </w:pPr>
      <w:r>
        <w:t xml:space="preserve">Rys. 26: </w:t>
      </w:r>
      <w:r w:rsidR="001D327F">
        <w:t>Fragment sceny p</w:t>
      </w:r>
      <w:r>
        <w:t xml:space="preserve">owiększony w </w:t>
      </w:r>
      <w:r w:rsidR="001D327F">
        <w:t>celu lepszego pokazania szczegółów procesów. Wyjaśnienie w tekście poniżej.</w:t>
      </w:r>
    </w:p>
    <w:p w:rsidR="001D327F" w:rsidRPr="001D327F" w:rsidRDefault="001D327F" w:rsidP="001D327F">
      <w:r>
        <w:t>Procesy wykonywane przez węzły przedstawiane są w postaci „pasków postępu” – na ciemniejszym tle rośnie od lewej do prawej pasek jaśniejszy przedstawiający aktualne zaawansowanie procesu. Dla węzłów które zmieniają wagi w trakcie symulacji całkowita d</w:t>
      </w:r>
      <w:r w:rsidRPr="001D327F">
        <w:t>ługość pasków zależy od logarytmu wagi węzła, jeśli waga węzła jest większa od 1. Zwykle pierwszym lub drugim procesem każdego węz</w:t>
      </w:r>
      <w:r>
        <w:t>ła jest proces społeczny, a dla jednostek naukowych i administracyjnych dodatkowo proces raportowania</w:t>
      </w:r>
      <w:r w:rsidR="008576C8">
        <w:t xml:space="preserve"> (por. węzeł Dept.of.Phis na rysunku 26)</w:t>
      </w:r>
      <w:r>
        <w:t>. Procesy bliskie zakończenia podkreślane są dodatkowo paskiem żółtym</w:t>
      </w:r>
      <w:r w:rsidR="008576C8">
        <w:t xml:space="preserve">, a procesy </w:t>
      </w:r>
      <w:r w:rsidR="008576C8" w:rsidRPr="008576C8">
        <w:t>TT (zarządzanie wdrażaniem produktu)</w:t>
      </w:r>
      <w:r w:rsidR="008576C8">
        <w:t xml:space="preserve"> mają dopięte paski kontrolne. „Chorągiewka” z lewej strony reprezentuje potrzebne (czarne) oraz zdobyte (białe) naukowe składniki produktu, a mniejsza „chorągiewka” z prawej strony pokazuje czy zdobyto finansowanie i znaleziono producenta dla tworzonego produktu. Litery na rysunkach 25 i 26 wskazują:</w:t>
      </w:r>
    </w:p>
    <w:p w:rsidR="00706315" w:rsidRPr="008576C8" w:rsidRDefault="00706315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 xml:space="preserve">I – Procesy przykładowego węzła typu UOTT. W przypadku węzła typu UOTT lub BOTT jednym z </w:t>
      </w:r>
      <w:r w:rsidR="0031486C" w:rsidRPr="008576C8">
        <w:rPr>
          <w:sz w:val="22"/>
        </w:rPr>
        <w:t xml:space="preserve">pierwszych </w:t>
      </w:r>
      <w:r w:rsidRPr="008576C8">
        <w:rPr>
          <w:sz w:val="22"/>
        </w:rPr>
        <w:t>procesów musi być proces poszukiwań TT</w:t>
      </w:r>
      <w:r w:rsidR="0031486C" w:rsidRPr="008576C8">
        <w:rPr>
          <w:sz w:val="22"/>
        </w:rPr>
        <w:t xml:space="preserve">. Procesy zaopatrzone w kolorowe „chorągiewki” to procesy </w:t>
      </w:r>
      <w:r w:rsidR="008576C8" w:rsidRPr="008576C8">
        <w:rPr>
          <w:sz w:val="22"/>
        </w:rPr>
        <w:t>TT (wdrożeniowe)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>J – Procesy przykładowego węzła badawczego, poza pierwszymi dwoma (społecznym i raportowania) są to procesy badawcze. Żółte paski podkreślają procesy gotowe do zakończenia, dla których nie dokonano jeszcze wyboru co do odbiorcy wyników.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>K – Procesy przykładowej firmy. W tym wypadku są to same procesy produkcyjne, ale firma może mieć też proces poszukiwań TT i tworzyć własne procesy TT (wdrożeniowe)</w:t>
      </w:r>
    </w:p>
    <w:p w:rsidR="009A727C" w:rsidRPr="00F048A5" w:rsidRDefault="009A727C" w:rsidP="00F048A5">
      <w:pPr>
        <w:spacing w:before="45" w:after="90" w:line="240" w:lineRule="auto"/>
        <w:rPr>
          <w:sz w:val="20"/>
        </w:rPr>
      </w:pPr>
    </w:p>
    <w:p w:rsidR="008576C8" w:rsidRDefault="008576C8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5366E" w:rsidRDefault="006D2CA2" w:rsidP="009745DC">
      <w:pPr>
        <w:pStyle w:val="Nagwek1"/>
        <w:rPr>
          <w:rFonts w:asciiTheme="minorHAnsi" w:hAnsiTheme="minorHAnsi"/>
        </w:rPr>
      </w:pPr>
      <w:bookmarkStart w:id="32" w:name="_Toc309134828"/>
      <w:r w:rsidRPr="00DB7B7F">
        <w:rPr>
          <w:rFonts w:asciiTheme="minorHAnsi" w:hAnsiTheme="minorHAnsi"/>
        </w:rPr>
        <w:lastRenderedPageBreak/>
        <w:t>Wyniki symulacji</w:t>
      </w:r>
      <w:bookmarkEnd w:id="32"/>
    </w:p>
    <w:p w:rsidR="006D2CA2" w:rsidRPr="00DB7B7F" w:rsidRDefault="006D2CA2" w:rsidP="006D2CA2">
      <w:r w:rsidRPr="00DB7B7F">
        <w:t>Wyniki symulacji są zapisywane w osobny</w:t>
      </w:r>
      <w:r w:rsidR="0046702E" w:rsidRPr="00DB7B7F">
        <w:t xml:space="preserve">m pliku, z rozszerzeniem </w:t>
      </w:r>
      <w:r w:rsidR="0046702E" w:rsidRPr="00D9626C">
        <w:rPr>
          <w:b/>
          <w:color w:val="4F81BD" w:themeColor="accent1"/>
        </w:rPr>
        <w:t>.sdat</w:t>
      </w:r>
      <w:r w:rsidR="0046702E" w:rsidRPr="00DB7B7F">
        <w:t xml:space="preserve">, w katalogu </w:t>
      </w:r>
      <w:r w:rsidR="0046702E" w:rsidRPr="00D9626C">
        <w:rPr>
          <w:b/>
        </w:rPr>
        <w:t>WynikiOpiTT</w:t>
      </w:r>
      <w:r w:rsidR="0046702E" w:rsidRPr="00DB7B7F">
        <w:t xml:space="preserve"> (który automatycznie się tworzy w tym samym katalogu, w którym znajduje się </w:t>
      </w:r>
      <w:r w:rsidR="00D9626C">
        <w:t xml:space="preserve">dane wczytane do </w:t>
      </w:r>
      <w:r w:rsidR="0046702E" w:rsidRPr="00DB7B7F">
        <w:t xml:space="preserve">aplikacja opiTransfer.exe. Jest on sformatowany jako plik tekstowy rozdzielany tabulacjami i może być w wygodny sposób przeglądany przez dowolny arkusz kalkulacyjny. W tym celu po otwarciu programu arkusza należy wybrać opcję Otwórz lub Importuj i odszukać w katalogu wybrany plik oraz go </w:t>
      </w:r>
      <w:r w:rsidR="00D9626C">
        <w:t>„otworzyć” (czasem „uruchomić”)</w:t>
      </w:r>
      <w:r w:rsidR="0046702E" w:rsidRPr="00DB7B7F">
        <w:t>.</w:t>
      </w:r>
    </w:p>
    <w:p w:rsidR="0046702E" w:rsidRPr="00DB7B7F" w:rsidRDefault="00A95E10" w:rsidP="0046702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60720" cy="2064633"/>
            <wp:effectExtent l="19050" t="0" r="0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E" w:rsidRPr="00DB7B7F" w:rsidRDefault="0046702E" w:rsidP="0046702E">
      <w:pPr>
        <w:pStyle w:val="Legenda"/>
        <w:spacing w:after="0"/>
      </w:pPr>
      <w:r w:rsidRPr="00DB7B7F">
        <w:t>Rys. 25. Wyniki symulacji, podgląd danych w arkuszu kalkulacyjnym.</w:t>
      </w:r>
    </w:p>
    <w:p w:rsidR="00DA2725" w:rsidRPr="00DB7B7F" w:rsidRDefault="0046702E" w:rsidP="00DA2725">
      <w:r w:rsidRPr="00DB7B7F">
        <w:t>Jak widać</w:t>
      </w:r>
      <w:r w:rsidR="00DA2725" w:rsidRPr="00DB7B7F">
        <w:t xml:space="preserve"> na powyższym rysunku wyniki sym</w:t>
      </w:r>
      <w:r w:rsidRPr="00DB7B7F">
        <w:t>ulacji są ujęte w tabele, gdzie pierwszy wiersz zawiera</w:t>
      </w:r>
      <w:r w:rsidR="00DA2725" w:rsidRPr="00DB7B7F">
        <w:t xml:space="preserve"> nazwy zliczanych obiektów a pierwsza kolumna numer kroku symulacji. Automatycznie zliczane są takie dane jak: liczna węzłów, linków, pro</w:t>
      </w:r>
      <w:r w:rsidR="00D9626C">
        <w:t>cesów oraz informacji każdego z</w:t>
      </w:r>
      <w:r w:rsidR="00DA2725" w:rsidRPr="00DB7B7F">
        <w:t xml:space="preserve"> </w:t>
      </w:r>
      <w:r w:rsidR="00D9626C" w:rsidRPr="00DB7B7F">
        <w:t xml:space="preserve">typów </w:t>
      </w:r>
      <w:r w:rsidR="00DA2725" w:rsidRPr="00DB7B7F">
        <w:t xml:space="preserve">zdefiniowanych w symulacji. </w:t>
      </w:r>
    </w:p>
    <w:p w:rsidR="00DA2725" w:rsidRPr="00DB7B7F" w:rsidRDefault="00DA2725" w:rsidP="00DA2725">
      <w:r w:rsidRPr="00DB7B7F">
        <w:t xml:space="preserve">Dodatkowo wyróżnione są obiekty o maksymalnych wartościach: 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połączeń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największej liczbie połączeń;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największej liczbie procesów;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linków (danego typu) o maksymalnej liczbie komunikatów.</w:t>
      </w:r>
    </w:p>
    <w:p w:rsidR="00A95E10" w:rsidRPr="00DB7B7F" w:rsidRDefault="00DA2725" w:rsidP="009745DC">
      <w:pPr>
        <w:rPr>
          <w:rStyle w:val="apple-style-span"/>
          <w:rFonts w:cs="Arial"/>
          <w:color w:val="000000"/>
        </w:rPr>
      </w:pPr>
      <w:r w:rsidRPr="00DB7B7F">
        <w:t xml:space="preserve">Automatycznie udostępniono też dane do stworzenia histogramów dla rozkładów powyższych zmiennych (np. nagłówki kolumn typu: WH &lt;0,1), WH &lt;1,2), WH &lt;2,3), WH &lt;3,4), WH &lt;4,INFTY), zawierają </w:t>
      </w:r>
      <w:r w:rsidR="009745DC" w:rsidRPr="00DB7B7F">
        <w:t>zliczenia w podanych zakr</w:t>
      </w:r>
      <w:r w:rsidRPr="00DB7B7F">
        <w:t>e</w:t>
      </w:r>
      <w:r w:rsidR="009745DC" w:rsidRPr="00DB7B7F">
        <w:t>sach</w:t>
      </w:r>
      <w:r w:rsidRPr="00DB7B7F">
        <w:t xml:space="preserve"> dla histogramu rozkładu </w:t>
      </w:r>
      <w:r w:rsidR="009745DC" w:rsidRPr="00DB7B7F">
        <w:rPr>
          <w:rStyle w:val="apple-style-span"/>
          <w:rFonts w:cs="Arial"/>
          <w:color w:val="000000"/>
        </w:rPr>
        <w:t xml:space="preserve"> wagi, czyli „ważności” węzłów oraz linków). Na podstawie tych danych jest możliwe wygodne wygenerowa</w:t>
      </w:r>
      <w:r w:rsidR="00D9626C">
        <w:rPr>
          <w:rStyle w:val="apple-style-span"/>
          <w:rFonts w:cs="Arial"/>
          <w:color w:val="000000"/>
        </w:rPr>
        <w:t>nie wykresów je wizualizujących i przejście do etapu analizy wyników.</w:t>
      </w:r>
    </w:p>
    <w:p w:rsidR="00A95E10" w:rsidRPr="00DB7B7F" w:rsidRDefault="00A95E10">
      <w:pPr>
        <w:rPr>
          <w:rStyle w:val="apple-style-span"/>
          <w:rFonts w:cs="Arial"/>
          <w:color w:val="000000"/>
        </w:rPr>
      </w:pPr>
      <w:r w:rsidRPr="00DB7B7F">
        <w:rPr>
          <w:rStyle w:val="apple-style-span"/>
          <w:rFonts w:cs="Arial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7829133"/>
        <w:docPartObj>
          <w:docPartGallery w:val="Table of Contents"/>
          <w:docPartUnique/>
        </w:docPartObj>
      </w:sdtPr>
      <w:sdtContent>
        <w:p w:rsidR="00A95E10" w:rsidRPr="00DB7B7F" w:rsidRDefault="00A95E10">
          <w:pPr>
            <w:pStyle w:val="Nagwekspisutreci"/>
            <w:rPr>
              <w:rFonts w:asciiTheme="minorHAnsi" w:hAnsiTheme="minorHAnsi"/>
            </w:rPr>
          </w:pPr>
          <w:r w:rsidRPr="00DB7B7F">
            <w:rPr>
              <w:rFonts w:asciiTheme="minorHAnsi" w:hAnsiTheme="minorHAnsi"/>
            </w:rPr>
            <w:t>Spis treści</w:t>
          </w:r>
        </w:p>
        <w:p w:rsidR="001F04A2" w:rsidRDefault="008C524E">
          <w:pPr>
            <w:pStyle w:val="Spistreci1"/>
            <w:rPr>
              <w:rFonts w:eastAsiaTheme="minorEastAsia"/>
              <w:lang w:eastAsia="pl-PL"/>
            </w:rPr>
          </w:pPr>
          <w:r w:rsidRPr="008C524E">
            <w:fldChar w:fldCharType="begin"/>
          </w:r>
          <w:r w:rsidR="00A95E10" w:rsidRPr="00DB7B7F">
            <w:instrText xml:space="preserve"> TOC \o "1-3" \h \z \u </w:instrText>
          </w:r>
          <w:r w:rsidRPr="008C524E">
            <w:fldChar w:fldCharType="separate"/>
          </w:r>
          <w:hyperlink w:anchor="_Toc309134796" w:history="1">
            <w:r w:rsidR="001F04A2" w:rsidRPr="001439A3">
              <w:rPr>
                <w:rStyle w:val="Hipercze"/>
              </w:rPr>
              <w:t>Wstęp</w:t>
            </w:r>
            <w:r w:rsidR="001F04A2">
              <w:rPr>
                <w:webHidden/>
              </w:rPr>
              <w:tab/>
            </w:r>
            <w:r w:rsidR="001F04A2">
              <w:rPr>
                <w:webHidden/>
              </w:rPr>
              <w:fldChar w:fldCharType="begin"/>
            </w:r>
            <w:r w:rsidR="001F04A2">
              <w:rPr>
                <w:webHidden/>
              </w:rPr>
              <w:instrText xml:space="preserve"> PAGEREF _Toc309134796 \h </w:instrText>
            </w:r>
            <w:r w:rsidR="001F04A2">
              <w:rPr>
                <w:webHidden/>
              </w:rPr>
            </w:r>
            <w:r w:rsidR="001F04A2">
              <w:rPr>
                <w:webHidden/>
              </w:rPr>
              <w:fldChar w:fldCharType="separate"/>
            </w:r>
            <w:r w:rsidR="001F04A2">
              <w:rPr>
                <w:webHidden/>
              </w:rPr>
              <w:t>2</w:t>
            </w:r>
            <w:r w:rsidR="001F04A2">
              <w:rPr>
                <w:webHidden/>
              </w:rPr>
              <w:fldChar w:fldCharType="end"/>
            </w:r>
          </w:hyperlink>
        </w:p>
        <w:p w:rsidR="001F04A2" w:rsidRDefault="001F04A2">
          <w:pPr>
            <w:pStyle w:val="Spistreci1"/>
            <w:rPr>
              <w:rFonts w:eastAsiaTheme="minorEastAsia"/>
              <w:lang w:eastAsia="pl-PL"/>
            </w:rPr>
          </w:pPr>
          <w:hyperlink w:anchor="_Toc309134797" w:history="1">
            <w:r w:rsidRPr="001439A3">
              <w:rPr>
                <w:rStyle w:val="Hipercze"/>
              </w:rPr>
              <w:t>Jak stworzyć opis sceny?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_Toc309134797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798" w:history="1">
            <w:r w:rsidRPr="001439A3">
              <w:rPr>
                <w:rStyle w:val="Hipercze"/>
                <w:noProof/>
              </w:rPr>
              <w:t>Ogólne reguły definiowania pliku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799" w:history="1">
            <w:r w:rsidRPr="001439A3">
              <w:rPr>
                <w:rStyle w:val="Hipercze"/>
                <w:noProof/>
              </w:rPr>
              <w:t>Rola kolorów 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0" w:history="1">
            <w:r w:rsidRPr="001439A3">
              <w:rPr>
                <w:rStyle w:val="Hipercze"/>
                <w:noProof/>
              </w:rPr>
              <w:t>Formaty definiowania kolorów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1" w:history="1">
            <w:r w:rsidRPr="001439A3">
              <w:rPr>
                <w:rStyle w:val="Hipercze"/>
                <w:noProof/>
              </w:rPr>
              <w:t>Możliwe parametry #config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2" w:history="1">
            <w:r w:rsidRPr="001439A3">
              <w:rPr>
                <w:rStyle w:val="Hipercze"/>
                <w:noProof/>
              </w:rPr>
              <w:t>Lista możliwych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3" w:history="1">
            <w:r w:rsidRPr="001439A3">
              <w:rPr>
                <w:rStyle w:val="Hipercze"/>
                <w:noProof/>
              </w:rPr>
              <w:t>Parametry węzłów (agentów)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4" w:history="1">
            <w:r w:rsidRPr="001439A3">
              <w:rPr>
                <w:rStyle w:val="Hipercze"/>
                <w:noProof/>
              </w:rPr>
              <w:t>Typy węzłów w modelu transferu technologii i ich szczegółowe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5" w:history="1">
            <w:r w:rsidRPr="001439A3">
              <w:rPr>
                <w:rStyle w:val="Hipercze"/>
                <w:noProof/>
              </w:rPr>
              <w:t>Powiązania czyli „linki”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6" w:history="1">
            <w:r w:rsidRPr="001439A3">
              <w:rPr>
                <w:rStyle w:val="Hipercze"/>
                <w:noProof/>
              </w:rPr>
              <w:t>Typy Linków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7" w:history="1">
            <w:r w:rsidRPr="001439A3">
              <w:rPr>
                <w:rStyle w:val="Hipercze"/>
                <w:noProof/>
              </w:rPr>
              <w:t>Procesy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8" w:history="1">
            <w:r w:rsidRPr="001439A3">
              <w:rPr>
                <w:rStyle w:val="Hipercze"/>
                <w:noProof/>
              </w:rPr>
              <w:t>GenProc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09" w:history="1">
            <w:r w:rsidRPr="001439A3">
              <w:rPr>
                <w:rStyle w:val="Hipercze"/>
                <w:noProof/>
              </w:rPr>
              <w:t>SocialProc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0" w:history="1">
            <w:r w:rsidRPr="001439A3">
              <w:rPr>
                <w:rStyle w:val="Hipercze"/>
                <w:noProof/>
              </w:rPr>
              <w:t>ProductProc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1" w:history="1">
            <w:r w:rsidRPr="001439A3">
              <w:rPr>
                <w:rStyle w:val="Hipercze"/>
                <w:noProof/>
              </w:rPr>
              <w:t>ReportProc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2" w:history="1">
            <w:r w:rsidRPr="001439A3">
              <w:rPr>
                <w:rStyle w:val="Hipercze"/>
                <w:noProof/>
              </w:rPr>
              <w:t>TTSearchProc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3" w:history="1">
            <w:r w:rsidRPr="001439A3">
              <w:rPr>
                <w:rStyle w:val="Hipercze"/>
                <w:noProof/>
              </w:rPr>
              <w:t>FinSourceProc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4" w:history="1">
            <w:r w:rsidRPr="001439A3">
              <w:rPr>
                <w:rStyle w:val="Hipercze"/>
                <w:noProof/>
              </w:rPr>
              <w:t>Eksport pliku definicji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5" w:history="1">
            <w:r w:rsidRPr="001439A3">
              <w:rPr>
                <w:rStyle w:val="Hipercze"/>
                <w:noProof/>
              </w:rPr>
              <w:t>Brak pliku, katalogu, plik zablokowany itp.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6" w:history="1">
            <w:r w:rsidRPr="001439A3">
              <w:rPr>
                <w:rStyle w:val="Hipercze"/>
                <w:noProof/>
              </w:rPr>
              <w:t>Błąd formatu komórki: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1"/>
            <w:rPr>
              <w:rFonts w:eastAsiaTheme="minorEastAsia"/>
              <w:lang w:eastAsia="pl-PL"/>
            </w:rPr>
          </w:pPr>
          <w:hyperlink w:anchor="_Toc309134817" w:history="1">
            <w:r w:rsidRPr="001439A3">
              <w:rPr>
                <w:rStyle w:val="Hipercze"/>
              </w:rPr>
              <w:t>Obsługa programu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_Toc309134817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8" w:history="1">
            <w:r w:rsidRPr="001439A3">
              <w:rPr>
                <w:rStyle w:val="Hipercze"/>
                <w:noProof/>
              </w:rPr>
              <w:t>Uruchamianie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19" w:history="1">
            <w:r w:rsidRPr="001439A3">
              <w:rPr>
                <w:rStyle w:val="Hipercze"/>
                <w:noProof/>
              </w:rPr>
              <w:t>Podstawowa obsługa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0" w:history="1">
            <w:r w:rsidRPr="001439A3">
              <w:rPr>
                <w:rStyle w:val="Hipercze"/>
                <w:noProof/>
              </w:rPr>
              <w:t>Menu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1" w:history="1">
            <w:r w:rsidRPr="001439A3">
              <w:rPr>
                <w:rStyle w:val="Hipercze"/>
                <w:noProof/>
              </w:rPr>
              <w:t>Pliki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2" w:history="1">
            <w:r w:rsidRPr="001439A3">
              <w:rPr>
                <w:rStyle w:val="Hipercze"/>
                <w:noProof/>
              </w:rPr>
              <w:t>Czyść ‘c’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3" w:history="1">
            <w:r w:rsidRPr="001439A3">
              <w:rPr>
                <w:rStyle w:val="Hipercze"/>
                <w:noProof/>
              </w:rPr>
              <w:t>Grubsze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4" w:history="1">
            <w:r w:rsidRPr="001439A3">
              <w:rPr>
                <w:rStyle w:val="Hipercze"/>
                <w:noProof/>
              </w:rPr>
              <w:t>Cieńsze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5" w:history="1">
            <w:r w:rsidRPr="001439A3">
              <w:rPr>
                <w:rStyle w:val="Hipercze"/>
                <w:noProof/>
              </w:rPr>
              <w:t>Wizualizacja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6" w:history="1">
            <w:r w:rsidRPr="001439A3">
              <w:rPr>
                <w:rStyle w:val="Hipercze"/>
                <w:noProof/>
              </w:rPr>
              <w:t>Inspekcja węzłów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134827" w:history="1">
            <w:r w:rsidRPr="001439A3">
              <w:rPr>
                <w:rStyle w:val="Hipercze"/>
                <w:noProof/>
              </w:rPr>
              <w:t>Składowe wizualizacji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_Toc309134827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4A2" w:rsidRDefault="001F04A2">
          <w:pPr>
            <w:pStyle w:val="Spistreci1"/>
            <w:rPr>
              <w:rFonts w:eastAsiaTheme="minorEastAsia"/>
              <w:lang w:eastAsia="pl-PL"/>
            </w:rPr>
          </w:pPr>
          <w:hyperlink w:anchor="_Toc309134828" w:history="1">
            <w:r w:rsidRPr="001439A3">
              <w:rPr>
                <w:rStyle w:val="Hipercze"/>
              </w:rPr>
              <w:t>Wyniki symulacji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_Toc309134828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85E5E" w:rsidRPr="00DB7B7F" w:rsidRDefault="008C524E" w:rsidP="00CC4608">
          <w:pPr>
            <w:tabs>
              <w:tab w:val="center" w:pos="4536"/>
            </w:tabs>
          </w:pPr>
          <w:r w:rsidRPr="00DB7B7F">
            <w:fldChar w:fldCharType="end"/>
          </w:r>
        </w:p>
      </w:sdtContent>
    </w:sdt>
    <w:sectPr w:rsidR="00085E5E" w:rsidRPr="00DB7B7F" w:rsidSect="00B45031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2066" w:rsidRDefault="009A2066" w:rsidP="005F7E73">
      <w:pPr>
        <w:spacing w:after="0" w:line="240" w:lineRule="auto"/>
      </w:pPr>
      <w:r>
        <w:separator/>
      </w:r>
    </w:p>
  </w:endnote>
  <w:endnote w:type="continuationSeparator" w:id="1">
    <w:p w:rsidR="009A2066" w:rsidRDefault="009A2066" w:rsidP="005F7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29134"/>
      <w:docPartObj>
        <w:docPartGallery w:val="Page Numbers (Bottom of Page)"/>
        <w:docPartUnique/>
      </w:docPartObj>
    </w:sdtPr>
    <w:sdtContent>
      <w:p w:rsidR="00D96093" w:rsidRDefault="00D96093">
        <w:pPr>
          <w:pStyle w:val="Stopka"/>
          <w:jc w:val="center"/>
        </w:pPr>
        <w:fldSimple w:instr=" PAGE   \* MERGEFORMAT ">
          <w:r w:rsidR="001F04A2">
            <w:rPr>
              <w:noProof/>
            </w:rPr>
            <w:t>32</w:t>
          </w:r>
        </w:fldSimple>
      </w:p>
    </w:sdtContent>
  </w:sdt>
  <w:p w:rsidR="00D96093" w:rsidRDefault="00D96093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6093" w:rsidRDefault="00D96093" w:rsidP="00B45031">
    <w:pPr>
      <w:jc w:val="center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508369" cy="485775"/>
          <wp:effectExtent l="19050" t="0" r="5981" b="0"/>
          <wp:docPr id="36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847" cy="4871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hyperlink r:id="rId2" w:history="1">
      <w:r w:rsidRPr="004F3549">
        <w:rPr>
          <w:rStyle w:val="Hipercze"/>
          <w:rFonts w:ascii="Times New Roman" w:eastAsia="Times New Roman" w:hAnsi="Times New Roman" w:cs="Times New Roman"/>
          <w:lang w:eastAsia="pl-PL"/>
        </w:rPr>
        <w:t>issinfo@samba.iss.uw.edu.pl</w:t>
      </w:r>
    </w:hyperlink>
    <w:r>
      <w:rPr>
        <w:rFonts w:ascii="Times New Roman" w:eastAsia="Times New Roman" w:hAnsi="Times New Roman" w:cs="Times New Roman"/>
        <w:color w:val="1F497D"/>
        <w:lang w:eastAsia="pl-PL"/>
      </w:rPr>
      <w:t xml:space="preserve">  </w:t>
    </w:r>
    <w:r>
      <w:rPr>
        <w:rFonts w:ascii="Times New Roman" w:eastAsia="Times New Roman" w:hAnsi="Times New Roman" w:cs="Times New Roman"/>
        <w:noProof/>
        <w:color w:val="1F497D"/>
        <w:lang w:eastAsia="pl-PL"/>
      </w:rPr>
      <w:drawing>
        <wp:inline distT="0" distB="0" distL="0" distR="0">
          <wp:extent cx="662191" cy="438150"/>
          <wp:effectExtent l="19050" t="0" r="4559" b="0"/>
          <wp:docPr id="37" name="Obraz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29" cy="4409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2066" w:rsidRDefault="009A2066" w:rsidP="005F7E73">
      <w:pPr>
        <w:spacing w:after="0" w:line="240" w:lineRule="auto"/>
      </w:pPr>
      <w:r>
        <w:separator/>
      </w:r>
    </w:p>
  </w:footnote>
  <w:footnote w:type="continuationSeparator" w:id="1">
    <w:p w:rsidR="009A2066" w:rsidRDefault="009A2066" w:rsidP="005F7E73">
      <w:pPr>
        <w:spacing w:after="0" w:line="240" w:lineRule="auto"/>
      </w:pPr>
      <w:r>
        <w:continuationSeparator/>
      </w:r>
    </w:p>
  </w:footnote>
  <w:footnote w:id="2">
    <w:p w:rsidR="00D96093" w:rsidRDefault="00D96093">
      <w:pPr>
        <w:pStyle w:val="Tekstprzypisudolnego"/>
      </w:pPr>
      <w:r>
        <w:rPr>
          <w:rStyle w:val="Odwoanieprzypisudolnego"/>
        </w:rPr>
        <w:footnoteRef/>
      </w:r>
      <w:r>
        <w:t>Jest to zakres który jest dostępny na każdej karcie graficznej. Choć niektóre karty mogą udostępniać składowe 10 a nawet 12 bitowe, korzystają z tego jedynie niektóre programy graficzne. Zarówno HTML jak i interface grafiki MS Windows (GDI) używają składowych 8 bitowych.</w:t>
      </w:r>
    </w:p>
  </w:footnote>
  <w:footnote w:id="3">
    <w:p w:rsidR="00D96093" w:rsidRDefault="00D96093">
      <w:pPr>
        <w:pStyle w:val="Tekstprzypisudolnego"/>
      </w:pPr>
      <w:r>
        <w:rPr>
          <w:rStyle w:val="Odwoanieprzypisudolnego"/>
        </w:rPr>
        <w:footnoteRef/>
      </w:r>
      <w:r>
        <w:t xml:space="preserve"> Wszędzie gdzie w tych formatach występują litery jest bez znaczenia czy są małe czy wielkie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6093" w:rsidRDefault="00D96093" w:rsidP="00DB7B7F">
    <w:pPr>
      <w:pStyle w:val="Stopka"/>
      <w:tabs>
        <w:tab w:val="clear" w:pos="9072"/>
        <w:tab w:val="right" w:pos="8364"/>
      </w:tabs>
      <w:ind w:right="850"/>
      <w:jc w:val="right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4434205</wp:posOffset>
          </wp:positionH>
          <wp:positionV relativeFrom="paragraph">
            <wp:posOffset>-259080</wp:posOffset>
          </wp:positionV>
          <wp:extent cx="508635" cy="485775"/>
          <wp:effectExtent l="19050" t="0" r="5715" b="0"/>
          <wp:wrapSquare wrapText="bothSides"/>
          <wp:docPr id="39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14605</wp:posOffset>
          </wp:positionH>
          <wp:positionV relativeFrom="paragraph">
            <wp:posOffset>-325755</wp:posOffset>
          </wp:positionV>
          <wp:extent cx="2886075" cy="647700"/>
          <wp:effectExtent l="19050" t="0" r="9525" b="0"/>
          <wp:wrapSquare wrapText="bothSides"/>
          <wp:docPr id="40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posOffset>5205730</wp:posOffset>
          </wp:positionH>
          <wp:positionV relativeFrom="margin">
            <wp:posOffset>-775970</wp:posOffset>
          </wp:positionV>
          <wp:extent cx="552450" cy="581025"/>
          <wp:effectExtent l="19050" t="0" r="0" b="0"/>
          <wp:wrapSquare wrapText="bothSides"/>
          <wp:docPr id="30" name="Obraz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34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8C524E">
      <w:rPr>
        <w:rFonts w:ascii="Times New Roman" w:eastAsia="Times New Roman" w:hAnsi="Times New Roman" w:cs="Times New Roman"/>
        <w:noProof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7409" type="#_x0000_t75" style="position:absolute;left:0;text-align:left;margin-left:0;margin-top:-34.5pt;width:137.25pt;height:66.75pt;z-index:251667456;mso-position-horizontal:left;mso-position-horizontal-relative:text;mso-position-vertical-relative:text">
          <v:imagedata r:id="rId4" o:title=""/>
          <w10:wrap type="square"/>
        </v:shape>
        <o:OLEObject Type="Embed" ProgID="AcroExch.Document.7" ShapeID="_x0000_s17409" DrawAspect="Content" ObjectID="_1382876823" r:id="rId5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6093" w:rsidRDefault="00D96093" w:rsidP="00B45031">
    <w:pPr>
      <w:spacing w:before="100" w:beforeAutospacing="1" w:after="100" w:afterAutospacing="1" w:line="240" w:lineRule="auto"/>
      <w:jc w:val="center"/>
      <w:rPr>
        <w:rFonts w:ascii="Times New Roman" w:eastAsia="Times New Roman" w:hAnsi="Times New Roman" w:cs="Times New Roman"/>
        <w:szCs w:val="24"/>
        <w:lang w:eastAsia="pl-PL"/>
      </w:rPr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2886075" cy="642974"/>
          <wp:effectExtent l="19050" t="0" r="9525" b="0"/>
          <wp:docPr id="34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29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A70902">
      <w:rPr>
        <w:rFonts w:ascii="Times New Roman" w:eastAsia="Times New Roman" w:hAnsi="Times New Roman" w:cs="Times New Roman"/>
        <w:szCs w:val="24"/>
        <w:lang w:eastAsia="pl-PL"/>
      </w:rPr>
      <w:object w:dxaOrig="5235" w:dyaOrig="25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6.9pt;height:66.95pt" o:ole="">
          <v:imagedata r:id="rId2" o:title=""/>
        </v:shape>
        <o:OLEObject Type="Embed" ProgID="AcroExch.Document.7" ShapeID="_x0000_i1025" DrawAspect="Content" ObjectID="_1382876822" r:id="rId3"/>
      </w:object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847725" cy="567343"/>
          <wp:effectExtent l="19050" t="0" r="9525" b="0"/>
          <wp:docPr id="35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067" cy="5729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1AC6"/>
    <w:multiLevelType w:val="hybridMultilevel"/>
    <w:tmpl w:val="931636A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CA5999"/>
    <w:multiLevelType w:val="hybridMultilevel"/>
    <w:tmpl w:val="640CA762"/>
    <w:lvl w:ilvl="0" w:tplc="D8888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3693F"/>
    <w:multiLevelType w:val="hybridMultilevel"/>
    <w:tmpl w:val="CB40DF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539B1"/>
    <w:multiLevelType w:val="hybridMultilevel"/>
    <w:tmpl w:val="D206A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86435F"/>
    <w:multiLevelType w:val="hybridMultilevel"/>
    <w:tmpl w:val="20281A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E4E8A"/>
    <w:multiLevelType w:val="hybridMultilevel"/>
    <w:tmpl w:val="A02428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21A78"/>
    <w:multiLevelType w:val="hybridMultilevel"/>
    <w:tmpl w:val="2872F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146187"/>
    <w:multiLevelType w:val="hybridMultilevel"/>
    <w:tmpl w:val="5090197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79621B6"/>
    <w:multiLevelType w:val="hybridMultilevel"/>
    <w:tmpl w:val="06A649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43AC2"/>
    <w:multiLevelType w:val="hybridMultilevel"/>
    <w:tmpl w:val="AC68B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27F81"/>
    <w:multiLevelType w:val="hybridMultilevel"/>
    <w:tmpl w:val="858851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E82B15"/>
    <w:multiLevelType w:val="hybridMultilevel"/>
    <w:tmpl w:val="1A00F6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22171"/>
    <w:multiLevelType w:val="hybridMultilevel"/>
    <w:tmpl w:val="FB26A3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B383B"/>
    <w:multiLevelType w:val="hybridMultilevel"/>
    <w:tmpl w:val="4F388F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63A7D"/>
    <w:multiLevelType w:val="hybridMultilevel"/>
    <w:tmpl w:val="D9F2C2D2"/>
    <w:lvl w:ilvl="0" w:tplc="1CB6D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245CDA"/>
    <w:multiLevelType w:val="hybridMultilevel"/>
    <w:tmpl w:val="F60A7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1E7F31"/>
    <w:multiLevelType w:val="hybridMultilevel"/>
    <w:tmpl w:val="50449302"/>
    <w:lvl w:ilvl="0" w:tplc="44EA4F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19469E"/>
    <w:multiLevelType w:val="hybridMultilevel"/>
    <w:tmpl w:val="A18E6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865C4B"/>
    <w:multiLevelType w:val="hybridMultilevel"/>
    <w:tmpl w:val="0B729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74645E"/>
    <w:multiLevelType w:val="hybridMultilevel"/>
    <w:tmpl w:val="7A385A8E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15B4"/>
    <w:multiLevelType w:val="hybridMultilevel"/>
    <w:tmpl w:val="701EB94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"/>
  </w:num>
  <w:num w:numId="5">
    <w:abstractNumId w:val="2"/>
  </w:num>
  <w:num w:numId="6">
    <w:abstractNumId w:val="19"/>
  </w:num>
  <w:num w:numId="7">
    <w:abstractNumId w:val="15"/>
  </w:num>
  <w:num w:numId="8">
    <w:abstractNumId w:val="14"/>
  </w:num>
  <w:num w:numId="9">
    <w:abstractNumId w:val="0"/>
  </w:num>
  <w:num w:numId="10">
    <w:abstractNumId w:val="2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  <w:num w:numId="19">
    <w:abstractNumId w:val="18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2530"/>
    <o:shapelayout v:ext="edit">
      <o:idmap v:ext="edit" data="17"/>
    </o:shapelayout>
  </w:hdrShapeDefaults>
  <w:footnotePr>
    <w:footnote w:id="0"/>
    <w:footnote w:id="1"/>
  </w:footnotePr>
  <w:endnotePr>
    <w:endnote w:id="0"/>
    <w:endnote w:id="1"/>
  </w:endnotePr>
  <w:compat/>
  <w:rsids>
    <w:rsidRoot w:val="00130734"/>
    <w:rsid w:val="00002029"/>
    <w:rsid w:val="00011A13"/>
    <w:rsid w:val="000125D9"/>
    <w:rsid w:val="00042C41"/>
    <w:rsid w:val="00053D89"/>
    <w:rsid w:val="00054876"/>
    <w:rsid w:val="00061AEE"/>
    <w:rsid w:val="00065640"/>
    <w:rsid w:val="000676AB"/>
    <w:rsid w:val="00072ABB"/>
    <w:rsid w:val="00085E5E"/>
    <w:rsid w:val="000966B9"/>
    <w:rsid w:val="00097B75"/>
    <w:rsid w:val="000B0A14"/>
    <w:rsid w:val="000E51ED"/>
    <w:rsid w:val="001074CD"/>
    <w:rsid w:val="00120786"/>
    <w:rsid w:val="00130734"/>
    <w:rsid w:val="0013082B"/>
    <w:rsid w:val="00135B68"/>
    <w:rsid w:val="0015366E"/>
    <w:rsid w:val="001600BE"/>
    <w:rsid w:val="001A0F49"/>
    <w:rsid w:val="001B0C1B"/>
    <w:rsid w:val="001B7AD9"/>
    <w:rsid w:val="001D327F"/>
    <w:rsid w:val="001F04A2"/>
    <w:rsid w:val="001F2A3B"/>
    <w:rsid w:val="001F5A9A"/>
    <w:rsid w:val="00201ADE"/>
    <w:rsid w:val="002110CF"/>
    <w:rsid w:val="00231C5D"/>
    <w:rsid w:val="0025293B"/>
    <w:rsid w:val="00253ED1"/>
    <w:rsid w:val="0026256F"/>
    <w:rsid w:val="0027146F"/>
    <w:rsid w:val="0028380C"/>
    <w:rsid w:val="00285EFE"/>
    <w:rsid w:val="00297DD1"/>
    <w:rsid w:val="00297FE3"/>
    <w:rsid w:val="002B346B"/>
    <w:rsid w:val="002B76D7"/>
    <w:rsid w:val="002E5595"/>
    <w:rsid w:val="00305F7A"/>
    <w:rsid w:val="003110B5"/>
    <w:rsid w:val="00312FFC"/>
    <w:rsid w:val="0031486C"/>
    <w:rsid w:val="00315A74"/>
    <w:rsid w:val="00316969"/>
    <w:rsid w:val="00327670"/>
    <w:rsid w:val="00327796"/>
    <w:rsid w:val="003351A7"/>
    <w:rsid w:val="003412E2"/>
    <w:rsid w:val="00341F71"/>
    <w:rsid w:val="00342717"/>
    <w:rsid w:val="00344DA5"/>
    <w:rsid w:val="003511F1"/>
    <w:rsid w:val="003639CD"/>
    <w:rsid w:val="0038672D"/>
    <w:rsid w:val="0039418E"/>
    <w:rsid w:val="003A0F36"/>
    <w:rsid w:val="003A341C"/>
    <w:rsid w:val="003B0797"/>
    <w:rsid w:val="003D4DDE"/>
    <w:rsid w:val="003D4EDE"/>
    <w:rsid w:val="0040103F"/>
    <w:rsid w:val="004114C5"/>
    <w:rsid w:val="00413E55"/>
    <w:rsid w:val="004270D1"/>
    <w:rsid w:val="00430348"/>
    <w:rsid w:val="00440088"/>
    <w:rsid w:val="00444AE7"/>
    <w:rsid w:val="0045671A"/>
    <w:rsid w:val="004576C3"/>
    <w:rsid w:val="00457C86"/>
    <w:rsid w:val="004603BB"/>
    <w:rsid w:val="0046702E"/>
    <w:rsid w:val="00473FD7"/>
    <w:rsid w:val="00481D19"/>
    <w:rsid w:val="00490673"/>
    <w:rsid w:val="004970AE"/>
    <w:rsid w:val="004A148D"/>
    <w:rsid w:val="004B2C2E"/>
    <w:rsid w:val="004C0DB8"/>
    <w:rsid w:val="004D3CBB"/>
    <w:rsid w:val="00503454"/>
    <w:rsid w:val="005045CD"/>
    <w:rsid w:val="0051014A"/>
    <w:rsid w:val="0051166F"/>
    <w:rsid w:val="00512714"/>
    <w:rsid w:val="00533565"/>
    <w:rsid w:val="005409ED"/>
    <w:rsid w:val="00540C67"/>
    <w:rsid w:val="00544386"/>
    <w:rsid w:val="0056135B"/>
    <w:rsid w:val="00564AA5"/>
    <w:rsid w:val="005721E0"/>
    <w:rsid w:val="005807F9"/>
    <w:rsid w:val="005826E0"/>
    <w:rsid w:val="005A12F7"/>
    <w:rsid w:val="005B51AB"/>
    <w:rsid w:val="005B76B0"/>
    <w:rsid w:val="005C017A"/>
    <w:rsid w:val="005D2143"/>
    <w:rsid w:val="005D2A4E"/>
    <w:rsid w:val="005D41D9"/>
    <w:rsid w:val="005F18BF"/>
    <w:rsid w:val="005F7E73"/>
    <w:rsid w:val="00611D25"/>
    <w:rsid w:val="00613F76"/>
    <w:rsid w:val="00623C14"/>
    <w:rsid w:val="006438E7"/>
    <w:rsid w:val="00657529"/>
    <w:rsid w:val="006804C5"/>
    <w:rsid w:val="00681AC5"/>
    <w:rsid w:val="006835C0"/>
    <w:rsid w:val="006B01AF"/>
    <w:rsid w:val="006C132B"/>
    <w:rsid w:val="006D2CA2"/>
    <w:rsid w:val="006D6B1D"/>
    <w:rsid w:val="006E3C31"/>
    <w:rsid w:val="006E725E"/>
    <w:rsid w:val="00706315"/>
    <w:rsid w:val="00714BA9"/>
    <w:rsid w:val="00721D12"/>
    <w:rsid w:val="00730D6C"/>
    <w:rsid w:val="00741DF4"/>
    <w:rsid w:val="00743883"/>
    <w:rsid w:val="00746AF9"/>
    <w:rsid w:val="007B2D12"/>
    <w:rsid w:val="007B369F"/>
    <w:rsid w:val="007C280F"/>
    <w:rsid w:val="007C3C2C"/>
    <w:rsid w:val="007F29C2"/>
    <w:rsid w:val="008122CC"/>
    <w:rsid w:val="00822F5D"/>
    <w:rsid w:val="008576C8"/>
    <w:rsid w:val="0086215A"/>
    <w:rsid w:val="00866CB9"/>
    <w:rsid w:val="00871E2D"/>
    <w:rsid w:val="00874459"/>
    <w:rsid w:val="008772F6"/>
    <w:rsid w:val="0088659B"/>
    <w:rsid w:val="008C524E"/>
    <w:rsid w:val="008F6927"/>
    <w:rsid w:val="009011DA"/>
    <w:rsid w:val="00903AE2"/>
    <w:rsid w:val="00926CCA"/>
    <w:rsid w:val="00936487"/>
    <w:rsid w:val="00947540"/>
    <w:rsid w:val="00961C2D"/>
    <w:rsid w:val="00961D5A"/>
    <w:rsid w:val="00963595"/>
    <w:rsid w:val="009745DC"/>
    <w:rsid w:val="009829D7"/>
    <w:rsid w:val="009A2066"/>
    <w:rsid w:val="009A727C"/>
    <w:rsid w:val="009D28A9"/>
    <w:rsid w:val="009D5FBD"/>
    <w:rsid w:val="009E0F92"/>
    <w:rsid w:val="009E38FD"/>
    <w:rsid w:val="009E7E0B"/>
    <w:rsid w:val="009F28DF"/>
    <w:rsid w:val="009F5E78"/>
    <w:rsid w:val="009F7534"/>
    <w:rsid w:val="00A00FED"/>
    <w:rsid w:val="00A03C69"/>
    <w:rsid w:val="00A11C9E"/>
    <w:rsid w:val="00A17D2D"/>
    <w:rsid w:val="00A238A3"/>
    <w:rsid w:val="00A23FCB"/>
    <w:rsid w:val="00A3388D"/>
    <w:rsid w:val="00A436B1"/>
    <w:rsid w:val="00A65A80"/>
    <w:rsid w:val="00A6650E"/>
    <w:rsid w:val="00A73275"/>
    <w:rsid w:val="00A77534"/>
    <w:rsid w:val="00A94A3F"/>
    <w:rsid w:val="00A95E10"/>
    <w:rsid w:val="00AA2641"/>
    <w:rsid w:val="00AA443A"/>
    <w:rsid w:val="00AE3435"/>
    <w:rsid w:val="00AF757E"/>
    <w:rsid w:val="00B203AC"/>
    <w:rsid w:val="00B20CF7"/>
    <w:rsid w:val="00B27B23"/>
    <w:rsid w:val="00B32AB2"/>
    <w:rsid w:val="00B366AB"/>
    <w:rsid w:val="00B45031"/>
    <w:rsid w:val="00B70D9F"/>
    <w:rsid w:val="00B86134"/>
    <w:rsid w:val="00BB49A4"/>
    <w:rsid w:val="00BB77C8"/>
    <w:rsid w:val="00BC029E"/>
    <w:rsid w:val="00BC365F"/>
    <w:rsid w:val="00BC718D"/>
    <w:rsid w:val="00BD5ECF"/>
    <w:rsid w:val="00BF03F3"/>
    <w:rsid w:val="00C14DDB"/>
    <w:rsid w:val="00C239C0"/>
    <w:rsid w:val="00C93795"/>
    <w:rsid w:val="00C95B5F"/>
    <w:rsid w:val="00CB2387"/>
    <w:rsid w:val="00CB5C1D"/>
    <w:rsid w:val="00CB5C41"/>
    <w:rsid w:val="00CC3779"/>
    <w:rsid w:val="00CC4608"/>
    <w:rsid w:val="00CD0B2A"/>
    <w:rsid w:val="00CD5A89"/>
    <w:rsid w:val="00CD747A"/>
    <w:rsid w:val="00CD7BE2"/>
    <w:rsid w:val="00CF559B"/>
    <w:rsid w:val="00D13E13"/>
    <w:rsid w:val="00D56222"/>
    <w:rsid w:val="00D57890"/>
    <w:rsid w:val="00D72F02"/>
    <w:rsid w:val="00D84C0A"/>
    <w:rsid w:val="00D95B5C"/>
    <w:rsid w:val="00D96093"/>
    <w:rsid w:val="00D9626C"/>
    <w:rsid w:val="00DA2725"/>
    <w:rsid w:val="00DA49A2"/>
    <w:rsid w:val="00DB034C"/>
    <w:rsid w:val="00DB7B7F"/>
    <w:rsid w:val="00DC4B1E"/>
    <w:rsid w:val="00DC604C"/>
    <w:rsid w:val="00DE1124"/>
    <w:rsid w:val="00DE149D"/>
    <w:rsid w:val="00DF17DB"/>
    <w:rsid w:val="00DF5068"/>
    <w:rsid w:val="00E16986"/>
    <w:rsid w:val="00E27E60"/>
    <w:rsid w:val="00E340F4"/>
    <w:rsid w:val="00E45EF0"/>
    <w:rsid w:val="00E65D71"/>
    <w:rsid w:val="00E82963"/>
    <w:rsid w:val="00E86FE1"/>
    <w:rsid w:val="00E91B59"/>
    <w:rsid w:val="00EA06CB"/>
    <w:rsid w:val="00EA2958"/>
    <w:rsid w:val="00EA49A9"/>
    <w:rsid w:val="00EB0F4E"/>
    <w:rsid w:val="00EB229F"/>
    <w:rsid w:val="00EB77BE"/>
    <w:rsid w:val="00EB7D10"/>
    <w:rsid w:val="00EC0FDE"/>
    <w:rsid w:val="00EC1D85"/>
    <w:rsid w:val="00EC5639"/>
    <w:rsid w:val="00ED42FF"/>
    <w:rsid w:val="00ED7DEF"/>
    <w:rsid w:val="00EE0B84"/>
    <w:rsid w:val="00EF4A4D"/>
    <w:rsid w:val="00EF7095"/>
    <w:rsid w:val="00F048A5"/>
    <w:rsid w:val="00F167C9"/>
    <w:rsid w:val="00F27BA2"/>
    <w:rsid w:val="00F27EE3"/>
    <w:rsid w:val="00F42C3F"/>
    <w:rsid w:val="00F55CBB"/>
    <w:rsid w:val="00F74903"/>
    <w:rsid w:val="00FA0001"/>
    <w:rsid w:val="00FA456D"/>
    <w:rsid w:val="00FF1123"/>
    <w:rsid w:val="00FF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7B7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366E"/>
    <w:pPr>
      <w:keepNext/>
      <w:keepLines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366E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41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4A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64A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64A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564A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564A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564A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5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3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3C2C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32AB2"/>
    <w:pPr>
      <w:spacing w:before="120" w:after="100" w:afterAutospacing="1" w:line="240" w:lineRule="auto"/>
    </w:pPr>
    <w:rPr>
      <w:b/>
      <w:bCs/>
      <w:color w:val="4F81BD" w:themeColor="accent1"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5366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Akapitzlist">
    <w:name w:val="List Paragraph"/>
    <w:basedOn w:val="Normalny"/>
    <w:uiPriority w:val="34"/>
    <w:qFormat/>
    <w:rsid w:val="005721E0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49067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9067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9067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9067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90673"/>
    <w:rPr>
      <w:b/>
      <w:bCs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F7E7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F7E7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F7E73"/>
    <w:rPr>
      <w:vertAlign w:val="superscript"/>
    </w:rPr>
  </w:style>
  <w:style w:type="table" w:styleId="Tabela-Siatka">
    <w:name w:val="Table Grid"/>
    <w:basedOn w:val="Standardowy"/>
    <w:uiPriority w:val="59"/>
    <w:rsid w:val="00072A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alistaakcent11">
    <w:name w:val="Jasna lista — akcent 11"/>
    <w:basedOn w:val="Standardowy"/>
    <w:uiPriority w:val="61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ecieniowanie2akcent5">
    <w:name w:val="Medium Shading 2 Accent 5"/>
    <w:basedOn w:val="Standardowy"/>
    <w:uiPriority w:val="64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olorowecieniowanieakcent2">
    <w:name w:val="Colorful Shading Accent 2"/>
    <w:basedOn w:val="Standardowy"/>
    <w:uiPriority w:val="71"/>
    <w:rsid w:val="00961D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741D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">
    <w:name w:val="header"/>
    <w:basedOn w:val="Normalny"/>
    <w:link w:val="Nagwek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0001"/>
  </w:style>
  <w:style w:type="paragraph" w:styleId="Stopka">
    <w:name w:val="footer"/>
    <w:basedOn w:val="Normalny"/>
    <w:link w:val="Stopka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0001"/>
  </w:style>
  <w:style w:type="character" w:customStyle="1" w:styleId="Nagwek4Znak">
    <w:name w:val="Nagłówek 4 Znak"/>
    <w:basedOn w:val="Domylnaczcionkaakapitu"/>
    <w:link w:val="Nagwek4"/>
    <w:uiPriority w:val="9"/>
    <w:rsid w:val="00564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564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564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564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564AA5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64AA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64AA5"/>
  </w:style>
  <w:style w:type="character" w:customStyle="1" w:styleId="apple-style-span">
    <w:name w:val="apple-style-span"/>
    <w:basedOn w:val="Domylnaczcionkaakapitu"/>
    <w:rsid w:val="00BC718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02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02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029E"/>
    <w:rPr>
      <w:vertAlign w:val="superscript"/>
    </w:rPr>
  </w:style>
  <w:style w:type="character" w:styleId="Tytuksiki">
    <w:name w:val="Book Title"/>
    <w:basedOn w:val="Domylnaczcionkaakapitu"/>
    <w:uiPriority w:val="33"/>
    <w:qFormat/>
    <w:rsid w:val="00F55CBB"/>
    <w:rPr>
      <w:b/>
      <w:bCs/>
      <w:smallCaps/>
      <w:spacing w:val="5"/>
    </w:rPr>
  </w:style>
  <w:style w:type="paragraph" w:styleId="Tytu">
    <w:name w:val="Title"/>
    <w:basedOn w:val="Normalny"/>
    <w:next w:val="Normalny"/>
    <w:link w:val="TytuZnak"/>
    <w:uiPriority w:val="10"/>
    <w:qFormat/>
    <w:rsid w:val="0008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8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85E5E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C4608"/>
    <w:pPr>
      <w:tabs>
        <w:tab w:val="right" w:leader="dot" w:pos="9062"/>
      </w:tabs>
      <w:spacing w:after="60"/>
    </w:pPr>
    <w:rPr>
      <w:noProof/>
      <w:sz w:val="22"/>
    </w:rPr>
  </w:style>
  <w:style w:type="paragraph" w:styleId="Spistreci2">
    <w:name w:val="toc 2"/>
    <w:basedOn w:val="Normalny"/>
    <w:next w:val="Normalny"/>
    <w:autoRedefine/>
    <w:uiPriority w:val="39"/>
    <w:unhideWhenUsed/>
    <w:rsid w:val="00085E5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5E5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085E5E"/>
    <w:rPr>
      <w:color w:val="0000FF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B27B23"/>
    <w:rPr>
      <w:b/>
      <w:bCs/>
      <w:i/>
      <w:iCs/>
      <w:color w:val="4F81BD" w:themeColor="accent1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6A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6A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hyperlink" Target="mailto:issinfo@samba.iss.uw.edu.pl" TargetMode="External"/><Relationship Id="rId1" Type="http://schemas.openxmlformats.org/officeDocument/2006/relationships/image" Target="media/image24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gif"/><Relationship Id="rId5" Type="http://schemas.openxmlformats.org/officeDocument/2006/relationships/oleObject" Target="embeddings/oleObject1.bin"/><Relationship Id="rId4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8.emf"/><Relationship Id="rId1" Type="http://schemas.openxmlformats.org/officeDocument/2006/relationships/image" Target="media/image25.png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637843-F05C-4FA3-8F78-8E82F7A3B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36</Pages>
  <Words>9286</Words>
  <Characters>55721</Characters>
  <Application>Microsoft Office Word</Application>
  <DocSecurity>0</DocSecurity>
  <Lines>464</Lines>
  <Paragraphs>129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64878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Borkowski W.</dc:creator>
  <cp:keywords/>
  <cp:lastModifiedBy>Klara</cp:lastModifiedBy>
  <cp:revision>9</cp:revision>
  <cp:lastPrinted>2011-11-14T15:58:00Z</cp:lastPrinted>
  <dcterms:created xsi:type="dcterms:W3CDTF">2011-11-14T15:12:00Z</dcterms:created>
  <dcterms:modified xsi:type="dcterms:W3CDTF">2011-11-15T14:41:00Z</dcterms:modified>
</cp:coreProperties>
</file>